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49"/>
      </w:tblGrid>
      <w:tr w:rsidR="00320095" w:rsidRPr="00933DD9" w14:paraId="109A432B" w14:textId="77777777" w:rsidTr="00933DD9">
        <w:tc>
          <w:tcPr>
            <w:tcW w:w="9242" w:type="dxa"/>
            <w:gridSpan w:val="2"/>
            <w:shd w:val="clear" w:color="auto" w:fill="auto"/>
          </w:tcPr>
          <w:p w14:paraId="25CEFBB0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41DD7622" w14:textId="77777777" w:rsidTr="00D37B81">
        <w:tc>
          <w:tcPr>
            <w:tcW w:w="2093" w:type="dxa"/>
            <w:shd w:val="clear" w:color="auto" w:fill="auto"/>
          </w:tcPr>
          <w:p w14:paraId="090F83E5" w14:textId="55B4DED1" w:rsidR="00320095" w:rsidRPr="00933DD9" w:rsidRDefault="00BE0A7E" w:rsidP="00AD2B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PCCG-</w:t>
            </w:r>
            <w:r w:rsidR="00CB0244">
              <w:rPr>
                <w:rFonts w:ascii="Arial" w:hAnsi="Arial" w:cs="Arial"/>
                <w:sz w:val="24"/>
                <w:szCs w:val="24"/>
              </w:rPr>
              <w:t>20</w:t>
            </w:r>
            <w:r w:rsidR="005C175C">
              <w:rPr>
                <w:rFonts w:ascii="Arial" w:hAnsi="Arial" w:cs="Arial"/>
                <w:sz w:val="24"/>
                <w:szCs w:val="24"/>
              </w:rPr>
              <w:t>2</w:t>
            </w:r>
            <w:r w:rsidR="00630B6E">
              <w:rPr>
                <w:rFonts w:ascii="Arial" w:hAnsi="Arial" w:cs="Arial"/>
                <w:sz w:val="24"/>
                <w:szCs w:val="24"/>
              </w:rPr>
              <w:t>3</w:t>
            </w:r>
            <w:r w:rsidR="00B50258">
              <w:rPr>
                <w:rFonts w:ascii="Arial" w:hAnsi="Arial" w:cs="Arial"/>
                <w:sz w:val="24"/>
                <w:szCs w:val="24"/>
              </w:rPr>
              <w:t>-0</w:t>
            </w:r>
            <w:r w:rsidR="00630B6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49" w:type="dxa"/>
            <w:shd w:val="clear" w:color="auto" w:fill="auto"/>
          </w:tcPr>
          <w:p w14:paraId="33438F4E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Commissioner for Gwent Decision Session</w:t>
            </w:r>
          </w:p>
        </w:tc>
      </w:tr>
      <w:tr w:rsidR="00320095" w:rsidRPr="00933DD9" w14:paraId="3B5D626B" w14:textId="77777777" w:rsidTr="00D37B81">
        <w:tc>
          <w:tcPr>
            <w:tcW w:w="2093" w:type="dxa"/>
            <w:shd w:val="clear" w:color="auto" w:fill="auto"/>
          </w:tcPr>
          <w:p w14:paraId="6809C52D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149" w:type="dxa"/>
            <w:shd w:val="clear" w:color="auto" w:fill="auto"/>
          </w:tcPr>
          <w:p w14:paraId="59DE2C7B" w14:textId="769B7FE9" w:rsidR="00320095" w:rsidRPr="00933DD9" w:rsidRDefault="00630B6E" w:rsidP="002257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Additional </w:t>
            </w:r>
            <w:r w:rsidR="00D37B81">
              <w:rPr>
                <w:rFonts w:ascii="Arial" w:hAnsi="Arial" w:cs="Arial"/>
                <w:sz w:val="24"/>
                <w:szCs w:val="24"/>
              </w:rPr>
              <w:t xml:space="preserve">Grant Funding Allocation </w:t>
            </w:r>
            <w:r w:rsidR="00AD2B19">
              <w:rPr>
                <w:rFonts w:ascii="Arial" w:hAnsi="Arial" w:cs="Arial"/>
                <w:sz w:val="24"/>
                <w:szCs w:val="24"/>
              </w:rPr>
              <w:t>202</w:t>
            </w:r>
            <w:r w:rsidR="00A006F1">
              <w:rPr>
                <w:rFonts w:ascii="Arial" w:hAnsi="Arial" w:cs="Arial"/>
                <w:sz w:val="24"/>
                <w:szCs w:val="24"/>
              </w:rPr>
              <w:t>3</w:t>
            </w:r>
            <w:r w:rsidR="00AD2B19">
              <w:rPr>
                <w:rFonts w:ascii="Arial" w:hAnsi="Arial" w:cs="Arial"/>
                <w:sz w:val="24"/>
                <w:szCs w:val="24"/>
              </w:rPr>
              <w:t>/2</w:t>
            </w:r>
            <w:r w:rsidR="00A006F1">
              <w:rPr>
                <w:rFonts w:ascii="Arial" w:hAnsi="Arial" w:cs="Arial"/>
                <w:sz w:val="24"/>
                <w:szCs w:val="24"/>
              </w:rPr>
              <w:t>4</w:t>
            </w:r>
            <w:r w:rsidR="008D3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4F17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22570B">
              <w:rPr>
                <w:rFonts w:ascii="Arial" w:hAnsi="Arial" w:cs="Arial"/>
                <w:sz w:val="24"/>
                <w:szCs w:val="24"/>
              </w:rPr>
              <w:t xml:space="preserve">Sexual Violence </w:t>
            </w:r>
            <w:r w:rsidR="00BB7E29">
              <w:rPr>
                <w:rFonts w:ascii="Arial" w:hAnsi="Arial" w:cs="Arial"/>
                <w:sz w:val="24"/>
                <w:szCs w:val="24"/>
              </w:rPr>
              <w:t>Services</w:t>
            </w:r>
          </w:p>
        </w:tc>
      </w:tr>
      <w:tr w:rsidR="00320095" w:rsidRPr="00933DD9" w14:paraId="42EB431F" w14:textId="77777777" w:rsidTr="00D37B81">
        <w:tc>
          <w:tcPr>
            <w:tcW w:w="2093" w:type="dxa"/>
            <w:shd w:val="clear" w:color="auto" w:fill="auto"/>
          </w:tcPr>
          <w:p w14:paraId="089586C1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149" w:type="dxa"/>
            <w:shd w:val="clear" w:color="auto" w:fill="auto"/>
          </w:tcPr>
          <w:p w14:paraId="6B5F5275" w14:textId="5BD1F1E0" w:rsidR="00320095" w:rsidRPr="008D3CE3" w:rsidRDefault="00505636" w:rsidP="00EB4F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CE3">
              <w:rPr>
                <w:rFonts w:ascii="Arial" w:hAnsi="Arial" w:cs="Arial"/>
                <w:sz w:val="24"/>
                <w:szCs w:val="24"/>
              </w:rPr>
              <w:t xml:space="preserve">To record the decision of the Police and Crime Commissioner to provide funding to </w:t>
            </w:r>
            <w:r w:rsidR="009B6C25">
              <w:rPr>
                <w:rFonts w:ascii="Arial" w:hAnsi="Arial" w:cs="Arial"/>
                <w:sz w:val="24"/>
                <w:szCs w:val="24"/>
              </w:rPr>
              <w:t>Cyfannol Women’s Aid</w:t>
            </w:r>
            <w:r w:rsidR="002257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3CE3">
              <w:rPr>
                <w:rFonts w:ascii="Arial" w:hAnsi="Arial" w:cs="Arial"/>
                <w:sz w:val="24"/>
                <w:szCs w:val="24"/>
              </w:rPr>
              <w:t xml:space="preserve">to ensure the continuation of their services in support of victims of sexual </w:t>
            </w:r>
            <w:r w:rsidR="00380146">
              <w:rPr>
                <w:rFonts w:ascii="Arial" w:hAnsi="Arial" w:cs="Arial"/>
                <w:sz w:val="24"/>
                <w:szCs w:val="24"/>
              </w:rPr>
              <w:t>violence offences</w:t>
            </w:r>
            <w:r w:rsidR="00380146" w:rsidRPr="008D3C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3CE3">
              <w:rPr>
                <w:rFonts w:ascii="Arial" w:hAnsi="Arial" w:cs="Arial"/>
                <w:sz w:val="24"/>
                <w:szCs w:val="24"/>
              </w:rPr>
              <w:t>in Gwent.</w:t>
            </w:r>
          </w:p>
        </w:tc>
      </w:tr>
    </w:tbl>
    <w:p w14:paraId="567AD666" w14:textId="77777777" w:rsidR="00D8752E" w:rsidRPr="00D8752E" w:rsidRDefault="00B110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D8752E"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817"/>
        <w:gridCol w:w="2835"/>
        <w:gridCol w:w="969"/>
        <w:gridCol w:w="4621"/>
      </w:tblGrid>
      <w:tr w:rsidR="00D8752E" w:rsidRPr="00933DD9" w14:paraId="0184ED68" w14:textId="77777777" w:rsidTr="00E54AE2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417FF49A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80D9" w14:textId="77777777" w:rsidR="00D8752E" w:rsidRDefault="00193194" w:rsidP="00E54A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Police Reform and Social Responsibility Act 2011</w:t>
            </w:r>
            <w:r w:rsidR="00467D7E">
              <w:rPr>
                <w:rFonts w:ascii="Arial" w:hAnsi="Arial" w:cs="Arial"/>
                <w:sz w:val="24"/>
                <w:szCs w:val="24"/>
              </w:rPr>
              <w:t xml:space="preserve"> (the Act)</w:t>
            </w:r>
            <w:r>
              <w:rPr>
                <w:rFonts w:ascii="Arial" w:hAnsi="Arial" w:cs="Arial"/>
                <w:sz w:val="24"/>
                <w:szCs w:val="24"/>
              </w:rPr>
              <w:t xml:space="preserve"> provides under section</w:t>
            </w:r>
            <w:r w:rsidR="0078765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9 and 10 that the Police and Crime Commissioner </w:t>
            </w:r>
            <w:r w:rsidR="00AD2B19">
              <w:rPr>
                <w:rFonts w:ascii="Arial" w:hAnsi="Arial" w:cs="Arial"/>
                <w:sz w:val="24"/>
                <w:szCs w:val="24"/>
              </w:rPr>
              <w:t xml:space="preserve">(PCC) </w:t>
            </w:r>
            <w:r>
              <w:rPr>
                <w:rFonts w:ascii="Arial" w:hAnsi="Arial" w:cs="Arial"/>
                <w:sz w:val="24"/>
                <w:szCs w:val="24"/>
              </w:rPr>
              <w:t>for a police area makes crime and disorder grants and acts in co</w:t>
            </w:r>
            <w:r w:rsidR="0078765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operation with responsible authorities and makes arrangements with criminal justice agencies for the exercise of functions</w:t>
            </w:r>
            <w:r w:rsidR="006675B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so as to provide an efficient and effective criminal justice system for the area.</w:t>
            </w:r>
            <w:r w:rsidR="00F930FE">
              <w:rPr>
                <w:rFonts w:ascii="Arial" w:hAnsi="Arial" w:cs="Arial"/>
                <w:sz w:val="24"/>
                <w:szCs w:val="24"/>
              </w:rPr>
              <w:t xml:space="preserve"> This provision was further supplemented by virtue of the Anti-Social</w:t>
            </w:r>
            <w:r w:rsidR="0011059F">
              <w:rPr>
                <w:rFonts w:ascii="Arial" w:hAnsi="Arial" w:cs="Arial"/>
                <w:sz w:val="24"/>
                <w:szCs w:val="24"/>
              </w:rPr>
              <w:t xml:space="preserve"> Behaviour</w:t>
            </w:r>
            <w:r w:rsidR="00C352F5">
              <w:rPr>
                <w:rFonts w:ascii="Arial" w:hAnsi="Arial" w:cs="Arial"/>
                <w:sz w:val="24"/>
                <w:szCs w:val="24"/>
              </w:rPr>
              <w:t>, Crime and Policing</w:t>
            </w:r>
            <w:r w:rsidR="0011059F">
              <w:rPr>
                <w:rFonts w:ascii="Arial" w:hAnsi="Arial" w:cs="Arial"/>
                <w:sz w:val="24"/>
                <w:szCs w:val="24"/>
              </w:rPr>
              <w:t xml:space="preserve"> Act (2014)</w:t>
            </w:r>
            <w:r w:rsidR="006675BE">
              <w:rPr>
                <w:rFonts w:ascii="Arial" w:hAnsi="Arial" w:cs="Arial"/>
                <w:sz w:val="24"/>
                <w:szCs w:val="24"/>
              </w:rPr>
              <w:t>,</w:t>
            </w:r>
            <w:r w:rsidR="0011059F">
              <w:rPr>
                <w:rFonts w:ascii="Arial" w:hAnsi="Arial" w:cs="Arial"/>
                <w:sz w:val="24"/>
                <w:szCs w:val="24"/>
              </w:rPr>
              <w:t xml:space="preserve"> which provided specific arrangements for the provision of </w:t>
            </w:r>
            <w:r w:rsidR="00C352F5">
              <w:rPr>
                <w:rFonts w:ascii="Arial" w:hAnsi="Arial" w:cs="Arial"/>
                <w:sz w:val="24"/>
                <w:szCs w:val="24"/>
              </w:rPr>
              <w:t xml:space="preserve">commissioning services </w:t>
            </w:r>
            <w:r w:rsidR="0011059F">
              <w:rPr>
                <w:rFonts w:ascii="Arial" w:hAnsi="Arial" w:cs="Arial"/>
                <w:sz w:val="24"/>
                <w:szCs w:val="24"/>
              </w:rPr>
              <w:t>for victims.</w:t>
            </w:r>
          </w:p>
          <w:p w14:paraId="3A76FAEB" w14:textId="77777777" w:rsidR="00E54AE2" w:rsidRPr="00933DD9" w:rsidRDefault="00E54AE2" w:rsidP="00E54A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52E" w:rsidRPr="00933DD9" w14:paraId="2ED7B478" w14:textId="77777777" w:rsidTr="00E54AE2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63944EB3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BE2E" w14:textId="2A94BA44" w:rsidR="008D3CE3" w:rsidRDefault="00AD2B19" w:rsidP="0022570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Each PCC receives an annual Victims Support Services Grant (VSSG) from the Ministry of Justice (MOJ)</w:t>
            </w:r>
            <w:r w:rsidR="006675B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to contribute to delivery of victims</w:t>
            </w:r>
            <w:r w:rsidR="00AE0CE7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 xml:space="preserve"> services in the area</w:t>
            </w:r>
            <w:r w:rsidR="006675BE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 xml:space="preserve"> sexual violence services can be funded </w:t>
            </w:r>
            <w:r w:rsidR="00E24EFF">
              <w:rPr>
                <w:rFonts w:ascii="Arial" w:hAnsi="Arial" w:cs="Arial"/>
                <w:sz w:val="24"/>
                <w:szCs w:val="24"/>
              </w:rPr>
              <w:t xml:space="preserve">by this grant. </w:t>
            </w:r>
            <w:r w:rsidR="009B6C25">
              <w:rPr>
                <w:rFonts w:ascii="Arial" w:hAnsi="Arial" w:cs="Arial"/>
                <w:sz w:val="24"/>
                <w:szCs w:val="24"/>
              </w:rPr>
              <w:t xml:space="preserve">I have also been successful in securing additional funding for </w:t>
            </w:r>
            <w:r w:rsidR="00892307" w:rsidRPr="00921E07">
              <w:rPr>
                <w:rFonts w:ascii="Arial" w:hAnsi="Arial" w:cs="Arial"/>
                <w:sz w:val="24"/>
                <w:szCs w:val="24"/>
              </w:rPr>
              <w:t>Independent Sexual Violence Advisor</w:t>
            </w:r>
            <w:r w:rsidR="004E185D">
              <w:rPr>
                <w:rFonts w:ascii="Arial" w:hAnsi="Arial" w:cs="Arial"/>
                <w:sz w:val="24"/>
                <w:szCs w:val="24"/>
              </w:rPr>
              <w:t>s</w:t>
            </w:r>
            <w:r w:rsidR="0089230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B6C25">
              <w:rPr>
                <w:rFonts w:ascii="Arial" w:hAnsi="Arial" w:cs="Arial"/>
                <w:sz w:val="24"/>
                <w:szCs w:val="24"/>
              </w:rPr>
              <w:t>ISVA</w:t>
            </w:r>
            <w:r w:rsidR="004E185D">
              <w:rPr>
                <w:rFonts w:ascii="Arial" w:hAnsi="Arial" w:cs="Arial"/>
                <w:sz w:val="24"/>
                <w:szCs w:val="24"/>
              </w:rPr>
              <w:t>s</w:t>
            </w:r>
            <w:r w:rsidR="00892307">
              <w:rPr>
                <w:rFonts w:ascii="Arial" w:hAnsi="Arial" w:cs="Arial"/>
                <w:sz w:val="24"/>
                <w:szCs w:val="24"/>
              </w:rPr>
              <w:t>)</w:t>
            </w:r>
            <w:r w:rsidR="009B6C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F7C">
              <w:rPr>
                <w:rFonts w:ascii="Arial" w:hAnsi="Arial" w:cs="Arial"/>
                <w:sz w:val="24"/>
                <w:szCs w:val="24"/>
              </w:rPr>
              <w:t xml:space="preserve">and for the provision of Domestic Abuse and Sexual Violence Services </w:t>
            </w:r>
            <w:r w:rsidR="009B6C25">
              <w:rPr>
                <w:rFonts w:ascii="Arial" w:hAnsi="Arial" w:cs="Arial"/>
                <w:sz w:val="24"/>
                <w:szCs w:val="24"/>
              </w:rPr>
              <w:t xml:space="preserve">in Gwent. </w:t>
            </w:r>
            <w:r w:rsidR="00630B6E">
              <w:rPr>
                <w:rFonts w:ascii="Arial" w:hAnsi="Arial" w:cs="Arial"/>
                <w:sz w:val="24"/>
                <w:szCs w:val="24"/>
              </w:rPr>
              <w:t>My decision log PCCG 2022-040 outlines my decision to fund New Pathways and Cyfannol to deliver ISVA and counselling provision in Gwent.</w:t>
            </w:r>
          </w:p>
          <w:p w14:paraId="5F5ACA8B" w14:textId="4A9BDA75" w:rsidR="00B33F52" w:rsidRDefault="00B33F52" w:rsidP="00E54AE2">
            <w:pPr>
              <w:spacing w:after="0"/>
              <w:ind w:left="58" w:right="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1890E5" w14:textId="6441C5B5" w:rsidR="00630B6E" w:rsidRDefault="00630B6E" w:rsidP="00E54AE2">
            <w:pPr>
              <w:spacing w:after="0"/>
              <w:ind w:left="58" w:right="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Following a request for additional funding I have decided to make a further award of £16,000 to Cyfannol for the period of 1 August 2023 – 31 March 2024 to maintain their ISVA provision at current levels for the remainder of the financial year due to loss of funding from another funder.</w:t>
            </w:r>
          </w:p>
          <w:p w14:paraId="136BEFB5" w14:textId="77777777" w:rsidR="00EB4F17" w:rsidRPr="00921E07" w:rsidRDefault="00EB4F17" w:rsidP="00630B6E">
            <w:pPr>
              <w:spacing w:after="0"/>
              <w:ind w:right="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CE3" w:rsidRPr="00933DD9" w14:paraId="470CC137" w14:textId="77777777" w:rsidTr="00E54AE2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273D4B7F" w14:textId="77777777" w:rsidR="008D3CE3" w:rsidRPr="00933DD9" w:rsidRDefault="001F2BC1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D3C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1D73" w14:textId="77777777" w:rsidR="00C33668" w:rsidRPr="001D04C7" w:rsidRDefault="00C33668" w:rsidP="00C33668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arrangements for each award will be set out in a Grant Agreement which includes appropriate terms and conditions, purpose of the award and payment, monitoring and reporting arrangements.  </w:t>
            </w:r>
          </w:p>
          <w:p w14:paraId="3524CE92" w14:textId="77777777" w:rsidR="00C33668" w:rsidRPr="001D04C7" w:rsidRDefault="00C33668" w:rsidP="00C33668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A</w:t>
            </w:r>
            <w:r w:rsidR="00FC1D86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a minimum, in order to monitor the progress of funded projects and provide reassurance that funding allocated is effectively meeting Policing Priorities in Gwent,</w:t>
            </w:r>
            <w:r>
              <w:rPr>
                <w:rFonts w:ascii="Arial" w:hAnsi="Arial" w:cs="Arial"/>
                <w:sz w:val="24"/>
                <w:szCs w:val="24"/>
              </w:rPr>
              <w:t xml:space="preserve"> as outlined in the Police and C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rime Plan, grant recipients </w:t>
            </w:r>
            <w:r w:rsidRPr="001D04C7">
              <w:rPr>
                <w:rFonts w:ascii="Arial" w:hAnsi="Arial" w:cs="Arial"/>
                <w:sz w:val="24"/>
                <w:szCs w:val="24"/>
              </w:rPr>
              <w:lastRenderedPageBreak/>
              <w:t>are required to complete a mid</w:t>
            </w:r>
            <w:r w:rsidR="004D1297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year and an end of year monitoring report</w:t>
            </w:r>
            <w:r w:rsidR="004D1297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require the following information to be provided:</w:t>
            </w:r>
          </w:p>
          <w:p w14:paraId="60159260" w14:textId="77777777" w:rsidR="00C33668" w:rsidRPr="001D04C7" w:rsidRDefault="00C33668" w:rsidP="00C336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Activity</w:t>
            </w:r>
            <w:r w:rsidR="004D129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69D56D3" w14:textId="77777777" w:rsidR="00C33668" w:rsidRPr="001D04C7" w:rsidRDefault="00C33668" w:rsidP="00C336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Outputs</w:t>
            </w:r>
            <w:r w:rsidR="004D129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D18B059" w14:textId="77777777" w:rsidR="00C33668" w:rsidRPr="001D04C7" w:rsidRDefault="00C33668" w:rsidP="00C336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Outcomes</w:t>
            </w:r>
            <w:r w:rsidR="004D129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7321C0D" w14:textId="77777777" w:rsidR="00C33668" w:rsidRPr="001D04C7" w:rsidRDefault="00C33668" w:rsidP="00C336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Breakdown of financial expenditure</w:t>
            </w:r>
            <w:r w:rsidR="004D1297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86AF0C4" w14:textId="77777777" w:rsidR="00C33668" w:rsidRPr="001D04C7" w:rsidRDefault="00C33668" w:rsidP="00C33668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Risk</w:t>
            </w:r>
            <w:r w:rsidR="00FC1D86">
              <w:rPr>
                <w:rFonts w:ascii="Arial" w:hAnsi="Arial" w:cs="Arial"/>
                <w:sz w:val="24"/>
                <w:szCs w:val="24"/>
              </w:rPr>
              <w:t>s</w:t>
            </w:r>
            <w:r w:rsidR="004D1297"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69A38B6F" w14:textId="77777777" w:rsidR="00C33668" w:rsidRPr="001D04C7" w:rsidRDefault="00C33668" w:rsidP="00C33668">
            <w:pPr>
              <w:numPr>
                <w:ilvl w:val="0"/>
                <w:numId w:val="38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Learning</w:t>
            </w:r>
            <w:r w:rsidR="004D1297">
              <w:rPr>
                <w:rFonts w:ascii="Arial" w:hAnsi="Arial" w:cs="Arial"/>
                <w:sz w:val="24"/>
                <w:szCs w:val="24"/>
              </w:rPr>
              <w:t>.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229014F" w14:textId="77777777" w:rsidR="00C33668" w:rsidRPr="001D04C7" w:rsidRDefault="00C33668" w:rsidP="00C33668">
            <w:pPr>
              <w:spacing w:after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240153" w14:textId="6F0F270F" w:rsidR="0046303B" w:rsidRDefault="0046303B" w:rsidP="004630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Where the </w:t>
            </w:r>
            <w:r w:rsidR="00177362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eview </w:t>
            </w:r>
            <w:r w:rsidR="00177362">
              <w:rPr>
                <w:rFonts w:ascii="Arial" w:hAnsi="Arial" w:cs="Arial"/>
                <w:sz w:val="24"/>
                <w:szCs w:val="24"/>
              </w:rPr>
              <w:t>P</w:t>
            </w:r>
            <w:r w:rsidRPr="001D04C7">
              <w:rPr>
                <w:rFonts w:ascii="Arial" w:hAnsi="Arial" w:cs="Arial"/>
                <w:sz w:val="24"/>
                <w:szCs w:val="24"/>
              </w:rPr>
              <w:t>anel recommended additional conditions over and above the standard terms and conditions</w:t>
            </w:r>
            <w:r>
              <w:rPr>
                <w:rFonts w:ascii="Arial" w:hAnsi="Arial" w:cs="Arial"/>
                <w:sz w:val="24"/>
                <w:szCs w:val="24"/>
              </w:rPr>
              <w:t>, (in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order to gain assurance and clarity in relation to project deliverables and outcomes</w:t>
            </w:r>
            <w:r>
              <w:rPr>
                <w:rFonts w:ascii="Arial" w:hAnsi="Arial" w:cs="Arial"/>
                <w:sz w:val="24"/>
                <w:szCs w:val="24"/>
              </w:rPr>
              <w:t>);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these will be monitored in addition to the minimum monitoring and reporting requirements and where appropriate and proportiona</w:t>
            </w:r>
            <w:r>
              <w:rPr>
                <w:rFonts w:ascii="Arial" w:hAnsi="Arial" w:cs="Arial"/>
                <w:sz w:val="24"/>
                <w:szCs w:val="24"/>
              </w:rPr>
              <w:t>te,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have been linked to the release of funding.</w:t>
            </w:r>
          </w:p>
          <w:p w14:paraId="1253ADE3" w14:textId="77777777" w:rsidR="001F2BC1" w:rsidRDefault="001F2BC1" w:rsidP="00C336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42A40C" w14:textId="77777777" w:rsidR="001F2BC1" w:rsidRPr="001D04C7" w:rsidRDefault="001F2BC1" w:rsidP="00C3366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Applicant organisations </w:t>
            </w:r>
            <w:r w:rsidRPr="001D04C7">
              <w:rPr>
                <w:rFonts w:ascii="Arial" w:hAnsi="Arial" w:cs="Arial"/>
                <w:sz w:val="24"/>
                <w:szCs w:val="24"/>
              </w:rPr>
              <w:t>will be required to accept the terms and conditions of the grant</w:t>
            </w:r>
            <w:r w:rsidR="00B6760D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be outlined in a Grant Agreement and Grant Offer Letter</w:t>
            </w:r>
            <w:r w:rsidR="00B6760D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by signing and returning the relevant documentation.</w:t>
            </w:r>
            <w:r>
              <w:rPr>
                <w:rFonts w:ascii="Arial" w:hAnsi="Arial" w:cs="Arial"/>
                <w:sz w:val="24"/>
                <w:szCs w:val="24"/>
              </w:rPr>
              <w:t xml:space="preserve"> Payment of grants is subject to ongoing compliance with the terms and conditions of the grant and satisfactory monitoring and reporting.</w:t>
            </w:r>
          </w:p>
          <w:p w14:paraId="2A9C3E3F" w14:textId="77777777" w:rsidR="00A82C61" w:rsidRPr="00467D7E" w:rsidRDefault="00A82C61" w:rsidP="00A82C61">
            <w:pPr>
              <w:spacing w:after="0"/>
              <w:ind w:right="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46D4218C" w14:textId="77777777" w:rsidTr="00E54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2" w:type="dxa"/>
            <w:gridSpan w:val="4"/>
            <w:shd w:val="clear" w:color="auto" w:fill="auto"/>
          </w:tcPr>
          <w:p w14:paraId="4F5D3C03" w14:textId="77777777" w:rsidR="00320095" w:rsidRPr="00933DD9" w:rsidRDefault="00C25D9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Mr Jeff Cuthbert</w:t>
            </w:r>
            <w:r w:rsidR="00007110">
              <w:rPr>
                <w:rFonts w:ascii="Arial" w:hAnsi="Arial" w:cs="Arial"/>
                <w:b/>
                <w:sz w:val="24"/>
                <w:szCs w:val="24"/>
              </w:rPr>
              <w:t xml:space="preserve"> B.SC.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07110">
              <w:rPr>
                <w:rFonts w:ascii="Arial" w:hAnsi="Arial" w:cs="Arial"/>
                <w:b/>
                <w:sz w:val="24"/>
                <w:szCs w:val="24"/>
              </w:rPr>
              <w:t xml:space="preserve"> MCIPD,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 xml:space="preserve"> Police and Crime Commissioner for Gwent</w:t>
            </w:r>
          </w:p>
        </w:tc>
      </w:tr>
      <w:tr w:rsidR="00320095" w:rsidRPr="00933DD9" w14:paraId="51F7672B" w14:textId="77777777" w:rsidTr="00E54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2" w:type="dxa"/>
            <w:gridSpan w:val="4"/>
            <w:shd w:val="clear" w:color="auto" w:fill="auto"/>
          </w:tcPr>
          <w:p w14:paraId="5317C542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My decision is as I have recorded in this paper</w:t>
            </w:r>
          </w:p>
        </w:tc>
      </w:tr>
      <w:tr w:rsidR="00320095" w:rsidRPr="00933DD9" w14:paraId="17B9DF96" w14:textId="77777777" w:rsidTr="00E54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1" w:type="dxa"/>
            <w:gridSpan w:val="3"/>
            <w:shd w:val="clear" w:color="auto" w:fill="auto"/>
          </w:tcPr>
          <w:p w14:paraId="69602676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1B3DAF92" w14:textId="72861E1C" w:rsidR="00C14CC9" w:rsidRPr="00933DD9" w:rsidRDefault="00C14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3E1F45" wp14:editId="504260B9">
                  <wp:extent cx="2076450" cy="501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auto"/>
          </w:tcPr>
          <w:p w14:paraId="592D112D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28852A70" w14:textId="1526472A" w:rsidR="00C14CC9" w:rsidRPr="00933DD9" w:rsidRDefault="00C14C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10.07.2023</w:t>
            </w:r>
          </w:p>
        </w:tc>
      </w:tr>
      <w:tr w:rsidR="00320095" w:rsidRPr="00933DD9" w14:paraId="5CF07CDA" w14:textId="77777777" w:rsidTr="00E54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  <w:shd w:val="clear" w:color="auto" w:fill="auto"/>
          </w:tcPr>
          <w:p w14:paraId="50C32940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5590" w:type="dxa"/>
            <w:gridSpan w:val="2"/>
            <w:shd w:val="clear" w:color="auto" w:fill="auto"/>
          </w:tcPr>
          <w:p w14:paraId="6A125915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19717F3D" w14:textId="77777777" w:rsidTr="00E54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  <w:shd w:val="clear" w:color="auto" w:fill="auto"/>
          </w:tcPr>
          <w:p w14:paraId="10F2AB90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590" w:type="dxa"/>
            <w:gridSpan w:val="2"/>
            <w:shd w:val="clear" w:color="auto" w:fill="auto"/>
          </w:tcPr>
          <w:p w14:paraId="48AC6A29" w14:textId="3A3A429C" w:rsidR="00320095" w:rsidRPr="00933DD9" w:rsidRDefault="006E3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 Lionel</w:t>
            </w:r>
          </w:p>
        </w:tc>
      </w:tr>
      <w:tr w:rsidR="00320095" w:rsidRPr="00933DD9" w14:paraId="2AF55B38" w14:textId="77777777" w:rsidTr="00E54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  <w:shd w:val="clear" w:color="auto" w:fill="auto"/>
          </w:tcPr>
          <w:p w14:paraId="322B008E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5590" w:type="dxa"/>
            <w:gridSpan w:val="2"/>
            <w:shd w:val="clear" w:color="auto" w:fill="auto"/>
          </w:tcPr>
          <w:p w14:paraId="36C126AC" w14:textId="77777777" w:rsidR="00320095" w:rsidRPr="00933DD9" w:rsidRDefault="001F2BC1" w:rsidP="00381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 Finance and Commissioning Manager</w:t>
            </w:r>
          </w:p>
        </w:tc>
      </w:tr>
      <w:tr w:rsidR="00320095" w:rsidRPr="00933DD9" w14:paraId="748E5783" w14:textId="77777777" w:rsidTr="00E54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  <w:shd w:val="clear" w:color="auto" w:fill="auto"/>
          </w:tcPr>
          <w:p w14:paraId="21B938CE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5590" w:type="dxa"/>
            <w:gridSpan w:val="2"/>
            <w:shd w:val="clear" w:color="auto" w:fill="auto"/>
          </w:tcPr>
          <w:p w14:paraId="59C4F8EC" w14:textId="369C2B7E" w:rsidR="00320095" w:rsidRPr="00933DD9" w:rsidRDefault="001F2BC1">
            <w:pPr>
              <w:rPr>
                <w:rFonts w:ascii="Arial" w:hAnsi="Arial" w:cs="Arial"/>
                <w:sz w:val="24"/>
                <w:szCs w:val="24"/>
              </w:rPr>
            </w:pPr>
            <w:r w:rsidRPr="00CC7516">
              <w:rPr>
                <w:rFonts w:ascii="Arial" w:eastAsia="Times New Roman" w:hAnsi="Arial" w:cs="Arial"/>
                <w:noProof/>
                <w:lang w:eastAsia="en-GB"/>
              </w:rPr>
              <w:t>0</w:t>
            </w:r>
            <w:r w:rsidR="00B50258">
              <w:rPr>
                <w:rFonts w:ascii="Arial" w:eastAsia="Times New Roman" w:hAnsi="Arial" w:cs="Arial"/>
                <w:noProof/>
                <w:lang w:eastAsia="en-GB"/>
              </w:rPr>
              <w:t>7970163408</w:t>
            </w:r>
          </w:p>
        </w:tc>
      </w:tr>
      <w:tr w:rsidR="00320095" w:rsidRPr="00933DD9" w14:paraId="22E1D6F7" w14:textId="77777777" w:rsidTr="00E54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  <w:shd w:val="clear" w:color="auto" w:fill="auto"/>
          </w:tcPr>
          <w:p w14:paraId="13C03E5E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590" w:type="dxa"/>
            <w:gridSpan w:val="2"/>
            <w:shd w:val="clear" w:color="auto" w:fill="auto"/>
          </w:tcPr>
          <w:p w14:paraId="512566B4" w14:textId="2F304747" w:rsidR="00320095" w:rsidRPr="00933DD9" w:rsidRDefault="006E329C" w:rsidP="00320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Emma.lionel</w:t>
            </w:r>
            <w:r w:rsidR="001F2BC1">
              <w:rPr>
                <w:rFonts w:ascii="Arial" w:hAnsi="Arial" w:cs="Arial"/>
                <w:sz w:val="24"/>
                <w:szCs w:val="24"/>
              </w:rPr>
              <w:t>@gwent.police.uk</w:t>
            </w:r>
          </w:p>
        </w:tc>
      </w:tr>
      <w:tr w:rsidR="00320095" w:rsidRPr="00933DD9" w14:paraId="5C40FE71" w14:textId="77777777" w:rsidTr="00E54A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2"/>
            <w:shd w:val="clear" w:color="auto" w:fill="auto"/>
          </w:tcPr>
          <w:p w14:paraId="4D0097D3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5590" w:type="dxa"/>
            <w:gridSpan w:val="2"/>
            <w:shd w:val="clear" w:color="auto" w:fill="auto"/>
          </w:tcPr>
          <w:p w14:paraId="3D28AB50" w14:textId="77777777" w:rsidR="00C25D97" w:rsidRPr="00933DD9" w:rsidRDefault="00C25D97" w:rsidP="00630B6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6E21D9" w14:textId="77777777" w:rsidR="00A36DF4" w:rsidRPr="00B72DBE" w:rsidRDefault="00A36DF4" w:rsidP="00047DEF">
      <w:pPr>
        <w:rPr>
          <w:rFonts w:cs="Calibri"/>
        </w:rPr>
      </w:pPr>
    </w:p>
    <w:sectPr w:rsidR="00A36DF4" w:rsidRPr="00B72DBE" w:rsidSect="00CE04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4D6A" w14:textId="77777777" w:rsidR="006A2D29" w:rsidRDefault="006A2D29">
      <w:pPr>
        <w:spacing w:after="0" w:line="240" w:lineRule="auto"/>
      </w:pPr>
      <w:r>
        <w:separator/>
      </w:r>
    </w:p>
  </w:endnote>
  <w:endnote w:type="continuationSeparator" w:id="0">
    <w:p w14:paraId="120DB329" w14:textId="77777777" w:rsidR="006A2D29" w:rsidRDefault="006A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C718" w14:textId="77777777" w:rsidR="004506FE" w:rsidRDefault="00450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0CE3" w14:textId="77777777" w:rsidR="00A83FE5" w:rsidRPr="004506FE" w:rsidRDefault="00A83FE5" w:rsidP="004506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D67B" w14:textId="77777777" w:rsidR="004506FE" w:rsidRDefault="00450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51C8" w14:textId="77777777" w:rsidR="006A2D29" w:rsidRDefault="006A2D29">
      <w:pPr>
        <w:spacing w:after="0" w:line="240" w:lineRule="auto"/>
      </w:pPr>
      <w:r>
        <w:separator/>
      </w:r>
    </w:p>
  </w:footnote>
  <w:footnote w:type="continuationSeparator" w:id="0">
    <w:p w14:paraId="604CE95A" w14:textId="77777777" w:rsidR="006A2D29" w:rsidRDefault="006A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FC70" w14:textId="77777777" w:rsidR="004506FE" w:rsidRDefault="004506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8ED0" w14:textId="77777777" w:rsidR="00A83FE5" w:rsidRPr="004506FE" w:rsidRDefault="00A83FE5" w:rsidP="004506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50B3" w14:textId="77777777" w:rsidR="004506FE" w:rsidRDefault="00450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1B4"/>
    <w:multiLevelType w:val="hybridMultilevel"/>
    <w:tmpl w:val="A572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8E7"/>
    <w:multiLevelType w:val="hybridMultilevel"/>
    <w:tmpl w:val="FBDA6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343D"/>
    <w:multiLevelType w:val="hybridMultilevel"/>
    <w:tmpl w:val="82E86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10DC1"/>
    <w:multiLevelType w:val="hybridMultilevel"/>
    <w:tmpl w:val="12D60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D2958"/>
    <w:multiLevelType w:val="hybridMultilevel"/>
    <w:tmpl w:val="75A24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1B3C"/>
    <w:multiLevelType w:val="hybridMultilevel"/>
    <w:tmpl w:val="F72C1D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46E8"/>
    <w:multiLevelType w:val="hybridMultilevel"/>
    <w:tmpl w:val="234C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37981"/>
    <w:multiLevelType w:val="hybridMultilevel"/>
    <w:tmpl w:val="362A3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939B2"/>
    <w:multiLevelType w:val="hybridMultilevel"/>
    <w:tmpl w:val="2A30D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7752"/>
    <w:multiLevelType w:val="hybridMultilevel"/>
    <w:tmpl w:val="B7908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07DB2"/>
    <w:multiLevelType w:val="hybridMultilevel"/>
    <w:tmpl w:val="E676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E3DEB"/>
    <w:multiLevelType w:val="hybridMultilevel"/>
    <w:tmpl w:val="4B3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690C75"/>
    <w:multiLevelType w:val="hybridMultilevel"/>
    <w:tmpl w:val="2BF23FB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F2149F"/>
    <w:multiLevelType w:val="hybridMultilevel"/>
    <w:tmpl w:val="82E85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86D9C"/>
    <w:multiLevelType w:val="hybridMultilevel"/>
    <w:tmpl w:val="742E6B6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0710F4"/>
    <w:multiLevelType w:val="hybridMultilevel"/>
    <w:tmpl w:val="378C7BCA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31071C77"/>
    <w:multiLevelType w:val="multilevel"/>
    <w:tmpl w:val="8D9AF42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BE065A"/>
    <w:multiLevelType w:val="hybridMultilevel"/>
    <w:tmpl w:val="C5E0C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0122F"/>
    <w:multiLevelType w:val="hybridMultilevel"/>
    <w:tmpl w:val="AAB21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36D26"/>
    <w:multiLevelType w:val="hybridMultilevel"/>
    <w:tmpl w:val="39DAC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A0DB7"/>
    <w:multiLevelType w:val="hybridMultilevel"/>
    <w:tmpl w:val="C84ED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234CB"/>
    <w:multiLevelType w:val="hybridMultilevel"/>
    <w:tmpl w:val="293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93628"/>
    <w:multiLevelType w:val="hybridMultilevel"/>
    <w:tmpl w:val="982C5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07AD1"/>
    <w:multiLevelType w:val="hybridMultilevel"/>
    <w:tmpl w:val="F1A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77BE8"/>
    <w:multiLevelType w:val="hybridMultilevel"/>
    <w:tmpl w:val="7C66C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6B5E77"/>
    <w:multiLevelType w:val="hybridMultilevel"/>
    <w:tmpl w:val="BB68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C0B3D"/>
    <w:multiLevelType w:val="hybridMultilevel"/>
    <w:tmpl w:val="9A984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7328E"/>
    <w:multiLevelType w:val="hybridMultilevel"/>
    <w:tmpl w:val="40486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20A20"/>
    <w:multiLevelType w:val="hybridMultilevel"/>
    <w:tmpl w:val="8DB0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62265"/>
    <w:multiLevelType w:val="hybridMultilevel"/>
    <w:tmpl w:val="59B8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95DCA"/>
    <w:multiLevelType w:val="hybridMultilevel"/>
    <w:tmpl w:val="B3544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9019E"/>
    <w:multiLevelType w:val="hybridMultilevel"/>
    <w:tmpl w:val="6324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5347D"/>
    <w:multiLevelType w:val="hybridMultilevel"/>
    <w:tmpl w:val="DC8EA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B7ACA"/>
    <w:multiLevelType w:val="multilevel"/>
    <w:tmpl w:val="B380BF22"/>
    <w:lvl w:ilvl="0">
      <w:start w:val="2018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60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2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49C4F39"/>
    <w:multiLevelType w:val="hybridMultilevel"/>
    <w:tmpl w:val="1A381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620F00"/>
    <w:multiLevelType w:val="hybridMultilevel"/>
    <w:tmpl w:val="65DE5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303CF"/>
    <w:multiLevelType w:val="hybridMultilevel"/>
    <w:tmpl w:val="DB306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48786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721F7"/>
    <w:multiLevelType w:val="hybridMultilevel"/>
    <w:tmpl w:val="71E6F284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0562FE"/>
    <w:multiLevelType w:val="hybridMultilevel"/>
    <w:tmpl w:val="D9D2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266896">
    <w:abstractNumId w:val="27"/>
  </w:num>
  <w:num w:numId="2" w16cid:durableId="18623684">
    <w:abstractNumId w:val="29"/>
  </w:num>
  <w:num w:numId="3" w16cid:durableId="1799294563">
    <w:abstractNumId w:val="25"/>
  </w:num>
  <w:num w:numId="4" w16cid:durableId="985821607">
    <w:abstractNumId w:val="31"/>
  </w:num>
  <w:num w:numId="5" w16cid:durableId="747458898">
    <w:abstractNumId w:val="0"/>
  </w:num>
  <w:num w:numId="6" w16cid:durableId="1519387365">
    <w:abstractNumId w:val="6"/>
  </w:num>
  <w:num w:numId="7" w16cid:durableId="1989047374">
    <w:abstractNumId w:val="32"/>
  </w:num>
  <w:num w:numId="8" w16cid:durableId="1268536852">
    <w:abstractNumId w:val="34"/>
  </w:num>
  <w:num w:numId="9" w16cid:durableId="173689753">
    <w:abstractNumId w:val="16"/>
  </w:num>
  <w:num w:numId="10" w16cid:durableId="1912694219">
    <w:abstractNumId w:val="18"/>
  </w:num>
  <w:num w:numId="11" w16cid:durableId="1136795783">
    <w:abstractNumId w:val="22"/>
  </w:num>
  <w:num w:numId="12" w16cid:durableId="1863936433">
    <w:abstractNumId w:val="21"/>
  </w:num>
  <w:num w:numId="13" w16cid:durableId="1053117442">
    <w:abstractNumId w:val="40"/>
  </w:num>
  <w:num w:numId="14" w16cid:durableId="157890518">
    <w:abstractNumId w:val="12"/>
  </w:num>
  <w:num w:numId="15" w16cid:durableId="1064645679">
    <w:abstractNumId w:val="23"/>
  </w:num>
  <w:num w:numId="16" w16cid:durableId="1748067860">
    <w:abstractNumId w:val="20"/>
  </w:num>
  <w:num w:numId="17" w16cid:durableId="425882988">
    <w:abstractNumId w:val="24"/>
  </w:num>
  <w:num w:numId="18" w16cid:durableId="1639719809">
    <w:abstractNumId w:val="41"/>
  </w:num>
  <w:num w:numId="19" w16cid:durableId="1879585535">
    <w:abstractNumId w:val="38"/>
  </w:num>
  <w:num w:numId="20" w16cid:durableId="2082749997">
    <w:abstractNumId w:val="30"/>
  </w:num>
  <w:num w:numId="21" w16cid:durableId="2133091119">
    <w:abstractNumId w:val="8"/>
  </w:num>
  <w:num w:numId="22" w16cid:durableId="608201645">
    <w:abstractNumId w:val="19"/>
  </w:num>
  <w:num w:numId="23" w16cid:durableId="1684167461">
    <w:abstractNumId w:val="4"/>
  </w:num>
  <w:num w:numId="24" w16cid:durableId="1343360324">
    <w:abstractNumId w:val="26"/>
  </w:num>
  <w:num w:numId="25" w16cid:durableId="969240267">
    <w:abstractNumId w:val="5"/>
  </w:num>
  <w:num w:numId="26" w16cid:durableId="522012459">
    <w:abstractNumId w:val="39"/>
  </w:num>
  <w:num w:numId="27" w16cid:durableId="208612384">
    <w:abstractNumId w:val="1"/>
  </w:num>
  <w:num w:numId="28" w16cid:durableId="153033645">
    <w:abstractNumId w:val="9"/>
  </w:num>
  <w:num w:numId="29" w16cid:durableId="195194710">
    <w:abstractNumId w:val="10"/>
  </w:num>
  <w:num w:numId="30" w16cid:durableId="1293360988">
    <w:abstractNumId w:val="2"/>
  </w:num>
  <w:num w:numId="31" w16cid:durableId="1815102194">
    <w:abstractNumId w:val="3"/>
  </w:num>
  <w:num w:numId="32" w16cid:durableId="1889566608">
    <w:abstractNumId w:val="7"/>
  </w:num>
  <w:num w:numId="33" w16cid:durableId="1903521099">
    <w:abstractNumId w:val="28"/>
  </w:num>
  <w:num w:numId="34" w16cid:durableId="22101546">
    <w:abstractNumId w:val="14"/>
  </w:num>
  <w:num w:numId="35" w16cid:durableId="1440179676">
    <w:abstractNumId w:val="33"/>
  </w:num>
  <w:num w:numId="36" w16cid:durableId="875703200">
    <w:abstractNumId w:val="35"/>
  </w:num>
  <w:num w:numId="37" w16cid:durableId="535627248">
    <w:abstractNumId w:val="36"/>
  </w:num>
  <w:num w:numId="38" w16cid:durableId="874006562">
    <w:abstractNumId w:val="11"/>
  </w:num>
  <w:num w:numId="39" w16cid:durableId="1194928330">
    <w:abstractNumId w:val="37"/>
  </w:num>
  <w:num w:numId="40" w16cid:durableId="2021469738">
    <w:abstractNumId w:val="17"/>
  </w:num>
  <w:num w:numId="41" w16cid:durableId="68699432">
    <w:abstractNumId w:val="15"/>
  </w:num>
  <w:num w:numId="42" w16cid:durableId="6952786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07110"/>
    <w:rsid w:val="0001483A"/>
    <w:rsid w:val="0002447C"/>
    <w:rsid w:val="000267FF"/>
    <w:rsid w:val="00047DEF"/>
    <w:rsid w:val="0005115A"/>
    <w:rsid w:val="00054354"/>
    <w:rsid w:val="0008176A"/>
    <w:rsid w:val="0008452F"/>
    <w:rsid w:val="00090E90"/>
    <w:rsid w:val="00091251"/>
    <w:rsid w:val="0009345E"/>
    <w:rsid w:val="00094BAA"/>
    <w:rsid w:val="000A6590"/>
    <w:rsid w:val="000B197F"/>
    <w:rsid w:val="000B2902"/>
    <w:rsid w:val="000D7891"/>
    <w:rsid w:val="000E58BE"/>
    <w:rsid w:val="000F0BC3"/>
    <w:rsid w:val="0011059F"/>
    <w:rsid w:val="00116A3F"/>
    <w:rsid w:val="00116EDA"/>
    <w:rsid w:val="00131773"/>
    <w:rsid w:val="0014241D"/>
    <w:rsid w:val="001452E1"/>
    <w:rsid w:val="00147B75"/>
    <w:rsid w:val="001555F8"/>
    <w:rsid w:val="00160BFC"/>
    <w:rsid w:val="00165410"/>
    <w:rsid w:val="00177362"/>
    <w:rsid w:val="00193194"/>
    <w:rsid w:val="001978D9"/>
    <w:rsid w:val="001B0377"/>
    <w:rsid w:val="001C0A45"/>
    <w:rsid w:val="001C1D7B"/>
    <w:rsid w:val="001E5355"/>
    <w:rsid w:val="001E5A8A"/>
    <w:rsid w:val="001F2BC1"/>
    <w:rsid w:val="002059CE"/>
    <w:rsid w:val="0022570B"/>
    <w:rsid w:val="00234B55"/>
    <w:rsid w:val="00261286"/>
    <w:rsid w:val="002A5731"/>
    <w:rsid w:val="002B1834"/>
    <w:rsid w:val="002D39E9"/>
    <w:rsid w:val="002E31B3"/>
    <w:rsid w:val="002E4D58"/>
    <w:rsid w:val="002F62CE"/>
    <w:rsid w:val="0031037F"/>
    <w:rsid w:val="00313737"/>
    <w:rsid w:val="00320095"/>
    <w:rsid w:val="00334FAC"/>
    <w:rsid w:val="00380146"/>
    <w:rsid w:val="003815B6"/>
    <w:rsid w:val="00393501"/>
    <w:rsid w:val="0039687F"/>
    <w:rsid w:val="003B4511"/>
    <w:rsid w:val="003F4967"/>
    <w:rsid w:val="003F6D85"/>
    <w:rsid w:val="0040040C"/>
    <w:rsid w:val="00410D83"/>
    <w:rsid w:val="004155BC"/>
    <w:rsid w:val="0041618A"/>
    <w:rsid w:val="00435672"/>
    <w:rsid w:val="00437D18"/>
    <w:rsid w:val="00444AD2"/>
    <w:rsid w:val="0044667C"/>
    <w:rsid w:val="004506FE"/>
    <w:rsid w:val="0046303B"/>
    <w:rsid w:val="004651F8"/>
    <w:rsid w:val="00467D7E"/>
    <w:rsid w:val="00482DB5"/>
    <w:rsid w:val="0048512B"/>
    <w:rsid w:val="00492886"/>
    <w:rsid w:val="004A4965"/>
    <w:rsid w:val="004A56D6"/>
    <w:rsid w:val="004B10FD"/>
    <w:rsid w:val="004C2DDC"/>
    <w:rsid w:val="004C476B"/>
    <w:rsid w:val="004D1297"/>
    <w:rsid w:val="004D217D"/>
    <w:rsid w:val="004D5CAC"/>
    <w:rsid w:val="004E185D"/>
    <w:rsid w:val="004F706C"/>
    <w:rsid w:val="00505124"/>
    <w:rsid w:val="00505636"/>
    <w:rsid w:val="00550490"/>
    <w:rsid w:val="005528BA"/>
    <w:rsid w:val="0055442F"/>
    <w:rsid w:val="00567E71"/>
    <w:rsid w:val="00576AED"/>
    <w:rsid w:val="00577A6C"/>
    <w:rsid w:val="00582528"/>
    <w:rsid w:val="005864A8"/>
    <w:rsid w:val="00586D1E"/>
    <w:rsid w:val="00590DD0"/>
    <w:rsid w:val="005A16A3"/>
    <w:rsid w:val="005A3624"/>
    <w:rsid w:val="005A509F"/>
    <w:rsid w:val="005C175C"/>
    <w:rsid w:val="005C54E9"/>
    <w:rsid w:val="005D18A7"/>
    <w:rsid w:val="005D523C"/>
    <w:rsid w:val="005E16C0"/>
    <w:rsid w:val="006102E2"/>
    <w:rsid w:val="00621046"/>
    <w:rsid w:val="00630B6E"/>
    <w:rsid w:val="006607EA"/>
    <w:rsid w:val="00662CE5"/>
    <w:rsid w:val="006675BE"/>
    <w:rsid w:val="00672410"/>
    <w:rsid w:val="00681596"/>
    <w:rsid w:val="00691E94"/>
    <w:rsid w:val="00694521"/>
    <w:rsid w:val="006958A4"/>
    <w:rsid w:val="006A2D29"/>
    <w:rsid w:val="006E0F1A"/>
    <w:rsid w:val="006E329C"/>
    <w:rsid w:val="006F3A19"/>
    <w:rsid w:val="00701707"/>
    <w:rsid w:val="007219D2"/>
    <w:rsid w:val="00732ED3"/>
    <w:rsid w:val="00752169"/>
    <w:rsid w:val="00762C44"/>
    <w:rsid w:val="00766DCF"/>
    <w:rsid w:val="007674CB"/>
    <w:rsid w:val="007722AA"/>
    <w:rsid w:val="0077484B"/>
    <w:rsid w:val="007773EC"/>
    <w:rsid w:val="00787656"/>
    <w:rsid w:val="007A4D5B"/>
    <w:rsid w:val="007D6FE1"/>
    <w:rsid w:val="007E176B"/>
    <w:rsid w:val="007E5839"/>
    <w:rsid w:val="00800264"/>
    <w:rsid w:val="008115B8"/>
    <w:rsid w:val="00816DEF"/>
    <w:rsid w:val="00823422"/>
    <w:rsid w:val="00825CED"/>
    <w:rsid w:val="00831E9C"/>
    <w:rsid w:val="008373E8"/>
    <w:rsid w:val="00844578"/>
    <w:rsid w:val="00862CED"/>
    <w:rsid w:val="0087243D"/>
    <w:rsid w:val="00875357"/>
    <w:rsid w:val="0088765A"/>
    <w:rsid w:val="00892307"/>
    <w:rsid w:val="0089396D"/>
    <w:rsid w:val="008D0129"/>
    <w:rsid w:val="008D22C4"/>
    <w:rsid w:val="008D3CE3"/>
    <w:rsid w:val="008E18E5"/>
    <w:rsid w:val="008E2293"/>
    <w:rsid w:val="008F646A"/>
    <w:rsid w:val="008F6EDF"/>
    <w:rsid w:val="00903003"/>
    <w:rsid w:val="00921E07"/>
    <w:rsid w:val="00923CB9"/>
    <w:rsid w:val="00927A0A"/>
    <w:rsid w:val="00933DD9"/>
    <w:rsid w:val="00934A8E"/>
    <w:rsid w:val="00943667"/>
    <w:rsid w:val="00987D01"/>
    <w:rsid w:val="009A4F1F"/>
    <w:rsid w:val="009A64DB"/>
    <w:rsid w:val="009B6C25"/>
    <w:rsid w:val="009D678F"/>
    <w:rsid w:val="00A006F1"/>
    <w:rsid w:val="00A12607"/>
    <w:rsid w:val="00A26E85"/>
    <w:rsid w:val="00A36DF4"/>
    <w:rsid w:val="00A37E6A"/>
    <w:rsid w:val="00A40096"/>
    <w:rsid w:val="00A42BED"/>
    <w:rsid w:val="00A52721"/>
    <w:rsid w:val="00A60CA0"/>
    <w:rsid w:val="00A750B3"/>
    <w:rsid w:val="00A76BF9"/>
    <w:rsid w:val="00A82C61"/>
    <w:rsid w:val="00A82E5E"/>
    <w:rsid w:val="00A83393"/>
    <w:rsid w:val="00A83FE5"/>
    <w:rsid w:val="00A87E67"/>
    <w:rsid w:val="00A963B4"/>
    <w:rsid w:val="00AA5633"/>
    <w:rsid w:val="00AB151E"/>
    <w:rsid w:val="00AB1B5A"/>
    <w:rsid w:val="00AD2B19"/>
    <w:rsid w:val="00AE0CE7"/>
    <w:rsid w:val="00AE12E9"/>
    <w:rsid w:val="00AE3EBF"/>
    <w:rsid w:val="00AE4531"/>
    <w:rsid w:val="00AF5914"/>
    <w:rsid w:val="00AF5AF4"/>
    <w:rsid w:val="00B047ED"/>
    <w:rsid w:val="00B10FE4"/>
    <w:rsid w:val="00B110FD"/>
    <w:rsid w:val="00B23E41"/>
    <w:rsid w:val="00B33F52"/>
    <w:rsid w:val="00B50258"/>
    <w:rsid w:val="00B57075"/>
    <w:rsid w:val="00B608C5"/>
    <w:rsid w:val="00B61E38"/>
    <w:rsid w:val="00B66C20"/>
    <w:rsid w:val="00B6760D"/>
    <w:rsid w:val="00B714BB"/>
    <w:rsid w:val="00B726EC"/>
    <w:rsid w:val="00B72DBE"/>
    <w:rsid w:val="00B75611"/>
    <w:rsid w:val="00B92E0F"/>
    <w:rsid w:val="00BB32E5"/>
    <w:rsid w:val="00BB7E29"/>
    <w:rsid w:val="00BE0A7E"/>
    <w:rsid w:val="00BE5069"/>
    <w:rsid w:val="00C14CC9"/>
    <w:rsid w:val="00C25D97"/>
    <w:rsid w:val="00C33668"/>
    <w:rsid w:val="00C352F5"/>
    <w:rsid w:val="00C401ED"/>
    <w:rsid w:val="00C419F2"/>
    <w:rsid w:val="00C65CDC"/>
    <w:rsid w:val="00C71322"/>
    <w:rsid w:val="00C97036"/>
    <w:rsid w:val="00C971AC"/>
    <w:rsid w:val="00CA0069"/>
    <w:rsid w:val="00CB0244"/>
    <w:rsid w:val="00CB2D50"/>
    <w:rsid w:val="00CB5400"/>
    <w:rsid w:val="00CE0440"/>
    <w:rsid w:val="00CE5348"/>
    <w:rsid w:val="00CF58F1"/>
    <w:rsid w:val="00D027CA"/>
    <w:rsid w:val="00D2436A"/>
    <w:rsid w:val="00D268D8"/>
    <w:rsid w:val="00D26BB4"/>
    <w:rsid w:val="00D31666"/>
    <w:rsid w:val="00D33208"/>
    <w:rsid w:val="00D37B81"/>
    <w:rsid w:val="00D45F7C"/>
    <w:rsid w:val="00D46C22"/>
    <w:rsid w:val="00D834DA"/>
    <w:rsid w:val="00D8752E"/>
    <w:rsid w:val="00D96488"/>
    <w:rsid w:val="00DA09D6"/>
    <w:rsid w:val="00DA3FA8"/>
    <w:rsid w:val="00DB20C0"/>
    <w:rsid w:val="00DC027B"/>
    <w:rsid w:val="00DC62D9"/>
    <w:rsid w:val="00DF3AFD"/>
    <w:rsid w:val="00E24EFF"/>
    <w:rsid w:val="00E31917"/>
    <w:rsid w:val="00E34259"/>
    <w:rsid w:val="00E40B29"/>
    <w:rsid w:val="00E42896"/>
    <w:rsid w:val="00E512A9"/>
    <w:rsid w:val="00E54AE2"/>
    <w:rsid w:val="00E56EE4"/>
    <w:rsid w:val="00E6213A"/>
    <w:rsid w:val="00E86F05"/>
    <w:rsid w:val="00E907EC"/>
    <w:rsid w:val="00EA5A5B"/>
    <w:rsid w:val="00EA7FE3"/>
    <w:rsid w:val="00EB4F17"/>
    <w:rsid w:val="00EE02C1"/>
    <w:rsid w:val="00EE4DC7"/>
    <w:rsid w:val="00EF1118"/>
    <w:rsid w:val="00EF607C"/>
    <w:rsid w:val="00F052F8"/>
    <w:rsid w:val="00F06CD2"/>
    <w:rsid w:val="00F27A6F"/>
    <w:rsid w:val="00F36F27"/>
    <w:rsid w:val="00F410EB"/>
    <w:rsid w:val="00F432C4"/>
    <w:rsid w:val="00F4741F"/>
    <w:rsid w:val="00F623C4"/>
    <w:rsid w:val="00F709C6"/>
    <w:rsid w:val="00F716FC"/>
    <w:rsid w:val="00F749D0"/>
    <w:rsid w:val="00F83182"/>
    <w:rsid w:val="00F83C3F"/>
    <w:rsid w:val="00F86191"/>
    <w:rsid w:val="00F930FE"/>
    <w:rsid w:val="00F94BA0"/>
    <w:rsid w:val="00FA0DB3"/>
    <w:rsid w:val="00FC1D86"/>
    <w:rsid w:val="00FD2C97"/>
    <w:rsid w:val="00FE5B5D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72346FCF"/>
  <w15:chartTrackingRefBased/>
  <w15:docId w15:val="{B1D35630-9B54-45C3-8E08-E62554D3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25D97"/>
    <w:pPr>
      <w:keepNext/>
      <w:tabs>
        <w:tab w:val="num" w:pos="36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2E31B3"/>
    <w:pPr>
      <w:ind w:left="720"/>
      <w:contextualSpacing/>
    </w:pPr>
  </w:style>
  <w:style w:type="paragraph" w:styleId="NormalWeb">
    <w:name w:val="Normal (Web)"/>
    <w:basedOn w:val="Normal"/>
    <w:rsid w:val="00A82E5E"/>
    <w:pPr>
      <w:spacing w:before="100" w:beforeAutospacing="1" w:after="240" w:line="240" w:lineRule="auto"/>
    </w:pPr>
    <w:rPr>
      <w:rFonts w:ascii="Times New Roman" w:eastAsia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unhideWhenUsed/>
    <w:rsid w:val="00EE4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D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E4DC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D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4DC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DC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36DF4"/>
    <w:rPr>
      <w:color w:val="0000FF"/>
      <w:u w:val="single"/>
    </w:rPr>
  </w:style>
  <w:style w:type="paragraph" w:styleId="NoSpacing">
    <w:name w:val="No Spacing"/>
    <w:uiPriority w:val="1"/>
    <w:qFormat/>
    <w:rsid w:val="001C1D7B"/>
    <w:rPr>
      <w:sz w:val="22"/>
      <w:szCs w:val="22"/>
      <w:lang w:eastAsia="en-US"/>
    </w:rPr>
  </w:style>
  <w:style w:type="character" w:customStyle="1" w:styleId="Heading1Char">
    <w:name w:val="Heading 1 Char"/>
    <w:link w:val="Heading1"/>
    <w:rsid w:val="00C25D97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83F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83F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83FE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3FE5"/>
    <w:rPr>
      <w:sz w:val="22"/>
      <w:szCs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locked/>
    <w:rsid w:val="00C336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9" ma:contentTypeDescription="Create a new document." ma:contentTypeScope="" ma:versionID="d7b8005c6b2b5ff70a272f90f4e4d7be">
  <xsd:schema xmlns:xsd="http://www.w3.org/2001/XMLSchema" xmlns:xs="http://www.w3.org/2001/XMLSchema" xmlns:p="http://schemas.microsoft.com/office/2006/metadata/properties" xmlns:ns3="fb6b97cf-7331-40db-be90-6cfa827a7514" targetNamespace="http://schemas.microsoft.com/office/2006/metadata/properties" ma:root="true" ma:fieldsID="3b2750c299449fb4984691610074b909" ns3:_="">
    <xsd:import namespace="fb6b97cf-7331-40db-be90-6cfa827a75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8B9533-4DCD-4343-A9CC-D79B34958F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C17E5A-1C9B-47D2-A517-3CC2C8C0A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FB8C7-D89F-49CE-8714-E9A1CC71F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- 04/03/2021 14:35:00</dc:description>
  <cp:lastModifiedBy>Warren, Nicola</cp:lastModifiedBy>
  <cp:revision>4</cp:revision>
  <cp:lastPrinted>2018-04-03T12:09:00Z</cp:lastPrinted>
  <dcterms:created xsi:type="dcterms:W3CDTF">2023-06-16T14:25:00Z</dcterms:created>
  <dcterms:modified xsi:type="dcterms:W3CDTF">2023-07-10T13:15:00Z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0x0101009499AE902E7DBC4A90EABF4B87BB7D5D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2022-04-04T13:50:56Z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1a0d7cdd-86f5-4c75-b0da-82c27d4abcd1</vt:lpwstr>
  </property>
  <property fmtid="{D5CDD505-2E9C-101B-9397-08002B2CF9AE}" pid="15" name="MSIP_Label_f2acd28b-79a3-4a0f-b0ff-4b75658b1549_ContentBits">
    <vt:lpwstr>0</vt:lpwstr>
  </property>
</Properties>
</file>