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E28B" w14:textId="77777777" w:rsidR="00E768E7" w:rsidRPr="009D34F1" w:rsidRDefault="00DD0198" w:rsidP="00E768E7">
      <w:pPr>
        <w:rPr>
          <w:rFonts w:ascii="Arial" w:hAnsi="Arial" w:cs="Arial"/>
          <w:b/>
          <w:sz w:val="24"/>
          <w:szCs w:val="24"/>
        </w:rPr>
      </w:pPr>
      <w:r w:rsidRPr="009D34F1">
        <w:rPr>
          <w:rFonts w:ascii="Arial" w:hAnsi="Arial" w:cs="Arial"/>
          <w:noProof/>
          <w:sz w:val="24"/>
          <w:szCs w:val="24"/>
        </w:rPr>
        <w:drawing>
          <wp:anchor distT="0" distB="0" distL="114300" distR="114300" simplePos="0" relativeHeight="251658240" behindDoc="1" locked="0" layoutInCell="1" allowOverlap="1" wp14:anchorId="38DA45FF" wp14:editId="2563FC8B">
            <wp:simplePos x="0" y="0"/>
            <wp:positionH relativeFrom="column">
              <wp:posOffset>1893570</wp:posOffset>
            </wp:positionH>
            <wp:positionV relativeFrom="paragraph">
              <wp:posOffset>-620939</wp:posOffset>
            </wp:positionV>
            <wp:extent cx="1924050" cy="783590"/>
            <wp:effectExtent l="0" t="0" r="0" b="0"/>
            <wp:wrapTight wrapText="bothSides">
              <wp:wrapPolygon edited="0">
                <wp:start x="0" y="0"/>
                <wp:lineTo x="0" y="21005"/>
                <wp:lineTo x="21386" y="21005"/>
                <wp:lineTo x="21386"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2405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8A81D" w14:textId="77777777" w:rsidR="00696B07" w:rsidRPr="009D34F1" w:rsidRDefault="00696B07" w:rsidP="006D17BB">
      <w:pPr>
        <w:jc w:val="center"/>
        <w:rPr>
          <w:rFonts w:ascii="Arial" w:hAnsi="Arial" w:cs="Arial"/>
          <w:b/>
          <w:sz w:val="24"/>
          <w:szCs w:val="24"/>
        </w:rPr>
      </w:pPr>
    </w:p>
    <w:p w14:paraId="72877EEE" w14:textId="77777777" w:rsidR="001573CF" w:rsidRDefault="001573CF" w:rsidP="006D17BB">
      <w:pPr>
        <w:jc w:val="center"/>
        <w:rPr>
          <w:rFonts w:ascii="Arial" w:hAnsi="Arial" w:cs="Arial"/>
          <w:b/>
          <w:bCs/>
          <w:sz w:val="24"/>
          <w:szCs w:val="24"/>
          <w:lang w:val="cy-GB"/>
        </w:rPr>
      </w:pPr>
    </w:p>
    <w:p w14:paraId="3DD65486" w14:textId="15EE5033" w:rsidR="006D17BB" w:rsidRPr="009D34F1" w:rsidRDefault="00DD0198" w:rsidP="006D17BB">
      <w:pPr>
        <w:jc w:val="center"/>
        <w:rPr>
          <w:rFonts w:ascii="Arial" w:hAnsi="Arial" w:cs="Arial"/>
          <w:b/>
          <w:sz w:val="24"/>
          <w:szCs w:val="24"/>
        </w:rPr>
      </w:pPr>
      <w:r w:rsidRPr="009D34F1">
        <w:rPr>
          <w:rFonts w:ascii="Arial" w:hAnsi="Arial" w:cs="Arial"/>
          <w:b/>
          <w:bCs/>
          <w:sz w:val="24"/>
          <w:szCs w:val="24"/>
          <w:lang w:val="cy-GB"/>
        </w:rPr>
        <w:t>Swyddfa Comisiynydd yr Heddlu a Throsedd Gwent</w:t>
      </w:r>
    </w:p>
    <w:p w14:paraId="62757969" w14:textId="77777777" w:rsidR="00696B07" w:rsidRPr="009D34F1" w:rsidRDefault="00DD0198" w:rsidP="00C620FD">
      <w:pPr>
        <w:jc w:val="center"/>
        <w:rPr>
          <w:rFonts w:ascii="Arial" w:hAnsi="Arial" w:cs="Arial"/>
          <w:b/>
          <w:sz w:val="24"/>
          <w:szCs w:val="24"/>
        </w:rPr>
      </w:pPr>
      <w:r w:rsidRPr="009D34F1">
        <w:rPr>
          <w:rFonts w:ascii="Arial" w:hAnsi="Arial" w:cs="Arial"/>
          <w:b/>
          <w:bCs/>
          <w:sz w:val="24"/>
          <w:szCs w:val="24"/>
          <w:lang w:val="cy-GB"/>
        </w:rPr>
        <w:t>Adolygiad Achos Ymddygiad Gwrthgymdeithasol - Proses Adolygu Swyddfa'r Comisiynydd</w:t>
      </w:r>
    </w:p>
    <w:p w14:paraId="4FBF9E17" w14:textId="77777777" w:rsidR="00865509" w:rsidRPr="009D34F1" w:rsidRDefault="00DD0198" w:rsidP="00865509">
      <w:pPr>
        <w:rPr>
          <w:rFonts w:ascii="Arial" w:hAnsi="Arial" w:cs="Arial"/>
          <w:sz w:val="24"/>
          <w:szCs w:val="24"/>
        </w:rPr>
      </w:pPr>
      <w:r w:rsidRPr="009D34F1">
        <w:rPr>
          <w:rFonts w:ascii="Arial" w:hAnsi="Arial" w:cs="Arial"/>
          <w:sz w:val="24"/>
          <w:szCs w:val="24"/>
          <w:lang w:val="cy-GB"/>
        </w:rPr>
        <w:t xml:space="preserve">Mae'r Ddeddf Ymddygiad Gwrthgymdeithasol, Troseddu a Phlismona 2014 yn gosod cyfrifoldebau ychwanegol ar asiantaethau ac yn cyflwyno mesurau sydd wedi'u cynllunio i roi llais i ddioddefwyr a chymunedau yn y ffordd yr ymdrinnir ag ymddygiad gwrthgymdeithasol. </w:t>
      </w:r>
    </w:p>
    <w:p w14:paraId="0520B63F" w14:textId="77777777" w:rsidR="00865509" w:rsidRPr="009D34F1" w:rsidRDefault="00DD0198" w:rsidP="00865509">
      <w:pPr>
        <w:pStyle w:val="NormalWeb"/>
        <w:shd w:val="clear" w:color="auto" w:fill="FFFFFF"/>
        <w:spacing w:before="0" w:beforeAutospacing="0" w:after="200" w:afterAutospacing="0" w:line="276" w:lineRule="auto"/>
        <w:rPr>
          <w:rFonts w:ascii="Arial" w:hAnsi="Arial" w:cs="Arial"/>
          <w:color w:val="222222"/>
        </w:rPr>
      </w:pPr>
      <w:r w:rsidRPr="009D34F1">
        <w:rPr>
          <w:rStyle w:val="normaltextrun"/>
          <w:rFonts w:ascii="Arial" w:hAnsi="Arial" w:cs="Arial"/>
          <w:color w:val="222222"/>
          <w:lang w:val="cy-GB"/>
        </w:rPr>
        <w:t xml:space="preserve">Mae'r Adolygiad Achos Ymddygiad Gwrthgymdeithasol, a oedd yn cael ei adnabod yn flaenorol fel y Sbardun Cymunedol, yn rhoi'r hawl i ddioddefwyr ymddygiad gwrthgymdeithasol ofyn am weithredu os ydynt yn teimlo na chymerwyd camau digonol yn eu hachos. Mae hyn yn dechrau gydag adolygiad o'u hachos, lle mae meini prawf wedi eu bodloni ar gyfer yr adolygiad. Nod Adolygiad Achos Ymddygiad Gwrthgymdeithasol yw ceisio datrysiad ar gyfer dioddefwyr a chymunedau. </w:t>
      </w:r>
      <w:r w:rsidRPr="009D34F1">
        <w:rPr>
          <w:rFonts w:ascii="Arial" w:hAnsi="Arial" w:cs="Arial"/>
          <w:color w:val="222222"/>
          <w:lang w:val="cy-GB"/>
        </w:rPr>
        <w:t> </w:t>
      </w:r>
    </w:p>
    <w:p w14:paraId="52FC32DA" w14:textId="77777777" w:rsidR="000C6614" w:rsidRPr="009D34F1" w:rsidRDefault="00DD0198" w:rsidP="006D17BB">
      <w:pPr>
        <w:rPr>
          <w:rFonts w:ascii="Arial" w:hAnsi="Arial" w:cs="Arial"/>
          <w:sz w:val="24"/>
          <w:szCs w:val="24"/>
        </w:rPr>
      </w:pPr>
      <w:r w:rsidRPr="009D34F1">
        <w:rPr>
          <w:rFonts w:ascii="Arial" w:hAnsi="Arial" w:cs="Arial"/>
          <w:sz w:val="24"/>
          <w:szCs w:val="24"/>
          <w:lang w:val="cy-GB"/>
        </w:rPr>
        <w:t xml:space="preserve">Mae manylion llawn yr </w:t>
      </w:r>
      <w:r w:rsidR="009D34F1" w:rsidRPr="009D34F1">
        <w:rPr>
          <w:rStyle w:val="normaltextrun"/>
          <w:rFonts w:ascii="Arial" w:hAnsi="Arial" w:cs="Arial"/>
          <w:color w:val="222222"/>
          <w:sz w:val="24"/>
          <w:szCs w:val="24"/>
          <w:lang w:val="cy-GB"/>
        </w:rPr>
        <w:t>Adolygiad Achos Ymddygiad Gwrthgymdeithasol</w:t>
      </w:r>
      <w:r w:rsidRPr="009D34F1">
        <w:rPr>
          <w:rFonts w:ascii="Arial" w:hAnsi="Arial" w:cs="Arial"/>
          <w:sz w:val="24"/>
          <w:szCs w:val="24"/>
          <w:lang w:val="cy-GB"/>
        </w:rPr>
        <w:t xml:space="preserve"> ar gael yn y </w:t>
      </w:r>
      <w:r w:rsidRPr="009D34F1">
        <w:rPr>
          <w:rFonts w:ascii="Arial" w:hAnsi="Arial" w:cs="Arial"/>
          <w:b/>
          <w:bCs/>
          <w:sz w:val="24"/>
          <w:szCs w:val="24"/>
          <w:lang w:val="cy-GB"/>
        </w:rPr>
        <w:t>canllawiau cenedlaethol</w:t>
      </w:r>
      <w:r w:rsidRPr="009D34F1">
        <w:rPr>
          <w:rFonts w:ascii="Arial" w:hAnsi="Arial" w:cs="Arial"/>
          <w:sz w:val="24"/>
          <w:szCs w:val="24"/>
          <w:lang w:val="cy-GB"/>
        </w:rPr>
        <w:t xml:space="preserve">. </w:t>
      </w:r>
      <w:hyperlink w:history="1">
        <w:r w:rsidR="009D34F1" w:rsidRPr="009D34F1">
          <w:rPr>
            <w:rStyle w:val="Hyperlink"/>
            <w:rFonts w:ascii="Arial" w:hAnsi="Arial" w:cs="Arial"/>
            <w:sz w:val="24"/>
            <w:szCs w:val="24"/>
            <w:lang w:val="cy-GB"/>
          </w:rPr>
          <w:t>Anti-social behaviour case review - GOV.UK (www.gov.uk)</w:t>
        </w:r>
      </w:hyperlink>
      <w:r w:rsidRPr="009D34F1">
        <w:rPr>
          <w:rFonts w:ascii="Arial" w:hAnsi="Arial" w:cs="Arial"/>
          <w:sz w:val="24"/>
          <w:szCs w:val="24"/>
          <w:lang w:val="cy-GB"/>
        </w:rPr>
        <w:t>.</w:t>
      </w:r>
    </w:p>
    <w:p w14:paraId="3037B63B" w14:textId="77777777" w:rsidR="006D17BB" w:rsidRPr="009D34F1" w:rsidRDefault="00DD0198" w:rsidP="006D17BB">
      <w:pPr>
        <w:shd w:val="clear" w:color="auto" w:fill="FFFFFF"/>
        <w:rPr>
          <w:rFonts w:ascii="Arial" w:eastAsia="Times New Roman" w:hAnsi="Arial" w:cs="Arial"/>
          <w:color w:val="000000" w:themeColor="text1"/>
          <w:sz w:val="24"/>
          <w:szCs w:val="24"/>
          <w:lang w:eastAsia="en-GB"/>
        </w:rPr>
      </w:pPr>
      <w:r w:rsidRPr="009D34F1">
        <w:rPr>
          <w:rFonts w:ascii="Arial" w:eastAsia="Times New Roman" w:hAnsi="Arial" w:cs="Arial"/>
          <w:color w:val="000000" w:themeColor="text1"/>
          <w:sz w:val="24"/>
          <w:szCs w:val="24"/>
          <w:lang w:val="cy-GB" w:eastAsia="en-GB"/>
        </w:rPr>
        <w:t xml:space="preserve">Y Bartneriaeth Diogelwch Cymunedol leol sy'n pennu'r trothwy a'r broses ar gyfer yr </w:t>
      </w:r>
      <w:r w:rsidR="009D34F1" w:rsidRPr="009D34F1">
        <w:rPr>
          <w:rStyle w:val="normaltextrun"/>
          <w:rFonts w:ascii="Arial" w:hAnsi="Arial" w:cs="Arial"/>
          <w:color w:val="222222"/>
          <w:sz w:val="24"/>
          <w:szCs w:val="24"/>
          <w:lang w:val="cy-GB"/>
        </w:rPr>
        <w:t>Adolygiad Achos Ymddygiad Gwrthgymdeithasol</w:t>
      </w:r>
      <w:r w:rsidRPr="009D34F1">
        <w:rPr>
          <w:rFonts w:ascii="Arial" w:eastAsia="Times New Roman" w:hAnsi="Arial" w:cs="Arial"/>
          <w:color w:val="000000" w:themeColor="text1"/>
          <w:sz w:val="24"/>
          <w:szCs w:val="24"/>
          <w:lang w:val="cy-GB" w:eastAsia="en-GB"/>
        </w:rPr>
        <w:t xml:space="preserve"> i gael ei ddefnyddio'n lleol, yn unol â'r canllawiau cenedlaethol uchod.  Mae manylion y rhain ar gael ar wefan yr awdurdodau lleol:</w:t>
      </w:r>
    </w:p>
    <w:p w14:paraId="6456B186" w14:textId="77777777" w:rsidR="006D17BB" w:rsidRPr="009D34F1" w:rsidRDefault="009665DD" w:rsidP="006D17BB">
      <w:pPr>
        <w:shd w:val="clear" w:color="auto" w:fill="FFFFFF"/>
        <w:rPr>
          <w:rFonts w:ascii="Arial" w:eastAsia="Times New Roman" w:hAnsi="Arial" w:cs="Arial"/>
          <w:color w:val="0070C0"/>
          <w:sz w:val="24"/>
          <w:szCs w:val="24"/>
          <w:lang w:eastAsia="en-GB"/>
        </w:rPr>
      </w:pPr>
      <w:hyperlink r:id="rId6" w:tgtFrame="_blank" w:history="1">
        <w:r w:rsidR="00DD0198" w:rsidRPr="009D34F1">
          <w:rPr>
            <w:rFonts w:ascii="Arial" w:eastAsia="Times New Roman" w:hAnsi="Arial" w:cs="Arial"/>
            <w:b/>
            <w:bCs/>
            <w:color w:val="0070C0"/>
            <w:sz w:val="24"/>
            <w:szCs w:val="24"/>
            <w:u w:val="single"/>
            <w:lang w:val="cy-GB" w:eastAsia="en-GB"/>
          </w:rPr>
          <w:t>Blaenau Gwent</w:t>
        </w:r>
      </w:hyperlink>
    </w:p>
    <w:p w14:paraId="6CE55571" w14:textId="77777777" w:rsidR="006D17BB" w:rsidRPr="009D34F1" w:rsidRDefault="00DD0198" w:rsidP="006D17BB">
      <w:pPr>
        <w:shd w:val="clear" w:color="auto" w:fill="FFFFFF"/>
        <w:rPr>
          <w:rStyle w:val="Hyperlink"/>
          <w:rFonts w:ascii="Arial" w:eastAsia="Times New Roman" w:hAnsi="Arial" w:cs="Arial"/>
          <w:color w:val="0070C0"/>
          <w:sz w:val="24"/>
          <w:szCs w:val="24"/>
          <w:lang w:eastAsia="en-GB"/>
        </w:rPr>
      </w:pPr>
      <w:r w:rsidRPr="009D34F1">
        <w:rPr>
          <w:rFonts w:ascii="Arial" w:eastAsia="Times New Roman" w:hAnsi="Arial" w:cs="Arial"/>
          <w:b/>
          <w:bCs/>
          <w:color w:val="0070C0"/>
          <w:sz w:val="24"/>
          <w:szCs w:val="24"/>
          <w:u w:val="single"/>
          <w:lang w:eastAsia="en-GB"/>
        </w:rPr>
        <w:fldChar w:fldCharType="begin"/>
      </w:r>
      <w:r w:rsidRPr="009D34F1">
        <w:rPr>
          <w:rFonts w:ascii="Arial" w:eastAsia="Times New Roman" w:hAnsi="Arial" w:cs="Arial"/>
          <w:b/>
          <w:bCs/>
          <w:color w:val="0070C0"/>
          <w:sz w:val="24"/>
          <w:szCs w:val="24"/>
          <w:u w:val="single"/>
          <w:lang w:eastAsia="en-GB"/>
        </w:rPr>
        <w:instrText>HYPERLINK "https://www.caerphilly.gov.uk/services/emergencies-and-crime-prevention/community-safety/community-trigger" \t "_blank"</w:instrText>
      </w:r>
      <w:r w:rsidRPr="009D34F1">
        <w:rPr>
          <w:rFonts w:ascii="Arial" w:eastAsia="Times New Roman" w:hAnsi="Arial" w:cs="Arial"/>
          <w:b/>
          <w:bCs/>
          <w:color w:val="0070C0"/>
          <w:sz w:val="24"/>
          <w:szCs w:val="24"/>
          <w:u w:val="single"/>
          <w:lang w:eastAsia="en-GB"/>
        </w:rPr>
      </w:r>
      <w:r w:rsidRPr="009D34F1">
        <w:rPr>
          <w:rFonts w:ascii="Arial" w:eastAsia="Times New Roman" w:hAnsi="Arial" w:cs="Arial"/>
          <w:b/>
          <w:bCs/>
          <w:color w:val="0070C0"/>
          <w:sz w:val="24"/>
          <w:szCs w:val="24"/>
          <w:u w:val="single"/>
          <w:lang w:eastAsia="en-GB"/>
        </w:rPr>
        <w:fldChar w:fldCharType="separate"/>
      </w:r>
      <w:r w:rsidRPr="009D34F1">
        <w:rPr>
          <w:rStyle w:val="Hyperlink"/>
          <w:rFonts w:ascii="Arial" w:eastAsia="Times New Roman" w:hAnsi="Arial" w:cs="Arial"/>
          <w:b/>
          <w:bCs/>
          <w:color w:val="0070C0"/>
          <w:sz w:val="24"/>
          <w:szCs w:val="24"/>
          <w:lang w:val="cy-GB" w:eastAsia="en-GB"/>
        </w:rPr>
        <w:t>Caerffili</w:t>
      </w:r>
    </w:p>
    <w:p w14:paraId="350BC23E" w14:textId="77777777" w:rsidR="006D17BB" w:rsidRPr="009D34F1" w:rsidRDefault="00DD0198" w:rsidP="006D17BB">
      <w:pPr>
        <w:shd w:val="clear" w:color="auto" w:fill="FFFFFF"/>
        <w:rPr>
          <w:rFonts w:ascii="Arial" w:eastAsia="Times New Roman" w:hAnsi="Arial" w:cs="Arial"/>
          <w:color w:val="0070C0"/>
          <w:sz w:val="24"/>
          <w:szCs w:val="24"/>
          <w:lang w:eastAsia="en-GB"/>
        </w:rPr>
      </w:pPr>
      <w:r w:rsidRPr="009D34F1">
        <w:rPr>
          <w:rFonts w:ascii="Arial" w:eastAsia="Times New Roman" w:hAnsi="Arial" w:cs="Arial"/>
          <w:b/>
          <w:bCs/>
          <w:color w:val="0070C0"/>
          <w:sz w:val="24"/>
          <w:szCs w:val="24"/>
          <w:u w:val="single"/>
          <w:lang w:eastAsia="en-GB"/>
        </w:rPr>
        <w:fldChar w:fldCharType="end"/>
      </w:r>
      <w:hyperlink r:id="rId7" w:tgtFrame="_blank" w:history="1">
        <w:r w:rsidRPr="009D34F1">
          <w:rPr>
            <w:rFonts w:ascii="Arial" w:eastAsia="Times New Roman" w:hAnsi="Arial" w:cs="Arial"/>
            <w:b/>
            <w:bCs/>
            <w:color w:val="0070C0"/>
            <w:sz w:val="24"/>
            <w:szCs w:val="24"/>
            <w:u w:val="single"/>
            <w:lang w:val="cy-GB" w:eastAsia="en-GB"/>
          </w:rPr>
          <w:t>Sir Fynwy</w:t>
        </w:r>
      </w:hyperlink>
    </w:p>
    <w:p w14:paraId="1F279779" w14:textId="77777777" w:rsidR="006D17BB" w:rsidRPr="009D34F1" w:rsidRDefault="009665DD" w:rsidP="006D17BB">
      <w:pPr>
        <w:shd w:val="clear" w:color="auto" w:fill="FFFFFF"/>
        <w:rPr>
          <w:rFonts w:ascii="Arial" w:eastAsia="Times New Roman" w:hAnsi="Arial" w:cs="Arial"/>
          <w:color w:val="0070C0"/>
          <w:sz w:val="24"/>
          <w:szCs w:val="24"/>
          <w:lang w:eastAsia="en-GB"/>
        </w:rPr>
      </w:pPr>
      <w:hyperlink r:id="rId8" w:tgtFrame="_blank" w:tooltip="http://www.newport.gov.uk/documents/Transport-and-Streets/Anti-social-Behaviour-Community-Trigger.pdf" w:history="1">
        <w:r w:rsidR="00DD0198" w:rsidRPr="009D34F1">
          <w:rPr>
            <w:rFonts w:ascii="Arial" w:eastAsia="Times New Roman" w:hAnsi="Arial" w:cs="Arial"/>
            <w:b/>
            <w:bCs/>
            <w:color w:val="0070C0"/>
            <w:sz w:val="24"/>
            <w:szCs w:val="24"/>
            <w:u w:val="single"/>
            <w:lang w:val="cy-GB" w:eastAsia="en-GB"/>
          </w:rPr>
          <w:t>Casnewydd</w:t>
        </w:r>
      </w:hyperlink>
    </w:p>
    <w:p w14:paraId="4CEAB35B" w14:textId="77777777" w:rsidR="006D17BB" w:rsidRPr="009D34F1" w:rsidRDefault="009665DD" w:rsidP="006D17BB">
      <w:pPr>
        <w:shd w:val="clear" w:color="auto" w:fill="FFFFFF"/>
        <w:rPr>
          <w:rFonts w:ascii="Arial" w:eastAsia="Times New Roman" w:hAnsi="Arial" w:cs="Arial"/>
          <w:b/>
          <w:bCs/>
          <w:color w:val="0070C0"/>
          <w:sz w:val="24"/>
          <w:szCs w:val="24"/>
          <w:u w:val="single"/>
          <w:lang w:eastAsia="en-GB"/>
        </w:rPr>
      </w:pPr>
      <w:hyperlink r:id="rId9" w:tgtFrame="_blank" w:history="1">
        <w:r w:rsidR="00DD0198" w:rsidRPr="009D34F1">
          <w:rPr>
            <w:rFonts w:ascii="Arial" w:eastAsia="Times New Roman" w:hAnsi="Arial" w:cs="Arial"/>
            <w:b/>
            <w:bCs/>
            <w:color w:val="0070C0"/>
            <w:sz w:val="24"/>
            <w:szCs w:val="24"/>
            <w:u w:val="single"/>
            <w:lang w:val="cy-GB" w:eastAsia="en-GB"/>
          </w:rPr>
          <w:t>Torfaen</w:t>
        </w:r>
      </w:hyperlink>
    </w:p>
    <w:p w14:paraId="62EF7EF3" w14:textId="77777777" w:rsidR="006D17BB" w:rsidRPr="009D34F1" w:rsidRDefault="00DD0198" w:rsidP="006D17BB">
      <w:pPr>
        <w:rPr>
          <w:rFonts w:ascii="Arial" w:hAnsi="Arial" w:cs="Arial"/>
          <w:sz w:val="24"/>
          <w:szCs w:val="24"/>
        </w:rPr>
      </w:pPr>
      <w:r w:rsidRPr="009D34F1">
        <w:rPr>
          <w:rFonts w:ascii="Arial" w:hAnsi="Arial" w:cs="Arial"/>
          <w:sz w:val="24"/>
          <w:szCs w:val="24"/>
          <w:lang w:val="cy-GB"/>
        </w:rPr>
        <w:t xml:space="preserve">Mae'r canllawiau cenedlaethol ar gyfer </w:t>
      </w:r>
      <w:r w:rsidR="009D34F1" w:rsidRPr="009D34F1">
        <w:rPr>
          <w:rStyle w:val="normaltextrun"/>
          <w:rFonts w:ascii="Arial" w:hAnsi="Arial" w:cs="Arial"/>
          <w:color w:val="222222"/>
          <w:sz w:val="24"/>
          <w:szCs w:val="24"/>
          <w:lang w:val="cy-GB"/>
        </w:rPr>
        <w:t>Adolygiad Achos Ymddygiad Gwrthgymdeithasol</w:t>
      </w:r>
      <w:r w:rsidRPr="009D34F1">
        <w:rPr>
          <w:rFonts w:ascii="Arial" w:hAnsi="Arial" w:cs="Arial"/>
          <w:sz w:val="24"/>
          <w:szCs w:val="24"/>
          <w:lang w:val="cy-GB"/>
        </w:rPr>
        <w:t xml:space="preserve"> yn rhoi llwybr i ddioddefwyr ei ddilyn i holi a gafodd gofynion meini prawf yr Adolygiad eu bodloni, neu am y ffordd y cynhaliwyd yr Adolygiad. Yng Ngwent, mae'r llwybr hwnnw'n mynd at y Comisiynydd Heddlu a Throsedd, a fydd yn cyfarwyddo ei swyddfa (Swyddfa'r Comisiynydd) i gynnal adolygiad o'r broses. </w:t>
      </w:r>
    </w:p>
    <w:p w14:paraId="18E628C4" w14:textId="37247E68" w:rsidR="000C6614" w:rsidRPr="009D34F1" w:rsidRDefault="00DD0198" w:rsidP="006D17BB">
      <w:pPr>
        <w:rPr>
          <w:rFonts w:ascii="Arial" w:hAnsi="Arial" w:cs="Arial"/>
          <w:sz w:val="24"/>
          <w:szCs w:val="24"/>
        </w:rPr>
      </w:pPr>
      <w:r w:rsidRPr="009D34F1">
        <w:rPr>
          <w:rFonts w:ascii="Arial" w:hAnsi="Arial" w:cs="Arial"/>
          <w:sz w:val="24"/>
          <w:szCs w:val="24"/>
          <w:lang w:val="cy-GB"/>
        </w:rPr>
        <w:lastRenderedPageBreak/>
        <w:t xml:space="preserve">Dim ond pan fydd y sawl sy'n ceisio adolygiad yn anfodlon ar y ffordd y mae'r cyrff perthnasol wedi ymdrin â'r </w:t>
      </w:r>
      <w:r w:rsidR="009D34F1" w:rsidRPr="009D34F1">
        <w:rPr>
          <w:rStyle w:val="normaltextrun"/>
          <w:rFonts w:ascii="Arial" w:hAnsi="Arial" w:cs="Arial"/>
          <w:color w:val="222222"/>
          <w:sz w:val="24"/>
          <w:szCs w:val="24"/>
          <w:lang w:val="cy-GB"/>
        </w:rPr>
        <w:t>Adolygiad Achos Ymddygiad Gwrthgymdeithasol</w:t>
      </w:r>
      <w:r w:rsidRPr="009D34F1">
        <w:rPr>
          <w:rFonts w:ascii="Arial" w:hAnsi="Arial" w:cs="Arial"/>
          <w:sz w:val="24"/>
          <w:szCs w:val="24"/>
          <w:lang w:val="cy-GB"/>
        </w:rPr>
        <w:t xml:space="preserve"> y gellir atgyfeirio adolygiad achos at Swyddfa'r Comisiynydd. </w:t>
      </w:r>
      <w:r w:rsidRPr="009D34F1">
        <w:rPr>
          <w:rFonts w:ascii="Arial" w:hAnsi="Arial" w:cs="Arial"/>
          <w:b/>
          <w:bCs/>
          <w:sz w:val="24"/>
          <w:szCs w:val="24"/>
          <w:u w:val="single"/>
          <w:lang w:val="cy-GB"/>
        </w:rPr>
        <w:t>Ni fydd</w:t>
      </w:r>
      <w:r w:rsidRPr="009D34F1">
        <w:rPr>
          <w:rFonts w:ascii="Arial" w:hAnsi="Arial" w:cs="Arial"/>
          <w:sz w:val="24"/>
          <w:szCs w:val="24"/>
          <w:lang w:val="cy-GB"/>
        </w:rPr>
        <w:t xml:space="preserve"> Swyddfa'r Comisiynydd yn cynnal yr Adolygiad Achos Ymddygiad Gwrthgymdeithasol ei hun. </w:t>
      </w:r>
    </w:p>
    <w:p w14:paraId="50B69DAD" w14:textId="77777777" w:rsidR="00E768E7" w:rsidRPr="009D34F1" w:rsidRDefault="00DD0198" w:rsidP="006D17BB">
      <w:pPr>
        <w:rPr>
          <w:rFonts w:ascii="Arial" w:hAnsi="Arial" w:cs="Arial"/>
          <w:sz w:val="24"/>
          <w:szCs w:val="24"/>
        </w:rPr>
      </w:pPr>
      <w:r w:rsidRPr="009D34F1">
        <w:rPr>
          <w:rFonts w:ascii="Arial" w:hAnsi="Arial" w:cs="Arial"/>
          <w:sz w:val="24"/>
          <w:szCs w:val="24"/>
          <w:lang w:val="cy-GB"/>
        </w:rPr>
        <w:t xml:space="preserve">Rôl Swyddfa'r Comisiynydd yw ystyried y drefn briodol a sicrhau bod y partneriaid perthnasol wedi cynnal adolygiad achos yn gywir ac yn effeithiol trwy ystyried y canlynol:  </w:t>
      </w:r>
    </w:p>
    <w:p w14:paraId="08CBD1B7" w14:textId="77777777" w:rsidR="000C6614" w:rsidRPr="009D34F1" w:rsidRDefault="00DD0198" w:rsidP="006D17BB">
      <w:pPr>
        <w:numPr>
          <w:ilvl w:val="0"/>
          <w:numId w:val="2"/>
        </w:numPr>
        <w:rPr>
          <w:rFonts w:ascii="Arial" w:hAnsi="Arial" w:cs="Arial"/>
          <w:sz w:val="24"/>
          <w:szCs w:val="24"/>
        </w:rPr>
      </w:pPr>
      <w:r w:rsidRPr="009D34F1">
        <w:rPr>
          <w:rFonts w:ascii="Arial" w:hAnsi="Arial" w:cs="Arial"/>
          <w:sz w:val="24"/>
          <w:szCs w:val="24"/>
          <w:lang w:val="cy-GB"/>
        </w:rPr>
        <w:t>A yw'r Adolygiad wedi methu ag ystyried proses, polisi neu brotocol perthnasol;</w:t>
      </w:r>
    </w:p>
    <w:p w14:paraId="0E39011F" w14:textId="77777777" w:rsidR="000C6614" w:rsidRPr="009D34F1" w:rsidRDefault="00DD0198" w:rsidP="006D17BB">
      <w:pPr>
        <w:numPr>
          <w:ilvl w:val="0"/>
          <w:numId w:val="2"/>
        </w:numPr>
        <w:rPr>
          <w:rFonts w:ascii="Arial" w:hAnsi="Arial" w:cs="Arial"/>
          <w:sz w:val="24"/>
          <w:szCs w:val="24"/>
        </w:rPr>
      </w:pPr>
      <w:r w:rsidRPr="009D34F1">
        <w:rPr>
          <w:rFonts w:ascii="Arial" w:hAnsi="Arial" w:cs="Arial"/>
          <w:sz w:val="24"/>
          <w:szCs w:val="24"/>
          <w:lang w:val="cy-GB"/>
        </w:rPr>
        <w:t>A yw'r Adolygiad wedi methu ag ystyried gwybodaeth ffeithiol berthnasol.</w:t>
      </w:r>
    </w:p>
    <w:p w14:paraId="3BECB91C" w14:textId="77777777" w:rsidR="00E768E7" w:rsidRPr="009D34F1" w:rsidRDefault="00DD0198" w:rsidP="006D17BB">
      <w:pPr>
        <w:rPr>
          <w:rFonts w:ascii="Arial" w:hAnsi="Arial" w:cs="Arial"/>
          <w:sz w:val="24"/>
          <w:szCs w:val="24"/>
        </w:rPr>
      </w:pPr>
      <w:r w:rsidRPr="009D34F1">
        <w:rPr>
          <w:rFonts w:ascii="Arial" w:hAnsi="Arial" w:cs="Arial"/>
          <w:sz w:val="24"/>
          <w:szCs w:val="24"/>
          <w:lang w:val="cy-GB"/>
        </w:rPr>
        <w:t>Yn dilyn adolygiad, y cyfan y gall Swyddfa'r Comisiynydd ei wneud yw:</w:t>
      </w:r>
    </w:p>
    <w:p w14:paraId="03863F84" w14:textId="6CF2A980" w:rsidR="00E768E7" w:rsidRPr="009D34F1" w:rsidRDefault="001573CF" w:rsidP="002060BC">
      <w:pPr>
        <w:pStyle w:val="ListParagraph"/>
        <w:numPr>
          <w:ilvl w:val="0"/>
          <w:numId w:val="3"/>
        </w:numPr>
        <w:rPr>
          <w:rFonts w:ascii="Arial" w:hAnsi="Arial" w:cs="Arial"/>
          <w:sz w:val="24"/>
          <w:szCs w:val="24"/>
        </w:rPr>
      </w:pPr>
      <w:r>
        <w:rPr>
          <w:rFonts w:ascii="Arial" w:hAnsi="Arial" w:cs="Arial"/>
          <w:sz w:val="24"/>
          <w:szCs w:val="24"/>
          <w:lang w:val="cy-GB"/>
        </w:rPr>
        <w:t>C</w:t>
      </w:r>
      <w:r w:rsidRPr="009D34F1">
        <w:rPr>
          <w:rFonts w:ascii="Arial" w:hAnsi="Arial" w:cs="Arial"/>
          <w:sz w:val="24"/>
          <w:szCs w:val="24"/>
          <w:lang w:val="cy-GB"/>
        </w:rPr>
        <w:t xml:space="preserve">yfeirio'r achos yn ôl at y Panel Adolygiad Lleol a gofyn iddynt ystyried proses, polisi neu brotocol penodol nad ystyriwyd yn flaenorol (ni all Swyddfa'r Comisiynydd) orchymyn bod Adolygiad Achos yn cael ei gynnal, ond gall argymell hynny);  </w:t>
      </w:r>
      <w:r w:rsidRPr="009D34F1">
        <w:rPr>
          <w:rFonts w:ascii="Arial" w:hAnsi="Arial" w:cs="Arial"/>
          <w:b/>
          <w:bCs/>
          <w:sz w:val="24"/>
          <w:szCs w:val="24"/>
          <w:lang w:val="cy-GB"/>
        </w:rPr>
        <w:t>neu</w:t>
      </w:r>
    </w:p>
    <w:p w14:paraId="503F6459" w14:textId="77777777" w:rsidR="00DF432C" w:rsidRPr="009D34F1" w:rsidRDefault="00DD0198" w:rsidP="006D17BB">
      <w:pPr>
        <w:numPr>
          <w:ilvl w:val="0"/>
          <w:numId w:val="3"/>
        </w:numPr>
        <w:rPr>
          <w:rFonts w:ascii="Arial" w:hAnsi="Arial" w:cs="Arial"/>
          <w:sz w:val="24"/>
          <w:szCs w:val="24"/>
        </w:rPr>
      </w:pPr>
      <w:r w:rsidRPr="009D34F1">
        <w:rPr>
          <w:rFonts w:ascii="Arial" w:hAnsi="Arial" w:cs="Arial"/>
          <w:sz w:val="24"/>
          <w:szCs w:val="24"/>
          <w:lang w:val="cy-GB"/>
        </w:rPr>
        <w:t xml:space="preserve">Benderfynu bod y Panel Adolygiad Lleol wedi adolygu'r achos yn briodol, ac wedi ystyried pob polisi, proses a phrotocol perthnasol. </w:t>
      </w:r>
    </w:p>
    <w:p w14:paraId="2AF9896B" w14:textId="77777777" w:rsidR="00865509" w:rsidRPr="009D34F1" w:rsidRDefault="00DD0198" w:rsidP="00865509">
      <w:pPr>
        <w:rPr>
          <w:rFonts w:ascii="Arial" w:hAnsi="Arial" w:cs="Arial"/>
          <w:sz w:val="24"/>
          <w:szCs w:val="24"/>
        </w:rPr>
      </w:pPr>
      <w:r w:rsidRPr="009D34F1">
        <w:rPr>
          <w:rFonts w:ascii="Arial" w:hAnsi="Arial" w:cs="Arial"/>
          <w:sz w:val="24"/>
          <w:szCs w:val="24"/>
          <w:lang w:val="cy-GB"/>
        </w:rPr>
        <w:t xml:space="preserve">Yn y naill senario neu'r llall, bydd Swyddfa'r Comisiynydd yn rhannu sylwadau gyda'r asiantaethau perthnasol a'r ceisydd/ceiswyr. </w:t>
      </w:r>
    </w:p>
    <w:p w14:paraId="4219949B" w14:textId="77777777" w:rsidR="002060BC" w:rsidRPr="009D34F1" w:rsidRDefault="00DD0198" w:rsidP="006D17BB">
      <w:pPr>
        <w:rPr>
          <w:rFonts w:ascii="Arial" w:hAnsi="Arial" w:cs="Arial"/>
          <w:sz w:val="24"/>
          <w:szCs w:val="24"/>
        </w:rPr>
      </w:pPr>
      <w:r w:rsidRPr="009D34F1">
        <w:rPr>
          <w:rFonts w:ascii="Arial" w:hAnsi="Arial" w:cs="Arial"/>
          <w:sz w:val="24"/>
          <w:szCs w:val="24"/>
          <w:lang w:val="cy-GB"/>
        </w:rPr>
        <w:t>Bydd Swyddfa'r Comisiynydd yn cynnal y broses yma trwy adolygu'r ffeil achos ar gyfer yr Adolygiad Achos Ymddygiad Gwrthgymdeithasol, a baratowyd gan y pwynt cyswllt penodol o'r bartneriaeth diogelwch cymunedol. Dylai ffeil achos arfer gorau gynnwys:</w:t>
      </w:r>
    </w:p>
    <w:p w14:paraId="6A66C3C4" w14:textId="77777777" w:rsidR="002060BC" w:rsidRPr="009D34F1" w:rsidRDefault="00DD0198" w:rsidP="002060BC">
      <w:pPr>
        <w:pStyle w:val="ListParagraph"/>
        <w:numPr>
          <w:ilvl w:val="0"/>
          <w:numId w:val="4"/>
        </w:numPr>
        <w:rPr>
          <w:rFonts w:ascii="Arial" w:hAnsi="Arial" w:cs="Arial"/>
          <w:sz w:val="24"/>
          <w:szCs w:val="24"/>
        </w:rPr>
      </w:pPr>
      <w:r w:rsidRPr="009D34F1">
        <w:rPr>
          <w:rFonts w:ascii="Arial" w:hAnsi="Arial" w:cs="Arial"/>
          <w:sz w:val="24"/>
          <w:szCs w:val="24"/>
          <w:lang w:val="cy-GB"/>
        </w:rPr>
        <w:t>Cofnod o ddigwyddiadau</w:t>
      </w:r>
    </w:p>
    <w:p w14:paraId="03711EA8" w14:textId="77777777" w:rsidR="002060BC" w:rsidRPr="009D34F1" w:rsidRDefault="00DD0198" w:rsidP="002060BC">
      <w:pPr>
        <w:pStyle w:val="ListParagraph"/>
        <w:numPr>
          <w:ilvl w:val="0"/>
          <w:numId w:val="4"/>
        </w:numPr>
        <w:rPr>
          <w:rFonts w:ascii="Arial" w:hAnsi="Arial" w:cs="Arial"/>
          <w:sz w:val="24"/>
          <w:szCs w:val="24"/>
        </w:rPr>
      </w:pPr>
      <w:r w:rsidRPr="009D34F1">
        <w:rPr>
          <w:rFonts w:ascii="Arial" w:hAnsi="Arial" w:cs="Arial"/>
          <w:sz w:val="24"/>
          <w:szCs w:val="24"/>
          <w:lang w:val="cy-GB"/>
        </w:rPr>
        <w:t>Trefn amser o'r camau gweithredu a gymerwyd gan asiantaethau</w:t>
      </w:r>
    </w:p>
    <w:p w14:paraId="25B1CE74" w14:textId="77777777" w:rsidR="002060BC" w:rsidRPr="009D34F1" w:rsidRDefault="00DD0198" w:rsidP="002060BC">
      <w:pPr>
        <w:pStyle w:val="ListParagraph"/>
        <w:numPr>
          <w:ilvl w:val="0"/>
          <w:numId w:val="4"/>
        </w:numPr>
        <w:rPr>
          <w:rFonts w:ascii="Arial" w:hAnsi="Arial" w:cs="Arial"/>
          <w:sz w:val="24"/>
          <w:szCs w:val="24"/>
        </w:rPr>
      </w:pPr>
      <w:r w:rsidRPr="009D34F1">
        <w:rPr>
          <w:rFonts w:ascii="Arial" w:hAnsi="Arial" w:cs="Arial"/>
          <w:sz w:val="24"/>
          <w:szCs w:val="24"/>
          <w:lang w:val="cy-GB"/>
        </w:rPr>
        <w:t>Crynodeb ysgrifenedig o'r rheswm dros benderfyniad yr Adolygiad Achos</w:t>
      </w:r>
    </w:p>
    <w:p w14:paraId="3149ED31" w14:textId="77777777" w:rsidR="002060BC" w:rsidRPr="009D34F1" w:rsidRDefault="00DD0198" w:rsidP="002060BC">
      <w:pPr>
        <w:pStyle w:val="ListParagraph"/>
        <w:numPr>
          <w:ilvl w:val="0"/>
          <w:numId w:val="4"/>
        </w:numPr>
        <w:rPr>
          <w:rFonts w:ascii="Arial" w:hAnsi="Arial" w:cs="Arial"/>
          <w:sz w:val="24"/>
          <w:szCs w:val="24"/>
        </w:rPr>
      </w:pPr>
      <w:r w:rsidRPr="009D34F1">
        <w:rPr>
          <w:rFonts w:ascii="Arial" w:hAnsi="Arial" w:cs="Arial"/>
          <w:sz w:val="24"/>
          <w:szCs w:val="24"/>
          <w:lang w:val="cy-GB"/>
        </w:rPr>
        <w:t>Copi o'r cofnodion gan y Panel Adolygiad Achos</w:t>
      </w:r>
    </w:p>
    <w:p w14:paraId="7C1D3B5A" w14:textId="77777777" w:rsidR="002060BC" w:rsidRPr="009D34F1" w:rsidRDefault="00DD0198" w:rsidP="002060BC">
      <w:pPr>
        <w:pStyle w:val="ListParagraph"/>
        <w:numPr>
          <w:ilvl w:val="0"/>
          <w:numId w:val="4"/>
        </w:numPr>
        <w:rPr>
          <w:rFonts w:ascii="Arial" w:hAnsi="Arial" w:cs="Arial"/>
          <w:sz w:val="24"/>
          <w:szCs w:val="24"/>
        </w:rPr>
      </w:pPr>
      <w:r w:rsidRPr="009D34F1">
        <w:rPr>
          <w:rFonts w:ascii="Arial" w:hAnsi="Arial" w:cs="Arial"/>
          <w:sz w:val="24"/>
          <w:szCs w:val="24"/>
          <w:lang w:val="cy-GB"/>
        </w:rPr>
        <w:t xml:space="preserve">Unrhyw lythyr at y ceisydd ynglŷn â chanlyniad.  </w:t>
      </w:r>
    </w:p>
    <w:p w14:paraId="087AE1A3" w14:textId="77777777" w:rsidR="007050EE" w:rsidRPr="009D34F1" w:rsidRDefault="00DD0198" w:rsidP="002060BC">
      <w:pPr>
        <w:rPr>
          <w:rFonts w:ascii="Arial" w:hAnsi="Arial" w:cs="Arial"/>
          <w:sz w:val="24"/>
          <w:szCs w:val="24"/>
        </w:rPr>
      </w:pPr>
      <w:r w:rsidRPr="009D34F1">
        <w:rPr>
          <w:rFonts w:ascii="Arial" w:hAnsi="Arial" w:cs="Arial"/>
          <w:sz w:val="24"/>
          <w:szCs w:val="24"/>
          <w:lang w:val="cy-GB"/>
        </w:rPr>
        <w:t xml:space="preserve">Efallai y bydd angen i Swyddfa'r Comisiynydd siarad ag unigolion perthnasol, gan gynnwys y rheini ar y panel a'r ceisydd/ceiswyr, i gael rhagor o wybodaeth. </w:t>
      </w:r>
    </w:p>
    <w:p w14:paraId="6D2EDA17" w14:textId="77777777" w:rsidR="007050EE" w:rsidRPr="009D34F1" w:rsidRDefault="00DD0198" w:rsidP="006D17BB">
      <w:pPr>
        <w:rPr>
          <w:rFonts w:ascii="Arial" w:hAnsi="Arial" w:cs="Arial"/>
          <w:sz w:val="24"/>
          <w:szCs w:val="24"/>
        </w:rPr>
      </w:pPr>
      <w:r w:rsidRPr="009D34F1">
        <w:rPr>
          <w:rFonts w:ascii="Arial" w:hAnsi="Arial" w:cs="Arial"/>
          <w:sz w:val="24"/>
          <w:szCs w:val="24"/>
          <w:lang w:val="cy-GB"/>
        </w:rPr>
        <w:t xml:space="preserve">Ni ellir uwchgyfeirio Adolygiad at Swyddfa'r Comisiynydd os yw ceisydd yn anfodlon oherwydd bod asiantaeth benodol wedi methu â defnyddio offeryn gorfodi penodol ar gyfer unrhyw rai o'r digwyddiadau dan sylw. </w:t>
      </w:r>
    </w:p>
    <w:p w14:paraId="3971A72E" w14:textId="77777777" w:rsidR="005F52FB" w:rsidRPr="009D34F1" w:rsidRDefault="00DD0198" w:rsidP="006D17BB">
      <w:pPr>
        <w:rPr>
          <w:rFonts w:ascii="Arial" w:hAnsi="Arial" w:cs="Arial"/>
          <w:sz w:val="24"/>
          <w:szCs w:val="24"/>
        </w:rPr>
      </w:pPr>
      <w:r w:rsidRPr="009D34F1">
        <w:rPr>
          <w:rFonts w:ascii="Arial" w:hAnsi="Arial" w:cs="Arial"/>
          <w:sz w:val="24"/>
          <w:szCs w:val="24"/>
          <w:lang w:val="cy-GB"/>
        </w:rPr>
        <w:t xml:space="preserve">Ni fydd Swyddfa'r Comisiynydd yn ail ymchwilio i ddigwyddiadau a drafodwyd yn yr Adolygiad Achos Ymddygiad Gwrthgymdeithasol a gall ond benderfynu a oedd y </w:t>
      </w:r>
      <w:r w:rsidRPr="009D34F1">
        <w:rPr>
          <w:rFonts w:ascii="Arial" w:hAnsi="Arial" w:cs="Arial"/>
          <w:sz w:val="24"/>
          <w:szCs w:val="24"/>
          <w:lang w:val="cy-GB"/>
        </w:rPr>
        <w:lastRenderedPageBreak/>
        <w:t xml:space="preserve">broses Adolygiad Achos ei hun a'r canlyniad yn rhesymol ac yn unol â pholisïau a gweithdrefnau perthnasol. </w:t>
      </w:r>
    </w:p>
    <w:p w14:paraId="58276F3E" w14:textId="77777777" w:rsidR="00865509" w:rsidRPr="009D34F1" w:rsidRDefault="00DD0198" w:rsidP="006D17BB">
      <w:pPr>
        <w:rPr>
          <w:rFonts w:ascii="Arial" w:hAnsi="Arial" w:cs="Arial"/>
          <w:sz w:val="24"/>
          <w:szCs w:val="24"/>
        </w:rPr>
      </w:pPr>
      <w:r w:rsidRPr="009D34F1">
        <w:rPr>
          <w:rFonts w:ascii="Arial" w:hAnsi="Arial" w:cs="Arial"/>
          <w:sz w:val="24"/>
          <w:szCs w:val="24"/>
          <w:lang w:val="cy-GB"/>
        </w:rPr>
        <w:t xml:space="preserve">Yn ogystal, ni all Swyddfa'r Comisiynydd ystyried digwyddiadau ar wahân neu ddigwyddiadau newydd na chafodd asiantaethau perthnasol adroddiad amdanynt neu na chafodd eu rhannu gyda'r panel (bydd angen rhannu'r rhain gyda'r asiantaethau i'w hystyried mewn Adolygiad Achos Ymddygiad Gwrthgymdeithasol newydd). </w:t>
      </w:r>
    </w:p>
    <w:p w14:paraId="7BE38E10" w14:textId="7849DB26" w:rsidR="00E768E7" w:rsidRPr="009D34F1" w:rsidRDefault="00DD0198" w:rsidP="006D17BB">
      <w:pPr>
        <w:rPr>
          <w:rFonts w:ascii="Arial" w:hAnsi="Arial" w:cs="Arial"/>
          <w:sz w:val="24"/>
          <w:szCs w:val="24"/>
        </w:rPr>
      </w:pPr>
      <w:r w:rsidRPr="009D34F1">
        <w:rPr>
          <w:rFonts w:ascii="Arial" w:hAnsi="Arial" w:cs="Arial"/>
          <w:sz w:val="24"/>
          <w:szCs w:val="24"/>
          <w:lang w:val="cy-GB"/>
        </w:rPr>
        <w:t xml:space="preserve">Yn olaf, ni all Swyddfa'r Comisiynydd ystyried cwynion am aelodau unigol o staff o unrhyw asiantaeth. Dylid cyfeirio pryderon ynghylch ymddygiad staff at adran cwynion eu sefydliadau priodol. </w:t>
      </w:r>
    </w:p>
    <w:p w14:paraId="63CDF545" w14:textId="77777777" w:rsidR="007050EE" w:rsidRPr="009D34F1" w:rsidRDefault="00DD0198" w:rsidP="006D17BB">
      <w:pPr>
        <w:rPr>
          <w:rFonts w:ascii="Arial" w:hAnsi="Arial" w:cs="Arial"/>
          <w:b/>
          <w:sz w:val="24"/>
          <w:szCs w:val="24"/>
        </w:rPr>
      </w:pPr>
      <w:r w:rsidRPr="009D34F1">
        <w:rPr>
          <w:rStyle w:val="normaltextrun"/>
          <w:rFonts w:ascii="Arial" w:hAnsi="Arial" w:cs="Arial"/>
          <w:color w:val="222222"/>
          <w:sz w:val="24"/>
          <w:szCs w:val="24"/>
          <w:lang w:val="cy-GB"/>
        </w:rPr>
        <w:t>Adolygiad Achos Ymddygiad Gwrthgymdeithasol</w:t>
      </w:r>
      <w:r w:rsidRPr="009D34F1">
        <w:rPr>
          <w:rFonts w:ascii="Arial" w:hAnsi="Arial" w:cs="Arial"/>
          <w:b/>
          <w:bCs/>
          <w:sz w:val="24"/>
          <w:szCs w:val="24"/>
          <w:lang w:val="cy-GB"/>
        </w:rPr>
        <w:t xml:space="preserve"> – Gweithdrefn Adolygu Swyddfa'r Comisiynydd</w:t>
      </w:r>
    </w:p>
    <w:p w14:paraId="6F4742D6" w14:textId="77777777" w:rsidR="000C6614" w:rsidRPr="009D34F1" w:rsidRDefault="00DD0198" w:rsidP="00D93003">
      <w:pPr>
        <w:rPr>
          <w:rFonts w:ascii="Arial" w:hAnsi="Arial" w:cs="Arial"/>
          <w:b/>
          <w:sz w:val="24"/>
          <w:szCs w:val="24"/>
        </w:rPr>
      </w:pPr>
      <w:r w:rsidRPr="009D34F1">
        <w:rPr>
          <w:rFonts w:ascii="Arial" w:hAnsi="Arial" w:cs="Arial"/>
          <w:sz w:val="24"/>
          <w:szCs w:val="24"/>
          <w:lang w:val="cy-GB"/>
        </w:rPr>
        <w:t>Mae'r weithdrefn ar gyfer adolygu sut y cynhaliwyd y Panel Adolygiad Achos a/neu sut y methodd wneud argymhellion addas, fel a ganlyn:</w:t>
      </w:r>
    </w:p>
    <w:p w14:paraId="1BDC05BA" w14:textId="77777777" w:rsidR="00D93003"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 xml:space="preserve">O fewn 30 diwrnod i greu adroddiad y Panel, caiff Swyddfa'r Comisiynydd ei hysbysu gan bwynt cyswllt penodol yr awdurdod lleol/partneriaeth diogelwch cymunedol bod y ceisydd eisiau galw i rym yr hawl i adolygu'r modd y cynhaliwyd y Panel Adolygiad Achos. </w:t>
      </w:r>
      <w:r w:rsidRPr="009D34F1">
        <w:rPr>
          <w:rFonts w:ascii="Arial" w:hAnsi="Arial" w:cs="Arial"/>
          <w:b/>
          <w:bCs/>
          <w:sz w:val="24"/>
          <w:szCs w:val="24"/>
          <w:lang w:val="cy-GB"/>
        </w:rPr>
        <w:t>Bydd y pwynt cyswllt penodol yn gofyn i'r ceisydd anfon e-bost at Swyddfa'r Comisiynydd yn gofyn am adolygiad o'i Adolygiad Achos at sylw mewnflwch y Comisiynydd (</w:t>
      </w:r>
      <w:hyperlink r:id="rId10" w:history="1">
        <w:r w:rsidR="00DA0F4A" w:rsidRPr="009D34F1">
          <w:rPr>
            <w:rStyle w:val="Hyperlink"/>
            <w:rFonts w:ascii="Arial" w:hAnsi="Arial" w:cs="Arial"/>
            <w:b/>
            <w:bCs/>
            <w:sz w:val="24"/>
            <w:szCs w:val="24"/>
            <w:lang w:val="cy-GB"/>
          </w:rPr>
          <w:t>commissioner@gwent.police.uk</w:t>
        </w:r>
      </w:hyperlink>
      <w:r w:rsidRPr="009D34F1">
        <w:rPr>
          <w:rFonts w:ascii="Arial" w:hAnsi="Arial" w:cs="Arial"/>
          <w:b/>
          <w:bCs/>
          <w:sz w:val="24"/>
          <w:szCs w:val="24"/>
          <w:lang w:val="cy-GB"/>
        </w:rPr>
        <w:t>).</w:t>
      </w:r>
      <w:r w:rsidRPr="009D34F1">
        <w:rPr>
          <w:rFonts w:ascii="Arial" w:hAnsi="Arial" w:cs="Arial"/>
          <w:sz w:val="24"/>
          <w:szCs w:val="24"/>
          <w:lang w:val="cy-GB"/>
        </w:rPr>
        <w:t xml:space="preserve"> </w:t>
      </w:r>
    </w:p>
    <w:p w14:paraId="62D47F51" w14:textId="77777777" w:rsidR="000C6614"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 xml:space="preserve">Ar yr un pryd, bydd y pwynt cyswllt penodol yn rhoi'r ffeil achos perthnasol i Swyddfa'r Comisiynydd. </w:t>
      </w:r>
    </w:p>
    <w:p w14:paraId="0D2542F6" w14:textId="1C7D146A" w:rsidR="00E768E7"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Bydd Swyddfa'r Comisiynydd yn anfon cydnabyddiaeth ei bod wedi derbyn y cais am adolygiad at y ceisydd a'r pwynt cyswllt penodol, gan ddangos amserlen ar gyfer ymateb i'r cais. Bydd Swyddfa'r Comisiynydd yn anelu at gwblhau’r adolygiad o fewn 30 diwrnod i dderbyn y cais a bydd yn rhoi gwybod am unrhyw eithriadau i hyn.</w:t>
      </w:r>
    </w:p>
    <w:p w14:paraId="6986867F" w14:textId="77777777" w:rsidR="000C6614"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 xml:space="preserve">Wrth gydnabod derbyn y cais, bydd Swyddfa'r Comisiynydd yn gofyn i'r ceisydd nodi pam yr hoffai apelio ac am gopi o unrhyw ddogfennau sy'n berthnasol i'r achos. </w:t>
      </w:r>
    </w:p>
    <w:p w14:paraId="68E299A4" w14:textId="77777777" w:rsidR="000C6614"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 xml:space="preserve">O fewn yr amserlen a bennwyd, bydd Swyddfa'r Comisiynydd yn adolygu canlyniad y Panel Adolygiad Achos yn erbyn y broses a'r meini prawf cytûn sydd mewn lle ar gyfer yr ardal awdurdod lleol penodol. Mae hyn yn cynnwys cyfeirio at y canllawiau cenedlaethol a sgyrsiau gyda'r rhai dan sylw, fel y bo'n briodol. </w:t>
      </w:r>
    </w:p>
    <w:p w14:paraId="582D0ACF" w14:textId="77777777" w:rsidR="00D93003"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lastRenderedPageBreak/>
        <w:t xml:space="preserve">Tra bydd yr adolygiad yn cael ei gynnal, bydd y ceisydd yn derbyn gwybodaeth bob 14 diwrnod, oni bai y nodir fel arall neu y cytunir ar amseroedd gwahanol gyda'r ceisydd. </w:t>
      </w:r>
    </w:p>
    <w:p w14:paraId="5304860F" w14:textId="77777777" w:rsidR="000C6614" w:rsidRPr="009D34F1" w:rsidRDefault="00DD0198" w:rsidP="00D93003">
      <w:pPr>
        <w:pStyle w:val="NoSpacing"/>
        <w:numPr>
          <w:ilvl w:val="0"/>
          <w:numId w:val="1"/>
        </w:numPr>
        <w:spacing w:after="200" w:line="276" w:lineRule="auto"/>
        <w:rPr>
          <w:rFonts w:ascii="Arial" w:hAnsi="Arial" w:cs="Arial"/>
          <w:sz w:val="24"/>
          <w:szCs w:val="24"/>
        </w:rPr>
      </w:pPr>
      <w:r w:rsidRPr="009D34F1">
        <w:rPr>
          <w:rFonts w:ascii="Arial" w:hAnsi="Arial" w:cs="Arial"/>
          <w:sz w:val="24"/>
          <w:szCs w:val="24"/>
          <w:lang w:val="cy-GB"/>
        </w:rPr>
        <w:t xml:space="preserve">Bydd Swyddfa'r Comisiynydd yn hysbysu'r ceisydd, yn ysgrifenedig, am ganfyddiadau a/neu argymhellion yr adolygiad, gan nodi y bydd y rhain yn cael eu darparu ar gyfer pwynt cyswllt penodol y Panel Adolygiad Achos perthnasol hefyd. </w:t>
      </w:r>
    </w:p>
    <w:p w14:paraId="6F97C5A3" w14:textId="46E85B1A" w:rsidR="000C3EAF" w:rsidRPr="009D34F1" w:rsidRDefault="001573CF" w:rsidP="00D93003">
      <w:pPr>
        <w:pStyle w:val="NoSpacing"/>
        <w:numPr>
          <w:ilvl w:val="0"/>
          <w:numId w:val="1"/>
        </w:numPr>
        <w:spacing w:after="200" w:line="276" w:lineRule="auto"/>
        <w:rPr>
          <w:rFonts w:ascii="Arial" w:hAnsi="Arial" w:cs="Arial"/>
          <w:sz w:val="24"/>
          <w:szCs w:val="24"/>
        </w:rPr>
      </w:pPr>
      <w:r>
        <w:rPr>
          <w:rFonts w:ascii="Arial" w:eastAsiaTheme="minorHAnsi" w:hAnsi="Arial" w:cs="Arial"/>
          <w:b/>
          <w:bCs/>
          <w:sz w:val="24"/>
          <w:szCs w:val="24"/>
          <w:lang w:val="cy-GB"/>
        </w:rPr>
        <w:t>Diwedd</w:t>
      </w:r>
      <w:r>
        <w:rPr>
          <w:rFonts w:ascii="Arial" w:eastAsiaTheme="minorHAnsi" w:hAnsi="Arial" w:cs="Arial"/>
          <w:sz w:val="24"/>
          <w:szCs w:val="24"/>
          <w:lang w:val="cy-GB"/>
        </w:rPr>
        <w:t xml:space="preserve"> y broses adolygu. </w:t>
      </w:r>
      <w:r>
        <w:rPr>
          <w:rFonts w:ascii="Arial" w:eastAsiaTheme="minorHAnsi" w:hAnsi="Arial" w:cs="Arial"/>
          <w:b/>
          <w:bCs/>
          <w:sz w:val="24"/>
          <w:szCs w:val="24"/>
          <w:lang w:val="cy-GB"/>
        </w:rPr>
        <w:t>Nid oes hawl i apelio ymhellach i Swyddfa'r Comisiynydd.</w:t>
      </w:r>
    </w:p>
    <w:p w14:paraId="2C85F667" w14:textId="77777777" w:rsidR="006D17BB" w:rsidRPr="009D34F1" w:rsidRDefault="006D17BB" w:rsidP="006D17BB">
      <w:pPr>
        <w:pStyle w:val="NoSpacing"/>
        <w:rPr>
          <w:rFonts w:ascii="Arial" w:hAnsi="Arial" w:cs="Arial"/>
          <w:b/>
          <w:sz w:val="24"/>
          <w:szCs w:val="24"/>
        </w:rPr>
      </w:pPr>
    </w:p>
    <w:p w14:paraId="2A4A8E62" w14:textId="77777777" w:rsidR="006D17BB" w:rsidRPr="009D34F1" w:rsidRDefault="006D17BB" w:rsidP="006D17BB">
      <w:pPr>
        <w:pStyle w:val="NoSpacing"/>
        <w:rPr>
          <w:rFonts w:ascii="Arial" w:hAnsi="Arial" w:cs="Arial"/>
          <w:b/>
          <w:sz w:val="24"/>
          <w:szCs w:val="24"/>
        </w:rPr>
      </w:pPr>
    </w:p>
    <w:p w14:paraId="09450B97" w14:textId="77777777" w:rsidR="006D17BB" w:rsidRPr="009D34F1" w:rsidRDefault="00DD0198" w:rsidP="006D17BB">
      <w:pPr>
        <w:pStyle w:val="NoSpacing"/>
        <w:rPr>
          <w:rFonts w:ascii="Arial" w:hAnsi="Arial" w:cs="Arial"/>
          <w:sz w:val="24"/>
          <w:szCs w:val="24"/>
        </w:rPr>
      </w:pPr>
      <w:r w:rsidRPr="009D34F1">
        <w:rPr>
          <w:rFonts w:ascii="Arial" w:hAnsi="Arial" w:cs="Arial"/>
          <w:b/>
          <w:bCs/>
          <w:sz w:val="24"/>
          <w:szCs w:val="24"/>
          <w:lang w:val="cy-GB"/>
        </w:rPr>
        <w:t>Diweddarwyd ddiwethaf 7 Mai 2024.</w:t>
      </w:r>
      <w:bookmarkStart w:id="0" w:name="cysill"/>
      <w:bookmarkEnd w:id="0"/>
    </w:p>
    <w:sectPr w:rsidR="006D17BB" w:rsidRPr="009D3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3292"/>
    <w:multiLevelType w:val="hybridMultilevel"/>
    <w:tmpl w:val="1ECCBEFA"/>
    <w:lvl w:ilvl="0" w:tplc="5FF0FB56">
      <w:start w:val="1"/>
      <w:numFmt w:val="bullet"/>
      <w:lvlText w:val=""/>
      <w:lvlJc w:val="left"/>
      <w:pPr>
        <w:ind w:left="720" w:hanging="360"/>
      </w:pPr>
      <w:rPr>
        <w:rFonts w:ascii="Symbol" w:hAnsi="Symbol" w:hint="default"/>
      </w:rPr>
    </w:lvl>
    <w:lvl w:ilvl="1" w:tplc="DA187794">
      <w:start w:val="1"/>
      <w:numFmt w:val="bullet"/>
      <w:lvlText w:val=""/>
      <w:lvlJc w:val="left"/>
      <w:pPr>
        <w:ind w:left="1440" w:hanging="360"/>
      </w:pPr>
      <w:rPr>
        <w:rFonts w:ascii="Wingdings" w:hAnsi="Wingdings" w:hint="default"/>
      </w:rPr>
    </w:lvl>
    <w:lvl w:ilvl="2" w:tplc="ED56B810" w:tentative="1">
      <w:start w:val="1"/>
      <w:numFmt w:val="bullet"/>
      <w:lvlText w:val=""/>
      <w:lvlJc w:val="left"/>
      <w:pPr>
        <w:ind w:left="2160" w:hanging="360"/>
      </w:pPr>
      <w:rPr>
        <w:rFonts w:ascii="Wingdings" w:hAnsi="Wingdings" w:hint="default"/>
      </w:rPr>
    </w:lvl>
    <w:lvl w:ilvl="3" w:tplc="BD621110" w:tentative="1">
      <w:start w:val="1"/>
      <w:numFmt w:val="bullet"/>
      <w:lvlText w:val=""/>
      <w:lvlJc w:val="left"/>
      <w:pPr>
        <w:ind w:left="2880" w:hanging="360"/>
      </w:pPr>
      <w:rPr>
        <w:rFonts w:ascii="Symbol" w:hAnsi="Symbol" w:hint="default"/>
      </w:rPr>
    </w:lvl>
    <w:lvl w:ilvl="4" w:tplc="E92850E6" w:tentative="1">
      <w:start w:val="1"/>
      <w:numFmt w:val="bullet"/>
      <w:lvlText w:val="o"/>
      <w:lvlJc w:val="left"/>
      <w:pPr>
        <w:ind w:left="3600" w:hanging="360"/>
      </w:pPr>
      <w:rPr>
        <w:rFonts w:ascii="Courier New" w:hAnsi="Courier New" w:cs="Courier New" w:hint="default"/>
      </w:rPr>
    </w:lvl>
    <w:lvl w:ilvl="5" w:tplc="E3CC9278" w:tentative="1">
      <w:start w:val="1"/>
      <w:numFmt w:val="bullet"/>
      <w:lvlText w:val=""/>
      <w:lvlJc w:val="left"/>
      <w:pPr>
        <w:ind w:left="4320" w:hanging="360"/>
      </w:pPr>
      <w:rPr>
        <w:rFonts w:ascii="Wingdings" w:hAnsi="Wingdings" w:hint="default"/>
      </w:rPr>
    </w:lvl>
    <w:lvl w:ilvl="6" w:tplc="8318C1E2" w:tentative="1">
      <w:start w:val="1"/>
      <w:numFmt w:val="bullet"/>
      <w:lvlText w:val=""/>
      <w:lvlJc w:val="left"/>
      <w:pPr>
        <w:ind w:left="5040" w:hanging="360"/>
      </w:pPr>
      <w:rPr>
        <w:rFonts w:ascii="Symbol" w:hAnsi="Symbol" w:hint="default"/>
      </w:rPr>
    </w:lvl>
    <w:lvl w:ilvl="7" w:tplc="B15CAA94" w:tentative="1">
      <w:start w:val="1"/>
      <w:numFmt w:val="bullet"/>
      <w:lvlText w:val="o"/>
      <w:lvlJc w:val="left"/>
      <w:pPr>
        <w:ind w:left="5760" w:hanging="360"/>
      </w:pPr>
      <w:rPr>
        <w:rFonts w:ascii="Courier New" w:hAnsi="Courier New" w:cs="Courier New" w:hint="default"/>
      </w:rPr>
    </w:lvl>
    <w:lvl w:ilvl="8" w:tplc="741A89FA" w:tentative="1">
      <w:start w:val="1"/>
      <w:numFmt w:val="bullet"/>
      <w:lvlText w:val=""/>
      <w:lvlJc w:val="left"/>
      <w:pPr>
        <w:ind w:left="6480" w:hanging="360"/>
      </w:pPr>
      <w:rPr>
        <w:rFonts w:ascii="Wingdings" w:hAnsi="Wingdings" w:hint="default"/>
      </w:rPr>
    </w:lvl>
  </w:abstractNum>
  <w:abstractNum w:abstractNumId="1" w15:restartNumberingAfterBreak="0">
    <w:nsid w:val="51520089"/>
    <w:multiLevelType w:val="hybridMultilevel"/>
    <w:tmpl w:val="F110B376"/>
    <w:lvl w:ilvl="0" w:tplc="72720DC8">
      <w:numFmt w:val="bullet"/>
      <w:lvlText w:val="-"/>
      <w:lvlJc w:val="left"/>
      <w:pPr>
        <w:ind w:left="720" w:hanging="360"/>
      </w:pPr>
      <w:rPr>
        <w:rFonts w:ascii="Arial" w:eastAsia="Calibri" w:hAnsi="Arial" w:cs="Arial" w:hint="default"/>
      </w:rPr>
    </w:lvl>
    <w:lvl w:ilvl="1" w:tplc="F8D6C43A" w:tentative="1">
      <w:start w:val="1"/>
      <w:numFmt w:val="bullet"/>
      <w:lvlText w:val="o"/>
      <w:lvlJc w:val="left"/>
      <w:pPr>
        <w:ind w:left="1440" w:hanging="360"/>
      </w:pPr>
      <w:rPr>
        <w:rFonts w:ascii="Courier New" w:hAnsi="Courier New" w:cs="Courier New" w:hint="default"/>
      </w:rPr>
    </w:lvl>
    <w:lvl w:ilvl="2" w:tplc="5AC246D8" w:tentative="1">
      <w:start w:val="1"/>
      <w:numFmt w:val="bullet"/>
      <w:lvlText w:val=""/>
      <w:lvlJc w:val="left"/>
      <w:pPr>
        <w:ind w:left="2160" w:hanging="360"/>
      </w:pPr>
      <w:rPr>
        <w:rFonts w:ascii="Wingdings" w:hAnsi="Wingdings" w:hint="default"/>
      </w:rPr>
    </w:lvl>
    <w:lvl w:ilvl="3" w:tplc="50EABB8A" w:tentative="1">
      <w:start w:val="1"/>
      <w:numFmt w:val="bullet"/>
      <w:lvlText w:val=""/>
      <w:lvlJc w:val="left"/>
      <w:pPr>
        <w:ind w:left="2880" w:hanging="360"/>
      </w:pPr>
      <w:rPr>
        <w:rFonts w:ascii="Symbol" w:hAnsi="Symbol" w:hint="default"/>
      </w:rPr>
    </w:lvl>
    <w:lvl w:ilvl="4" w:tplc="1256E844" w:tentative="1">
      <w:start w:val="1"/>
      <w:numFmt w:val="bullet"/>
      <w:lvlText w:val="o"/>
      <w:lvlJc w:val="left"/>
      <w:pPr>
        <w:ind w:left="3600" w:hanging="360"/>
      </w:pPr>
      <w:rPr>
        <w:rFonts w:ascii="Courier New" w:hAnsi="Courier New" w:cs="Courier New" w:hint="default"/>
      </w:rPr>
    </w:lvl>
    <w:lvl w:ilvl="5" w:tplc="311454F4" w:tentative="1">
      <w:start w:val="1"/>
      <w:numFmt w:val="bullet"/>
      <w:lvlText w:val=""/>
      <w:lvlJc w:val="left"/>
      <w:pPr>
        <w:ind w:left="4320" w:hanging="360"/>
      </w:pPr>
      <w:rPr>
        <w:rFonts w:ascii="Wingdings" w:hAnsi="Wingdings" w:hint="default"/>
      </w:rPr>
    </w:lvl>
    <w:lvl w:ilvl="6" w:tplc="9A0414A4" w:tentative="1">
      <w:start w:val="1"/>
      <w:numFmt w:val="bullet"/>
      <w:lvlText w:val=""/>
      <w:lvlJc w:val="left"/>
      <w:pPr>
        <w:ind w:left="5040" w:hanging="360"/>
      </w:pPr>
      <w:rPr>
        <w:rFonts w:ascii="Symbol" w:hAnsi="Symbol" w:hint="default"/>
      </w:rPr>
    </w:lvl>
    <w:lvl w:ilvl="7" w:tplc="2FC4C5E6" w:tentative="1">
      <w:start w:val="1"/>
      <w:numFmt w:val="bullet"/>
      <w:lvlText w:val="o"/>
      <w:lvlJc w:val="left"/>
      <w:pPr>
        <w:ind w:left="5760" w:hanging="360"/>
      </w:pPr>
      <w:rPr>
        <w:rFonts w:ascii="Courier New" w:hAnsi="Courier New" w:cs="Courier New" w:hint="default"/>
      </w:rPr>
    </w:lvl>
    <w:lvl w:ilvl="8" w:tplc="B5E81088" w:tentative="1">
      <w:start w:val="1"/>
      <w:numFmt w:val="bullet"/>
      <w:lvlText w:val=""/>
      <w:lvlJc w:val="left"/>
      <w:pPr>
        <w:ind w:left="6480" w:hanging="360"/>
      </w:pPr>
      <w:rPr>
        <w:rFonts w:ascii="Wingdings" w:hAnsi="Wingdings" w:hint="default"/>
      </w:rPr>
    </w:lvl>
  </w:abstractNum>
  <w:abstractNum w:abstractNumId="2" w15:restartNumberingAfterBreak="0">
    <w:nsid w:val="55707B15"/>
    <w:multiLevelType w:val="hybridMultilevel"/>
    <w:tmpl w:val="41C6C254"/>
    <w:lvl w:ilvl="0" w:tplc="828EE098">
      <w:start w:val="1"/>
      <w:numFmt w:val="decimal"/>
      <w:lvlText w:val="(%1)"/>
      <w:lvlJc w:val="left"/>
      <w:pPr>
        <w:ind w:left="720" w:hanging="360"/>
      </w:pPr>
      <w:rPr>
        <w:rFonts w:hint="default"/>
      </w:rPr>
    </w:lvl>
    <w:lvl w:ilvl="1" w:tplc="D114A492" w:tentative="1">
      <w:start w:val="1"/>
      <w:numFmt w:val="lowerLetter"/>
      <w:lvlText w:val="%2."/>
      <w:lvlJc w:val="left"/>
      <w:pPr>
        <w:ind w:left="1440" w:hanging="360"/>
      </w:pPr>
    </w:lvl>
    <w:lvl w:ilvl="2" w:tplc="0A06E7BC" w:tentative="1">
      <w:start w:val="1"/>
      <w:numFmt w:val="lowerRoman"/>
      <w:lvlText w:val="%3."/>
      <w:lvlJc w:val="right"/>
      <w:pPr>
        <w:ind w:left="2160" w:hanging="180"/>
      </w:pPr>
    </w:lvl>
    <w:lvl w:ilvl="3" w:tplc="C78A7ABA" w:tentative="1">
      <w:start w:val="1"/>
      <w:numFmt w:val="decimal"/>
      <w:lvlText w:val="%4."/>
      <w:lvlJc w:val="left"/>
      <w:pPr>
        <w:ind w:left="2880" w:hanging="360"/>
      </w:pPr>
    </w:lvl>
    <w:lvl w:ilvl="4" w:tplc="94121202" w:tentative="1">
      <w:start w:val="1"/>
      <w:numFmt w:val="lowerLetter"/>
      <w:lvlText w:val="%5."/>
      <w:lvlJc w:val="left"/>
      <w:pPr>
        <w:ind w:left="3600" w:hanging="360"/>
      </w:pPr>
    </w:lvl>
    <w:lvl w:ilvl="5" w:tplc="1682CAA0" w:tentative="1">
      <w:start w:val="1"/>
      <w:numFmt w:val="lowerRoman"/>
      <w:lvlText w:val="%6."/>
      <w:lvlJc w:val="right"/>
      <w:pPr>
        <w:ind w:left="4320" w:hanging="180"/>
      </w:pPr>
    </w:lvl>
    <w:lvl w:ilvl="6" w:tplc="D4A0804A" w:tentative="1">
      <w:start w:val="1"/>
      <w:numFmt w:val="decimal"/>
      <w:lvlText w:val="%7."/>
      <w:lvlJc w:val="left"/>
      <w:pPr>
        <w:ind w:left="5040" w:hanging="360"/>
      </w:pPr>
    </w:lvl>
    <w:lvl w:ilvl="7" w:tplc="09CAD02C" w:tentative="1">
      <w:start w:val="1"/>
      <w:numFmt w:val="lowerLetter"/>
      <w:lvlText w:val="%8."/>
      <w:lvlJc w:val="left"/>
      <w:pPr>
        <w:ind w:left="5760" w:hanging="360"/>
      </w:pPr>
    </w:lvl>
    <w:lvl w:ilvl="8" w:tplc="E1844990" w:tentative="1">
      <w:start w:val="1"/>
      <w:numFmt w:val="lowerRoman"/>
      <w:lvlText w:val="%9."/>
      <w:lvlJc w:val="right"/>
      <w:pPr>
        <w:ind w:left="6480" w:hanging="180"/>
      </w:pPr>
    </w:lvl>
  </w:abstractNum>
  <w:abstractNum w:abstractNumId="3" w15:restartNumberingAfterBreak="0">
    <w:nsid w:val="7C744B24"/>
    <w:multiLevelType w:val="hybridMultilevel"/>
    <w:tmpl w:val="C15ED212"/>
    <w:lvl w:ilvl="0" w:tplc="450A1DFC">
      <w:start w:val="1"/>
      <w:numFmt w:val="decimal"/>
      <w:lvlText w:val="(%1)"/>
      <w:lvlJc w:val="left"/>
      <w:pPr>
        <w:ind w:left="720" w:hanging="360"/>
      </w:pPr>
      <w:rPr>
        <w:rFonts w:hint="default"/>
      </w:rPr>
    </w:lvl>
    <w:lvl w:ilvl="1" w:tplc="D382A548" w:tentative="1">
      <w:start w:val="1"/>
      <w:numFmt w:val="lowerLetter"/>
      <w:lvlText w:val="%2."/>
      <w:lvlJc w:val="left"/>
      <w:pPr>
        <w:ind w:left="1440" w:hanging="360"/>
      </w:pPr>
    </w:lvl>
    <w:lvl w:ilvl="2" w:tplc="4420E170" w:tentative="1">
      <w:start w:val="1"/>
      <w:numFmt w:val="lowerRoman"/>
      <w:lvlText w:val="%3."/>
      <w:lvlJc w:val="right"/>
      <w:pPr>
        <w:ind w:left="2160" w:hanging="180"/>
      </w:pPr>
    </w:lvl>
    <w:lvl w:ilvl="3" w:tplc="084A60F4" w:tentative="1">
      <w:start w:val="1"/>
      <w:numFmt w:val="decimal"/>
      <w:lvlText w:val="%4."/>
      <w:lvlJc w:val="left"/>
      <w:pPr>
        <w:ind w:left="2880" w:hanging="360"/>
      </w:pPr>
    </w:lvl>
    <w:lvl w:ilvl="4" w:tplc="C790733A" w:tentative="1">
      <w:start w:val="1"/>
      <w:numFmt w:val="lowerLetter"/>
      <w:lvlText w:val="%5."/>
      <w:lvlJc w:val="left"/>
      <w:pPr>
        <w:ind w:left="3600" w:hanging="360"/>
      </w:pPr>
    </w:lvl>
    <w:lvl w:ilvl="5" w:tplc="D250CD90" w:tentative="1">
      <w:start w:val="1"/>
      <w:numFmt w:val="lowerRoman"/>
      <w:lvlText w:val="%6."/>
      <w:lvlJc w:val="right"/>
      <w:pPr>
        <w:ind w:left="4320" w:hanging="180"/>
      </w:pPr>
    </w:lvl>
    <w:lvl w:ilvl="6" w:tplc="8E32BA7A" w:tentative="1">
      <w:start w:val="1"/>
      <w:numFmt w:val="decimal"/>
      <w:lvlText w:val="%7."/>
      <w:lvlJc w:val="left"/>
      <w:pPr>
        <w:ind w:left="5040" w:hanging="360"/>
      </w:pPr>
    </w:lvl>
    <w:lvl w:ilvl="7" w:tplc="6F462D88" w:tentative="1">
      <w:start w:val="1"/>
      <w:numFmt w:val="lowerLetter"/>
      <w:lvlText w:val="%8."/>
      <w:lvlJc w:val="left"/>
      <w:pPr>
        <w:ind w:left="5760" w:hanging="360"/>
      </w:pPr>
    </w:lvl>
    <w:lvl w:ilvl="8" w:tplc="1ACEBFE8" w:tentative="1">
      <w:start w:val="1"/>
      <w:numFmt w:val="lowerRoman"/>
      <w:lvlText w:val="%9."/>
      <w:lvlJc w:val="right"/>
      <w:pPr>
        <w:ind w:left="6480" w:hanging="180"/>
      </w:pPr>
    </w:lvl>
  </w:abstractNum>
  <w:num w:numId="1" w16cid:durableId="1889561917">
    <w:abstractNumId w:val="0"/>
  </w:num>
  <w:num w:numId="2" w16cid:durableId="27724124">
    <w:abstractNumId w:val="2"/>
  </w:num>
  <w:num w:numId="3" w16cid:durableId="1565288565">
    <w:abstractNumId w:val="3"/>
  </w:num>
  <w:num w:numId="4" w16cid:durableId="193115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14"/>
    <w:rsid w:val="00080A2B"/>
    <w:rsid w:val="000B62FC"/>
    <w:rsid w:val="000C3EAF"/>
    <w:rsid w:val="000C6614"/>
    <w:rsid w:val="00114260"/>
    <w:rsid w:val="001573CF"/>
    <w:rsid w:val="001A09CF"/>
    <w:rsid w:val="002060BC"/>
    <w:rsid w:val="00332A38"/>
    <w:rsid w:val="005F52FB"/>
    <w:rsid w:val="00696B07"/>
    <w:rsid w:val="006D17BB"/>
    <w:rsid w:val="006F7FC2"/>
    <w:rsid w:val="007050EE"/>
    <w:rsid w:val="007515B7"/>
    <w:rsid w:val="00865509"/>
    <w:rsid w:val="008E5FFC"/>
    <w:rsid w:val="009665DD"/>
    <w:rsid w:val="009D34F1"/>
    <w:rsid w:val="00AB7166"/>
    <w:rsid w:val="00C620FD"/>
    <w:rsid w:val="00D354F6"/>
    <w:rsid w:val="00D93003"/>
    <w:rsid w:val="00DA0F4A"/>
    <w:rsid w:val="00DA5F8C"/>
    <w:rsid w:val="00DD0198"/>
    <w:rsid w:val="00DF432C"/>
    <w:rsid w:val="00E2560D"/>
    <w:rsid w:val="00E768E7"/>
    <w:rsid w:val="00ED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802B"/>
  <w15:docId w15:val="{4187BDBA-004F-4FDB-897E-30BFBAA2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14"/>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614"/>
    <w:pPr>
      <w:spacing w:after="0" w:line="240" w:lineRule="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3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F6"/>
    <w:rPr>
      <w:rFonts w:ascii="Tahoma" w:eastAsia="Calibri" w:hAnsi="Tahoma" w:cs="Tahoma"/>
      <w:sz w:val="16"/>
      <w:szCs w:val="16"/>
    </w:rPr>
  </w:style>
  <w:style w:type="paragraph" w:styleId="ListParagraph">
    <w:name w:val="List Paragraph"/>
    <w:basedOn w:val="Normal"/>
    <w:uiPriority w:val="34"/>
    <w:qFormat/>
    <w:rsid w:val="00E768E7"/>
    <w:pPr>
      <w:ind w:left="720"/>
      <w:contextualSpacing/>
    </w:pPr>
  </w:style>
  <w:style w:type="character" w:styleId="Hyperlink">
    <w:name w:val="Hyperlink"/>
    <w:basedOn w:val="DefaultParagraphFont"/>
    <w:uiPriority w:val="99"/>
    <w:unhideWhenUsed/>
    <w:rsid w:val="00DA0F4A"/>
    <w:rPr>
      <w:color w:val="0000FF" w:themeColor="hyperlink"/>
      <w:u w:val="single"/>
    </w:rPr>
  </w:style>
  <w:style w:type="character" w:customStyle="1" w:styleId="UnresolvedMention1">
    <w:name w:val="Unresolved Mention1"/>
    <w:basedOn w:val="DefaultParagraphFont"/>
    <w:uiPriority w:val="99"/>
    <w:semiHidden/>
    <w:unhideWhenUsed/>
    <w:rsid w:val="00DA0F4A"/>
    <w:rPr>
      <w:color w:val="605E5C"/>
      <w:shd w:val="clear" w:color="auto" w:fill="E1DFDD"/>
    </w:rPr>
  </w:style>
  <w:style w:type="paragraph" w:styleId="Header">
    <w:name w:val="header"/>
    <w:basedOn w:val="Normal"/>
    <w:link w:val="HeaderChar"/>
    <w:uiPriority w:val="99"/>
    <w:unhideWhenUsed/>
    <w:rsid w:val="006D1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7BB"/>
    <w:rPr>
      <w:rFonts w:ascii="Calibri" w:eastAsia="Calibri" w:hAnsi="Calibri" w:cs="Times New Roman"/>
      <w:sz w:val="22"/>
      <w:szCs w:val="22"/>
    </w:rPr>
  </w:style>
  <w:style w:type="paragraph" w:styleId="Footer">
    <w:name w:val="footer"/>
    <w:basedOn w:val="Normal"/>
    <w:link w:val="FooterChar"/>
    <w:uiPriority w:val="99"/>
    <w:unhideWhenUsed/>
    <w:rsid w:val="006D1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7BB"/>
    <w:rPr>
      <w:rFonts w:ascii="Calibri" w:eastAsia="Calibri" w:hAnsi="Calibri" w:cs="Times New Roman"/>
      <w:sz w:val="22"/>
      <w:szCs w:val="22"/>
    </w:rPr>
  </w:style>
  <w:style w:type="paragraph" w:styleId="NormalWeb">
    <w:name w:val="Normal (Web)"/>
    <w:basedOn w:val="Normal"/>
    <w:uiPriority w:val="99"/>
    <w:unhideWhenUsed/>
    <w:rsid w:val="006D17BB"/>
    <w:pPr>
      <w:spacing w:before="100" w:beforeAutospacing="1" w:after="100" w:afterAutospacing="1" w:line="240" w:lineRule="auto"/>
    </w:pPr>
    <w:rPr>
      <w:rFonts w:ascii="Times New Roman" w:eastAsia="Times New Roman" w:hAnsi="Times New Roman"/>
      <w:sz w:val="24"/>
      <w:szCs w:val="24"/>
      <w:lang w:eastAsia="en-GB"/>
      <w14:ligatures w14:val="standardContextual"/>
    </w:rPr>
  </w:style>
  <w:style w:type="character" w:styleId="FollowedHyperlink">
    <w:name w:val="FollowedHyperlink"/>
    <w:basedOn w:val="DefaultParagraphFont"/>
    <w:uiPriority w:val="99"/>
    <w:semiHidden/>
    <w:unhideWhenUsed/>
    <w:rsid w:val="006D17BB"/>
    <w:rPr>
      <w:color w:val="800080" w:themeColor="followedHyperlink"/>
      <w:u w:val="single"/>
    </w:rPr>
  </w:style>
  <w:style w:type="character" w:customStyle="1" w:styleId="normaltextrun">
    <w:name w:val="normaltextrun"/>
    <w:basedOn w:val="DefaultParagraphFont"/>
    <w:rsid w:val="0086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ort.gov.uk/documents/Transport-and-Streets/Anti-social-Behaviour-Community-Trigger.pdf" TargetMode="External"/><Relationship Id="rId3" Type="http://schemas.openxmlformats.org/officeDocument/2006/relationships/settings" Target="settings.xml"/><Relationship Id="rId7" Type="http://schemas.openxmlformats.org/officeDocument/2006/relationships/hyperlink" Target="https://www.monmouthshire.gov.uk/community-safety/community-trigg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enau-gwent.gov.uk/resident/emergencies-crime-prevention/community-safety/anti-social-behaviou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ommissioner@gwent.police.uk" TargetMode="External"/><Relationship Id="rId4" Type="http://schemas.openxmlformats.org/officeDocument/2006/relationships/webSettings" Target="webSettings.xml"/><Relationship Id="rId9" Type="http://schemas.openxmlformats.org/officeDocument/2006/relationships/hyperlink" Target="https://www.torfaen.gov.uk/en/CrimeEmergencies/CrimePrevention/Antisocialbehaviourandnuisance/Community-Trigg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Caroline</dc:creator>
  <cp:lastModifiedBy>Latham, Christopher</cp:lastModifiedBy>
  <cp:revision>3</cp:revision>
  <dcterms:created xsi:type="dcterms:W3CDTF">2024-05-21T10:27:00Z</dcterms:created>
  <dcterms:modified xsi:type="dcterms:W3CDTF">2024-05-21T10:48:00Z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ActionId">
    <vt:lpwstr>446bf3a8-5d25-489e-9a2c-ad2603442d8b</vt:lpwstr>
  </property>
  <property fmtid="{D5CDD505-2E9C-101B-9397-08002B2CF9AE}" pid="3" name="MSIP_Label_f2acd28b-79a3-4a0f-b0ff-4b75658b1549_ContentBits">
    <vt:lpwstr>0</vt:lpwstr>
  </property>
  <property fmtid="{D5CDD505-2E9C-101B-9397-08002B2CF9AE}" pid="4" name="MSIP_Label_f2acd28b-79a3-4a0f-b0ff-4b75658b1549_Enabled">
    <vt:lpwstr>true</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etDate">
    <vt:lpwstr>2023-01-26T08:32:06Z</vt:lpwstr>
  </property>
  <property fmtid="{D5CDD505-2E9C-101B-9397-08002B2CF9AE}" pid="8" name="MSIP_Label_f2acd28b-79a3-4a0f-b0ff-4b75658b1549_SiteId">
    <vt:lpwstr>e46c8472-ef5d-4b63-bc74-4a60db42c371</vt:lpwstr>
  </property>
</Properties>
</file>