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27"/>
      </w:tblGrid>
      <w:tr w:rsidR="00320095" w:rsidRPr="00933DD9" w14:paraId="16E2F996" w14:textId="77777777" w:rsidTr="00933DD9">
        <w:tc>
          <w:tcPr>
            <w:tcW w:w="9242" w:type="dxa"/>
            <w:gridSpan w:val="2"/>
            <w:shd w:val="clear" w:color="auto" w:fill="auto"/>
          </w:tcPr>
          <w:p w14:paraId="2063272F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C13FEBE" w14:textId="77777777" w:rsidTr="00933DD9">
        <w:tc>
          <w:tcPr>
            <w:tcW w:w="1809" w:type="dxa"/>
            <w:shd w:val="clear" w:color="auto" w:fill="auto"/>
          </w:tcPr>
          <w:p w14:paraId="1C8DBC39" w14:textId="74888B39" w:rsidR="00320095" w:rsidRPr="00933DD9" w:rsidRDefault="001C746B" w:rsidP="00741E0F">
            <w:pPr>
              <w:rPr>
                <w:rFonts w:ascii="Arial" w:hAnsi="Arial" w:cs="Arial"/>
                <w:sz w:val="24"/>
                <w:szCs w:val="24"/>
              </w:rPr>
            </w:pPr>
            <w:r w:rsidRPr="0006140E">
              <w:rPr>
                <w:rFonts w:ascii="Arial" w:hAnsi="Arial" w:cs="Arial"/>
                <w:sz w:val="24"/>
                <w:szCs w:val="24"/>
              </w:rPr>
              <w:t>PCCG-</w:t>
            </w:r>
            <w:r w:rsidR="00DE2BD2" w:rsidRPr="0006140E">
              <w:rPr>
                <w:rFonts w:ascii="Arial" w:hAnsi="Arial" w:cs="Arial"/>
                <w:sz w:val="24"/>
                <w:szCs w:val="24"/>
              </w:rPr>
              <w:t xml:space="preserve">2023- </w:t>
            </w:r>
            <w:r w:rsidR="0006140E" w:rsidRPr="0006140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433" w:type="dxa"/>
            <w:shd w:val="clear" w:color="auto" w:fill="auto"/>
          </w:tcPr>
          <w:p w14:paraId="047A8A30" w14:textId="77777777" w:rsidR="00320095" w:rsidRPr="00933DD9" w:rsidRDefault="002166BD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</w:p>
        </w:tc>
      </w:tr>
      <w:tr w:rsidR="00320095" w:rsidRPr="00933DD9" w14:paraId="5B5AE7F0" w14:textId="77777777" w:rsidTr="00933DD9">
        <w:tc>
          <w:tcPr>
            <w:tcW w:w="1809" w:type="dxa"/>
            <w:shd w:val="clear" w:color="auto" w:fill="auto"/>
          </w:tcPr>
          <w:p w14:paraId="5620BEC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433" w:type="dxa"/>
            <w:shd w:val="clear" w:color="auto" w:fill="auto"/>
          </w:tcPr>
          <w:p w14:paraId="4143A698" w14:textId="41E652E6" w:rsidR="00320095" w:rsidRPr="00933DD9" w:rsidRDefault="00741E0F" w:rsidP="00D04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86F5D">
              <w:rPr>
                <w:rFonts w:ascii="Arial" w:hAnsi="Arial" w:cs="Arial"/>
                <w:sz w:val="24"/>
                <w:szCs w:val="24"/>
              </w:rPr>
              <w:t>2</w:t>
            </w:r>
            <w:r w:rsidR="00DE2B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1051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2BD2">
              <w:rPr>
                <w:rFonts w:ascii="Arial" w:hAnsi="Arial" w:cs="Arial"/>
                <w:sz w:val="24"/>
                <w:szCs w:val="24"/>
              </w:rPr>
              <w:t>5</w:t>
            </w:r>
            <w:r w:rsidR="00F72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D65"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650D65">
              <w:rPr>
                <w:rFonts w:ascii="Arial" w:hAnsi="Arial" w:cs="Arial"/>
                <w:sz w:val="24"/>
                <w:szCs w:val="24"/>
              </w:rPr>
              <w:t xml:space="preserve">ioner for Gwent </w:t>
            </w:r>
            <w:r w:rsidR="00F7236A">
              <w:rPr>
                <w:rFonts w:ascii="Arial" w:hAnsi="Arial" w:cs="Arial"/>
                <w:sz w:val="24"/>
                <w:szCs w:val="24"/>
              </w:rPr>
              <w:t xml:space="preserve">(PCC) </w:t>
            </w:r>
            <w:r w:rsidR="0029195F">
              <w:rPr>
                <w:rFonts w:ascii="Arial" w:hAnsi="Arial" w:cs="Arial"/>
                <w:sz w:val="24"/>
                <w:szCs w:val="24"/>
              </w:rPr>
              <w:t xml:space="preserve">Police Community Fund  </w:t>
            </w:r>
          </w:p>
        </w:tc>
      </w:tr>
      <w:tr w:rsidR="00320095" w:rsidRPr="00933DD9" w14:paraId="2DC2DBA2" w14:textId="77777777" w:rsidTr="00933DD9">
        <w:tc>
          <w:tcPr>
            <w:tcW w:w="1809" w:type="dxa"/>
            <w:shd w:val="clear" w:color="auto" w:fill="auto"/>
          </w:tcPr>
          <w:p w14:paraId="4980D06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433" w:type="dxa"/>
            <w:shd w:val="clear" w:color="auto" w:fill="auto"/>
          </w:tcPr>
          <w:p w14:paraId="6DC80709" w14:textId="3DB0CEA5" w:rsidR="002918B1" w:rsidRPr="00933DD9" w:rsidRDefault="0006661C" w:rsidP="00741E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record the decision of the PCC to announce the 2024/2025 PCC Police Community Fund application process, as amended, in light of the 2024 PCC Election.</w:t>
            </w:r>
            <w:r w:rsidR="00DE2B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77096F7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255C55A7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D8752E" w:rsidRPr="00933DD9" w14:paraId="6F3BB1A8" w14:textId="77777777" w:rsidTr="00050B1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24EABED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8F24" w14:textId="77777777" w:rsidR="005C13A6" w:rsidRPr="008A5DD4" w:rsidRDefault="00DB41FC" w:rsidP="008A5DD4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  <w:lang w:eastAsia="en-US"/>
              </w:rPr>
            </w:pPr>
            <w:r w:rsidRPr="008A5DD4">
              <w:rPr>
                <w:rFonts w:eastAsia="Calibri"/>
                <w:color w:val="auto"/>
                <w:lang w:eastAsia="en-US"/>
              </w:rPr>
              <w:t xml:space="preserve">Previous publication of Decision number PCCG-2018-034 confirmed my intention to establish a recurrent commissioning fund (the </w:t>
            </w:r>
            <w:r w:rsidR="00F7236A" w:rsidRPr="008A5DD4">
              <w:rPr>
                <w:rFonts w:eastAsia="Calibri"/>
                <w:color w:val="auto"/>
                <w:lang w:eastAsia="en-US"/>
              </w:rPr>
              <w:t>PCC</w:t>
            </w:r>
            <w:r w:rsidRPr="008A5DD4">
              <w:rPr>
                <w:rFonts w:eastAsia="Calibri"/>
                <w:color w:val="auto"/>
                <w:lang w:eastAsia="en-US"/>
              </w:rPr>
              <w:t xml:space="preserve"> Police Community Fund) of up to £300,000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annually</w:t>
            </w:r>
            <w:r w:rsidR="005729CD">
              <w:rPr>
                <w:rFonts w:eastAsia="Calibri"/>
                <w:color w:val="auto"/>
                <w:lang w:eastAsia="en-US"/>
              </w:rPr>
              <w:t>,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to use monies obtained through the Proceeds of Crime Act. This Fund aims to enable children and young people in Gwent to be safe, healthy and happy, building a better future for themselves and their community</w:t>
            </w:r>
            <w:r w:rsidR="005729CD">
              <w:rPr>
                <w:rFonts w:eastAsia="Calibri"/>
                <w:color w:val="auto"/>
                <w:lang w:eastAsia="en-US"/>
              </w:rPr>
              <w:t>,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by empowering Gwent Police to tackle community based issues in a lasting and impactful way. The Fund supports not-for-profit organisations</w:t>
            </w:r>
            <w:r w:rsidR="005729CD">
              <w:rPr>
                <w:rFonts w:eastAsia="Calibri"/>
                <w:color w:val="auto"/>
                <w:lang w:eastAsia="en-US"/>
              </w:rPr>
              <w:t>,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seeking to deliver projects and services working with children, young people or vulnerable adults under the age of 25</w:t>
            </w:r>
            <w:r w:rsidR="005729CD">
              <w:rPr>
                <w:rFonts w:eastAsia="Calibri"/>
                <w:color w:val="auto"/>
                <w:lang w:eastAsia="en-US"/>
              </w:rPr>
              <w:t>,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who live in the Gwent Police area. The Fund will focus on projects supporting children and young people who</w:t>
            </w:r>
            <w:r w:rsidR="003E2C02" w:rsidRPr="008A5DD4">
              <w:rPr>
                <w:rFonts w:eastAsia="Calibri"/>
                <w:color w:val="auto"/>
                <w:lang w:eastAsia="en-US"/>
              </w:rPr>
              <w:t>: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14:paraId="054E5570" w14:textId="77777777" w:rsidR="005C13A6" w:rsidRDefault="005C13A6" w:rsidP="008A5DD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be </w:t>
            </w:r>
            <w:r w:rsidRPr="00DD43DD">
              <w:rPr>
                <w:rFonts w:ascii="Arial" w:hAnsi="Arial" w:cs="Arial"/>
                <w:sz w:val="24"/>
                <w:szCs w:val="24"/>
              </w:rPr>
              <w:t>in danger of entering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criminal justice system</w:t>
            </w:r>
            <w:r w:rsidR="003E2C02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or</w:t>
            </w:r>
          </w:p>
          <w:p w14:paraId="293058D2" w14:textId="77777777" w:rsidR="00D8752E" w:rsidRDefault="005C13A6" w:rsidP="008A5DD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DD43DD">
              <w:rPr>
                <w:rFonts w:ascii="Arial" w:hAnsi="Arial" w:cs="Arial"/>
                <w:sz w:val="24"/>
                <w:szCs w:val="24"/>
              </w:rPr>
              <w:t>ave become victims of crime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CC2D6E" w14:textId="77777777" w:rsidR="008A5DD4" w:rsidRDefault="008A5DD4" w:rsidP="008A5DD4">
            <w:pPr>
              <w:pStyle w:val="ListParagraph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9F7B731" w14:textId="77777777" w:rsidR="00711B93" w:rsidRPr="008A5DD4" w:rsidRDefault="00711B93" w:rsidP="008A5DD4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Eligible organisations and groups can make applications for funding throughout the year.  Applications must have the support of their local Neighbourhood Policing Team. Submitted applications are assessed on a quarterly basis by a Panel consisting of representatives from the Office of the Police and Crime Commissioner, Gwent Police and the Council for Wales Vol</w:t>
            </w:r>
            <w:r w:rsidR="008A5DD4">
              <w:rPr>
                <w:rFonts w:eastAsia="Calibri"/>
                <w:color w:val="auto"/>
                <w:lang w:eastAsia="en-US"/>
              </w:rPr>
              <w:t xml:space="preserve">untary Youth Service (CWVYS).  </w:t>
            </w:r>
          </w:p>
        </w:tc>
      </w:tr>
      <w:tr w:rsidR="00D8752E" w:rsidRPr="00933DD9" w14:paraId="1BEB0BD8" w14:textId="77777777" w:rsidTr="00050B1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01B7895" w14:textId="77777777" w:rsidR="00D8752E" w:rsidRPr="00933DD9" w:rsidRDefault="00711B93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D678F"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E464" w14:textId="01AC4B37" w:rsidR="00741E0F" w:rsidRDefault="00DE2BD2" w:rsidP="008A5DD4">
            <w:pPr>
              <w:pStyle w:val="Default"/>
              <w:spacing w:line="276" w:lineRule="auto"/>
              <w:jc w:val="both"/>
            </w:pPr>
            <w:r>
              <w:t xml:space="preserve">On an annual basis the PCC Police Community Fund has been being launched in the summer of the </w:t>
            </w:r>
            <w:r w:rsidR="00050B18">
              <w:t>preceding</w:t>
            </w:r>
            <w:r>
              <w:t xml:space="preserve"> financial year in order to allow for the application process to run</w:t>
            </w:r>
            <w:r w:rsidR="00050B18">
              <w:t xml:space="preserve"> through the necessary checks.  This time frame enables all </w:t>
            </w:r>
            <w:r>
              <w:t>due diligence and enquiries</w:t>
            </w:r>
            <w:r w:rsidR="00050B18">
              <w:t xml:space="preserve"> to be made and appropriately recorded</w:t>
            </w:r>
            <w:r w:rsidR="00E047B8">
              <w:t>. It also</w:t>
            </w:r>
            <w:r>
              <w:t xml:space="preserve"> </w:t>
            </w:r>
            <w:r w:rsidR="00E047B8">
              <w:t>allows for</w:t>
            </w:r>
            <w:r>
              <w:t xml:space="preserve"> a Panel to convene </w:t>
            </w:r>
            <w:r w:rsidR="00E047B8">
              <w:t xml:space="preserve">to </w:t>
            </w:r>
            <w:r>
              <w:t>mak</w:t>
            </w:r>
            <w:r w:rsidR="00E047B8">
              <w:t>e</w:t>
            </w:r>
            <w:r>
              <w:t xml:space="preserve"> recommendations </w:t>
            </w:r>
            <w:r w:rsidR="00E047B8">
              <w:t>to</w:t>
            </w:r>
            <w:r>
              <w:t xml:space="preserve"> the PCC </w:t>
            </w:r>
            <w:r w:rsidR="00E047B8">
              <w:t>in order for him to</w:t>
            </w:r>
            <w:r w:rsidR="00050B18">
              <w:t xml:space="preserve"> </w:t>
            </w:r>
            <w:r>
              <w:t>make award decisions in February</w:t>
            </w:r>
            <w:r w:rsidR="00050B18">
              <w:t>,</w:t>
            </w:r>
            <w:r>
              <w:t xml:space="preserve"> prior to the start of the new financial year</w:t>
            </w:r>
            <w:r w:rsidR="00E047B8">
              <w:t>.</w:t>
            </w:r>
          </w:p>
          <w:p w14:paraId="55B24087" w14:textId="32625A0E" w:rsidR="00DE2BD2" w:rsidRDefault="00DE2BD2" w:rsidP="008A5DD4">
            <w:pPr>
              <w:pStyle w:val="Default"/>
              <w:spacing w:line="276" w:lineRule="auto"/>
              <w:jc w:val="both"/>
            </w:pPr>
          </w:p>
          <w:p w14:paraId="72CE2D0D" w14:textId="506EF76B" w:rsidR="00050B18" w:rsidRDefault="001629C2" w:rsidP="008A5DD4">
            <w:pPr>
              <w:pStyle w:val="Default"/>
              <w:spacing w:line="276" w:lineRule="auto"/>
              <w:jc w:val="both"/>
            </w:pPr>
            <w:r>
              <w:t>T</w:t>
            </w:r>
            <w:r w:rsidR="00DE2BD2">
              <w:t>he decision on any funding opportunities for 2024/25 needs to be made now</w:t>
            </w:r>
            <w:r w:rsidR="00050B18">
              <w:t>,</w:t>
            </w:r>
            <w:r w:rsidR="00DE2BD2">
              <w:t xml:space="preserve"> in order </w:t>
            </w:r>
            <w:r w:rsidR="00E047B8">
              <w:t>for</w:t>
            </w:r>
            <w:r w:rsidR="00DE2BD2">
              <w:t xml:space="preserve"> </w:t>
            </w:r>
            <w:r w:rsidR="00050B18">
              <w:t xml:space="preserve">applicants </w:t>
            </w:r>
            <w:r w:rsidR="00E047B8">
              <w:t xml:space="preserve">to </w:t>
            </w:r>
            <w:r w:rsidR="00050B18">
              <w:t>have an opportunity to apply for funding and</w:t>
            </w:r>
            <w:r w:rsidR="00E047B8">
              <w:t xml:space="preserve"> for</w:t>
            </w:r>
            <w:r w:rsidR="00050B18">
              <w:t xml:space="preserve"> any </w:t>
            </w:r>
            <w:r w:rsidR="00050B18">
              <w:lastRenderedPageBreak/>
              <w:t xml:space="preserve">subsequent grant awards </w:t>
            </w:r>
            <w:r w:rsidR="00E047B8">
              <w:t>to be</w:t>
            </w:r>
            <w:r w:rsidR="00050B18">
              <w:t xml:space="preserve"> made i</w:t>
            </w:r>
            <w:r w:rsidR="00DE2BD2">
              <w:t>n a timely manner</w:t>
            </w:r>
            <w:r w:rsidR="00E047B8">
              <w:t>,</w:t>
            </w:r>
            <w:r w:rsidR="00DE2BD2">
              <w:t xml:space="preserve"> allowing grant recipients to have a full year</w:t>
            </w:r>
            <w:r w:rsidR="00050B18">
              <w:t>’s funding</w:t>
            </w:r>
            <w:r w:rsidR="00DE2BD2">
              <w:t xml:space="preserve"> allowance to deliver their project.   </w:t>
            </w:r>
          </w:p>
          <w:p w14:paraId="12D3153C" w14:textId="77777777" w:rsidR="00050B18" w:rsidRDefault="00050B18" w:rsidP="008A5DD4">
            <w:pPr>
              <w:pStyle w:val="Default"/>
              <w:spacing w:line="276" w:lineRule="auto"/>
              <w:jc w:val="both"/>
            </w:pPr>
          </w:p>
          <w:p w14:paraId="2AED5D84" w14:textId="77777777" w:rsidR="00050B18" w:rsidRDefault="00050B18" w:rsidP="00050B18">
            <w:pPr>
              <w:pStyle w:val="Default"/>
              <w:spacing w:line="276" w:lineRule="auto"/>
              <w:jc w:val="both"/>
            </w:pPr>
          </w:p>
          <w:p w14:paraId="02258ADB" w14:textId="0EEB3940" w:rsidR="00DE2BD2" w:rsidRDefault="00050B18" w:rsidP="008A5DD4">
            <w:pPr>
              <w:pStyle w:val="Default"/>
              <w:spacing w:line="276" w:lineRule="auto"/>
              <w:jc w:val="both"/>
            </w:pPr>
            <w:r>
              <w:t xml:space="preserve">The Fund currently allows for applicants to apply for three years’ worth of funding.  It is however recommended that </w:t>
            </w:r>
            <w:r w:rsidR="001629C2">
              <w:t>due to the election in May 2024,</w:t>
            </w:r>
            <w:r>
              <w:t xml:space="preserve"> the Fund </w:t>
            </w:r>
            <w:r w:rsidR="001629C2">
              <w:t xml:space="preserve">rules </w:t>
            </w:r>
            <w:r>
              <w:t xml:space="preserve">be amended to allow </w:t>
            </w:r>
            <w:r w:rsidR="00E047B8">
              <w:t>applications for only</w:t>
            </w:r>
            <w:r>
              <w:t xml:space="preserve"> one year’s worth of funding so that</w:t>
            </w:r>
            <w:r w:rsidR="00DE2BD2">
              <w:t xml:space="preserve"> the elected PCC </w:t>
            </w:r>
            <w:r w:rsidR="0006140E">
              <w:t xml:space="preserve">can review the Fund and </w:t>
            </w:r>
            <w:r w:rsidR="00E047B8">
              <w:t xml:space="preserve">consider </w:t>
            </w:r>
            <w:r w:rsidR="0006140E">
              <w:t xml:space="preserve">any changes they may want to implement once in post.  </w:t>
            </w:r>
          </w:p>
          <w:p w14:paraId="795F9842" w14:textId="77777777" w:rsidR="00741E0F" w:rsidRDefault="00741E0F" w:rsidP="008A5DD4">
            <w:pPr>
              <w:pStyle w:val="Default"/>
              <w:spacing w:line="276" w:lineRule="auto"/>
              <w:jc w:val="both"/>
            </w:pPr>
          </w:p>
          <w:p w14:paraId="2955A132" w14:textId="70FFF6BB" w:rsidR="00555C9B" w:rsidRDefault="00DE2BD2" w:rsidP="008A5DD4">
            <w:pPr>
              <w:pStyle w:val="Default"/>
              <w:spacing w:line="276" w:lineRule="auto"/>
              <w:jc w:val="both"/>
            </w:pPr>
            <w:r>
              <w:t>Due to the nature of the</w:t>
            </w:r>
            <w:r w:rsidR="0006140E">
              <w:t xml:space="preserve"> existing</w:t>
            </w:r>
            <w:r>
              <w:t xml:space="preserve"> three year grant awards, for 2024/25</w:t>
            </w:r>
            <w:r w:rsidR="00E047B8">
              <w:t>,</w:t>
            </w:r>
            <w:r>
              <w:t xml:space="preserve"> out of the £300,000 available, </w:t>
            </w:r>
            <w:r w:rsidR="00050B18">
              <w:t>£207,352 has already been ringfenced for the delivery of year two and year three projects.  This mean</w:t>
            </w:r>
            <w:r w:rsidR="00AE495A">
              <w:t>s</w:t>
            </w:r>
            <w:r w:rsidR="00050B18">
              <w:t xml:space="preserve"> that the funding </w:t>
            </w:r>
            <w:r w:rsidR="00AE495A">
              <w:t>available</w:t>
            </w:r>
            <w:r w:rsidR="002710D4">
              <w:t xml:space="preserve"> </w:t>
            </w:r>
            <w:r w:rsidR="00050B18">
              <w:t xml:space="preserve">for the 2024/25 period </w:t>
            </w:r>
            <w:r w:rsidR="00AE495A">
              <w:t>amounts to</w:t>
            </w:r>
            <w:r w:rsidR="00050B18">
              <w:t xml:space="preserve"> £92,648</w:t>
            </w:r>
            <w:r w:rsidR="0006140E">
              <w:t>.</w:t>
            </w:r>
          </w:p>
          <w:p w14:paraId="63610433" w14:textId="054B0042" w:rsidR="0006140E" w:rsidRPr="00542CB1" w:rsidRDefault="0006140E" w:rsidP="008A5DD4">
            <w:pPr>
              <w:pStyle w:val="Default"/>
              <w:spacing w:line="276" w:lineRule="auto"/>
              <w:jc w:val="both"/>
            </w:pPr>
          </w:p>
        </w:tc>
      </w:tr>
      <w:tr w:rsidR="00F7236A" w:rsidRPr="00933DD9" w14:paraId="27167876" w14:textId="77777777" w:rsidTr="00050B1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4E42660" w14:textId="750CF33E" w:rsidR="00F7236A" w:rsidRDefault="00050B18" w:rsidP="00F72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F7236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A0E879" w14:textId="77777777" w:rsidR="00F7236A" w:rsidRPr="00933DD9" w:rsidRDefault="00F7236A" w:rsidP="00F72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3B42" w14:textId="18BB38C6" w:rsidR="00F7236A" w:rsidRPr="001D04C7" w:rsidRDefault="00F7236A" w:rsidP="00F7236A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</w:t>
            </w:r>
            <w:r w:rsidR="00050B18">
              <w:rPr>
                <w:rFonts w:ascii="Arial" w:hAnsi="Arial" w:cs="Arial"/>
                <w:sz w:val="24"/>
                <w:szCs w:val="24"/>
              </w:rPr>
              <w:t>any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award will be set out in a Grant Agreement which includes appropriate terms and conditions, purpose of the award and payment, monitoring and reporting arrangements.  </w:t>
            </w:r>
          </w:p>
          <w:p w14:paraId="66050986" w14:textId="77777777" w:rsidR="00F7236A" w:rsidRPr="001D04C7" w:rsidRDefault="00F7236A" w:rsidP="00F7236A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in order to monitor the progress of funded projects, and provide reassurance that funding allocated is effectively meeting Policing Priorities in Gwent,</w:t>
            </w:r>
            <w:r>
              <w:rPr>
                <w:rFonts w:ascii="Arial" w:hAnsi="Arial" w:cs="Arial"/>
                <w:sz w:val="24"/>
                <w:szCs w:val="24"/>
              </w:rPr>
              <w:t xml:space="preserve"> as outlined in the Police and 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2A0B9A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 which will require the following information to be provided:</w:t>
            </w:r>
          </w:p>
          <w:p w14:paraId="6A4B3C82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5729C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5D3778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5729C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25D42F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5729C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49BD87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5729C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F8D58F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729CD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3825AFE8" w14:textId="77777777" w:rsidR="00F7236A" w:rsidRPr="001D04C7" w:rsidRDefault="00F7236A" w:rsidP="00F7236A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Learning  </w:t>
            </w:r>
          </w:p>
          <w:p w14:paraId="18DA32EC" w14:textId="77777777" w:rsidR="00F7236A" w:rsidRPr="001D04C7" w:rsidRDefault="00F7236A" w:rsidP="00F7236A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AE12DC" w14:textId="77777777" w:rsidR="00F7236A" w:rsidRPr="00342A63" w:rsidRDefault="00F7236A" w:rsidP="00050B18">
            <w:pPr>
              <w:spacing w:after="0"/>
              <w:jc w:val="both"/>
              <w:rPr>
                <w:szCs w:val="20"/>
              </w:rPr>
            </w:pPr>
          </w:p>
        </w:tc>
      </w:tr>
    </w:tbl>
    <w:p w14:paraId="24180822" w14:textId="77777777" w:rsidR="00320095" w:rsidRPr="00D8752E" w:rsidRDefault="00320095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447"/>
      </w:tblGrid>
      <w:tr w:rsidR="00320095" w:rsidRPr="00933DD9" w14:paraId="22BF2FDA" w14:textId="77777777" w:rsidTr="00933DD9">
        <w:tc>
          <w:tcPr>
            <w:tcW w:w="9242" w:type="dxa"/>
            <w:gridSpan w:val="2"/>
            <w:shd w:val="clear" w:color="auto" w:fill="auto"/>
          </w:tcPr>
          <w:p w14:paraId="48FCBBD8" w14:textId="77777777" w:rsidR="00320095" w:rsidRPr="00933DD9" w:rsidRDefault="008A6228" w:rsidP="008A62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Jeff Cuthbert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="0081051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>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6CB76F42" w14:textId="77777777" w:rsidTr="00933DD9">
        <w:tc>
          <w:tcPr>
            <w:tcW w:w="9242" w:type="dxa"/>
            <w:gridSpan w:val="2"/>
            <w:shd w:val="clear" w:color="auto" w:fill="auto"/>
          </w:tcPr>
          <w:p w14:paraId="1B9B84A1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whether or not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2AD7111F" w14:textId="77777777" w:rsidR="0067439C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  <w:p w14:paraId="383BE470" w14:textId="17B8AE5A" w:rsidR="00397A2D" w:rsidRPr="00933DD9" w:rsidRDefault="00397A2D">
            <w:pPr>
              <w:rPr>
                <w:rFonts w:ascii="Arial" w:hAnsi="Arial" w:cs="Arial"/>
                <w:sz w:val="24"/>
                <w:szCs w:val="24"/>
              </w:rPr>
            </w:pPr>
            <w:r w:rsidRPr="009012C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This report has been signed by the Chief Executive on behalf of the PCC as per Part 3c, Scheme of Consent and Delegation, Paragraph 9 of the Manual of Corporate Governance</w:t>
            </w:r>
          </w:p>
        </w:tc>
      </w:tr>
      <w:tr w:rsidR="00320095" w:rsidRPr="00933DD9" w14:paraId="0FB98071" w14:textId="77777777" w:rsidTr="00933DD9">
        <w:tc>
          <w:tcPr>
            <w:tcW w:w="4621" w:type="dxa"/>
            <w:shd w:val="clear" w:color="auto" w:fill="auto"/>
          </w:tcPr>
          <w:p w14:paraId="5C80ECCF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Signed</w:t>
            </w:r>
          </w:p>
          <w:p w14:paraId="54341742" w14:textId="41BB0348" w:rsidR="00730C7E" w:rsidRPr="00933DD9" w:rsidRDefault="00730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79A8B7" wp14:editId="5C4A39DD">
                  <wp:extent cx="2189400" cy="7715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115" cy="78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703843E1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5C588E9D" w14:textId="77777777" w:rsidR="00730C7E" w:rsidRDefault="00730C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D288C" w14:textId="5E28BFF2" w:rsidR="00733821" w:rsidRPr="00933DD9" w:rsidRDefault="007338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28/07/2023</w:t>
            </w:r>
          </w:p>
        </w:tc>
      </w:tr>
    </w:tbl>
    <w:p w14:paraId="5A813302" w14:textId="77777777" w:rsidR="00D0462B" w:rsidRPr="00D8752E" w:rsidRDefault="00D0462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557"/>
      </w:tblGrid>
      <w:tr w:rsidR="00320095" w:rsidRPr="00933DD9" w14:paraId="1C864CD9" w14:textId="77777777" w:rsidTr="00933DD9">
        <w:tc>
          <w:tcPr>
            <w:tcW w:w="4621" w:type="dxa"/>
            <w:shd w:val="clear" w:color="auto" w:fill="auto"/>
          </w:tcPr>
          <w:p w14:paraId="298ECA44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65F253D0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38753969" w14:textId="77777777" w:rsidTr="00933DD9">
        <w:tc>
          <w:tcPr>
            <w:tcW w:w="4621" w:type="dxa"/>
            <w:shd w:val="clear" w:color="auto" w:fill="auto"/>
          </w:tcPr>
          <w:p w14:paraId="673EE517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72E78F66" w14:textId="24B97E6B" w:rsidR="00320095" w:rsidRPr="00933DD9" w:rsidRDefault="00050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Lionel</w:t>
            </w:r>
          </w:p>
        </w:tc>
      </w:tr>
      <w:tr w:rsidR="00320095" w:rsidRPr="00933DD9" w14:paraId="3AE37B13" w14:textId="77777777" w:rsidTr="00933DD9">
        <w:tc>
          <w:tcPr>
            <w:tcW w:w="4621" w:type="dxa"/>
            <w:shd w:val="clear" w:color="auto" w:fill="auto"/>
          </w:tcPr>
          <w:p w14:paraId="042846A4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182ABEB9" w14:textId="7034F6BF" w:rsidR="00320095" w:rsidRPr="00933DD9" w:rsidRDefault="00050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Finance &amp; Commissioning Manager</w:t>
            </w:r>
          </w:p>
        </w:tc>
      </w:tr>
      <w:tr w:rsidR="00320095" w:rsidRPr="00933DD9" w14:paraId="59D747BA" w14:textId="77777777" w:rsidTr="00933DD9">
        <w:tc>
          <w:tcPr>
            <w:tcW w:w="4621" w:type="dxa"/>
            <w:shd w:val="clear" w:color="auto" w:fill="auto"/>
          </w:tcPr>
          <w:p w14:paraId="43F566C3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38741F08" w14:textId="77777777" w:rsidR="00320095" w:rsidRPr="00933DD9" w:rsidRDefault="00342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01633 642200</w:t>
            </w:r>
          </w:p>
        </w:tc>
      </w:tr>
      <w:tr w:rsidR="00320095" w:rsidRPr="00933DD9" w14:paraId="1B367CA3" w14:textId="77777777" w:rsidTr="00933DD9">
        <w:tc>
          <w:tcPr>
            <w:tcW w:w="4621" w:type="dxa"/>
            <w:shd w:val="clear" w:color="auto" w:fill="auto"/>
          </w:tcPr>
          <w:p w14:paraId="32E791E6" w14:textId="77777777" w:rsidR="00F5743B" w:rsidRPr="00FD274F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FD274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78D4EA89" w14:textId="2AB935DA" w:rsidR="00342A63" w:rsidRPr="00FD274F" w:rsidRDefault="00397A2D" w:rsidP="0032009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50B18" w:rsidRPr="00FD274F">
                <w:rPr>
                  <w:rStyle w:val="Hyperlink"/>
                  <w:rFonts w:ascii="Arial" w:hAnsi="Arial" w:cs="Arial"/>
                  <w:sz w:val="24"/>
                  <w:szCs w:val="24"/>
                </w:rPr>
                <w:t>Emma.lionel@gwent.police.uk</w:t>
              </w:r>
            </w:hyperlink>
          </w:p>
        </w:tc>
      </w:tr>
      <w:tr w:rsidR="00320095" w:rsidRPr="00933DD9" w14:paraId="017A1B44" w14:textId="77777777" w:rsidTr="00933DD9">
        <w:tc>
          <w:tcPr>
            <w:tcW w:w="4621" w:type="dxa"/>
            <w:shd w:val="clear" w:color="auto" w:fill="auto"/>
          </w:tcPr>
          <w:p w14:paraId="14583E3A" w14:textId="77777777" w:rsidR="004D12E8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1857F5B7" w14:textId="4602A4EC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74B281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sectPr w:rsidR="00320095" w:rsidRPr="00D8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3374" w14:textId="77777777" w:rsidR="00712382" w:rsidRDefault="00712382" w:rsidP="002E7BE6">
      <w:pPr>
        <w:spacing w:after="0" w:line="240" w:lineRule="auto"/>
      </w:pPr>
      <w:r>
        <w:separator/>
      </w:r>
    </w:p>
  </w:endnote>
  <w:endnote w:type="continuationSeparator" w:id="0">
    <w:p w14:paraId="1164BA4D" w14:textId="77777777" w:rsidR="00712382" w:rsidRDefault="00712382" w:rsidP="002E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DE8C" w14:textId="77777777" w:rsidR="00712382" w:rsidRDefault="00712382" w:rsidP="002E7BE6">
      <w:pPr>
        <w:spacing w:after="0" w:line="240" w:lineRule="auto"/>
      </w:pPr>
      <w:r>
        <w:separator/>
      </w:r>
    </w:p>
  </w:footnote>
  <w:footnote w:type="continuationSeparator" w:id="0">
    <w:p w14:paraId="1363A5E4" w14:textId="77777777" w:rsidR="00712382" w:rsidRDefault="00712382" w:rsidP="002E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B87"/>
    <w:multiLevelType w:val="hybridMultilevel"/>
    <w:tmpl w:val="88BC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4698"/>
    <w:multiLevelType w:val="hybridMultilevel"/>
    <w:tmpl w:val="EC866A4A"/>
    <w:lvl w:ilvl="0" w:tplc="2F52C81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92753">
    <w:abstractNumId w:val="7"/>
  </w:num>
  <w:num w:numId="2" w16cid:durableId="1185635593">
    <w:abstractNumId w:val="8"/>
  </w:num>
  <w:num w:numId="3" w16cid:durableId="864711243">
    <w:abstractNumId w:val="6"/>
  </w:num>
  <w:num w:numId="4" w16cid:durableId="1432505683">
    <w:abstractNumId w:val="1"/>
  </w:num>
  <w:num w:numId="5" w16cid:durableId="626813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9294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483075">
    <w:abstractNumId w:val="2"/>
  </w:num>
  <w:num w:numId="8" w16cid:durableId="162939790">
    <w:abstractNumId w:val="0"/>
  </w:num>
  <w:num w:numId="9" w16cid:durableId="615479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67FF"/>
    <w:rsid w:val="00034BE3"/>
    <w:rsid w:val="000355D9"/>
    <w:rsid w:val="00050B18"/>
    <w:rsid w:val="00055150"/>
    <w:rsid w:val="0006140E"/>
    <w:rsid w:val="0006661C"/>
    <w:rsid w:val="00072E59"/>
    <w:rsid w:val="0008452F"/>
    <w:rsid w:val="00086F5D"/>
    <w:rsid w:val="001057CB"/>
    <w:rsid w:val="00137C03"/>
    <w:rsid w:val="001629C2"/>
    <w:rsid w:val="001647A5"/>
    <w:rsid w:val="0017034C"/>
    <w:rsid w:val="001740D8"/>
    <w:rsid w:val="00175C6D"/>
    <w:rsid w:val="001941C4"/>
    <w:rsid w:val="00197F7B"/>
    <w:rsid w:val="001B0F11"/>
    <w:rsid w:val="001C62BB"/>
    <w:rsid w:val="001C746B"/>
    <w:rsid w:val="001E7021"/>
    <w:rsid w:val="001F2E0F"/>
    <w:rsid w:val="002166BD"/>
    <w:rsid w:val="0022238B"/>
    <w:rsid w:val="00242198"/>
    <w:rsid w:val="00244F3E"/>
    <w:rsid w:val="002625E0"/>
    <w:rsid w:val="002710D4"/>
    <w:rsid w:val="0027438B"/>
    <w:rsid w:val="002918B1"/>
    <w:rsid w:val="0029195F"/>
    <w:rsid w:val="002A0B9A"/>
    <w:rsid w:val="002D39E9"/>
    <w:rsid w:val="002E7BE6"/>
    <w:rsid w:val="00306E47"/>
    <w:rsid w:val="00320095"/>
    <w:rsid w:val="0033659B"/>
    <w:rsid w:val="00342A63"/>
    <w:rsid w:val="00352D07"/>
    <w:rsid w:val="00355998"/>
    <w:rsid w:val="00397A2D"/>
    <w:rsid w:val="003A0D05"/>
    <w:rsid w:val="003E2C02"/>
    <w:rsid w:val="003F02DF"/>
    <w:rsid w:val="003F6D85"/>
    <w:rsid w:val="00453DDB"/>
    <w:rsid w:val="0045450A"/>
    <w:rsid w:val="0045799C"/>
    <w:rsid w:val="00482DB5"/>
    <w:rsid w:val="004D12E8"/>
    <w:rsid w:val="004E3CEF"/>
    <w:rsid w:val="004F7A9B"/>
    <w:rsid w:val="005033D8"/>
    <w:rsid w:val="00523A31"/>
    <w:rsid w:val="00542CB1"/>
    <w:rsid w:val="00555ACF"/>
    <w:rsid w:val="00555C9B"/>
    <w:rsid w:val="0055678C"/>
    <w:rsid w:val="00565BD0"/>
    <w:rsid w:val="005729CD"/>
    <w:rsid w:val="00576A57"/>
    <w:rsid w:val="005C13A6"/>
    <w:rsid w:val="00621046"/>
    <w:rsid w:val="00650D65"/>
    <w:rsid w:val="0065164A"/>
    <w:rsid w:val="006607EA"/>
    <w:rsid w:val="0067439C"/>
    <w:rsid w:val="00711B93"/>
    <w:rsid w:val="00712382"/>
    <w:rsid w:val="00730C7E"/>
    <w:rsid w:val="00733821"/>
    <w:rsid w:val="00741E0F"/>
    <w:rsid w:val="00757ED3"/>
    <w:rsid w:val="007D2251"/>
    <w:rsid w:val="007E2A25"/>
    <w:rsid w:val="008055A0"/>
    <w:rsid w:val="00810511"/>
    <w:rsid w:val="00827D9F"/>
    <w:rsid w:val="00855B92"/>
    <w:rsid w:val="0086705B"/>
    <w:rsid w:val="00885510"/>
    <w:rsid w:val="00897CBD"/>
    <w:rsid w:val="008A5DD4"/>
    <w:rsid w:val="008A6228"/>
    <w:rsid w:val="008E0DBA"/>
    <w:rsid w:val="008F17DC"/>
    <w:rsid w:val="008F58A0"/>
    <w:rsid w:val="00900C97"/>
    <w:rsid w:val="00901E30"/>
    <w:rsid w:val="00913C81"/>
    <w:rsid w:val="00923CB9"/>
    <w:rsid w:val="00933DD9"/>
    <w:rsid w:val="00940C3B"/>
    <w:rsid w:val="00957775"/>
    <w:rsid w:val="009C1CDF"/>
    <w:rsid w:val="009D678F"/>
    <w:rsid w:val="00A04872"/>
    <w:rsid w:val="00A10E22"/>
    <w:rsid w:val="00A12C14"/>
    <w:rsid w:val="00A23C5E"/>
    <w:rsid w:val="00A25FB4"/>
    <w:rsid w:val="00A7617B"/>
    <w:rsid w:val="00A85DD6"/>
    <w:rsid w:val="00AD4D0E"/>
    <w:rsid w:val="00AE495A"/>
    <w:rsid w:val="00AE5242"/>
    <w:rsid w:val="00AF5AF4"/>
    <w:rsid w:val="00B02257"/>
    <w:rsid w:val="00B6168D"/>
    <w:rsid w:val="00B7684C"/>
    <w:rsid w:val="00BA56B5"/>
    <w:rsid w:val="00BD4AF4"/>
    <w:rsid w:val="00C13712"/>
    <w:rsid w:val="00C3660F"/>
    <w:rsid w:val="00C6659C"/>
    <w:rsid w:val="00CD58A2"/>
    <w:rsid w:val="00CF39D5"/>
    <w:rsid w:val="00D025BD"/>
    <w:rsid w:val="00D0462B"/>
    <w:rsid w:val="00D152B6"/>
    <w:rsid w:val="00D2453A"/>
    <w:rsid w:val="00D31CC3"/>
    <w:rsid w:val="00D8752E"/>
    <w:rsid w:val="00DA1053"/>
    <w:rsid w:val="00DA2E4B"/>
    <w:rsid w:val="00DB41FC"/>
    <w:rsid w:val="00DE2BD2"/>
    <w:rsid w:val="00E047B8"/>
    <w:rsid w:val="00E2249C"/>
    <w:rsid w:val="00E3356F"/>
    <w:rsid w:val="00E335BB"/>
    <w:rsid w:val="00E506F8"/>
    <w:rsid w:val="00E536AF"/>
    <w:rsid w:val="00E56EE4"/>
    <w:rsid w:val="00E622B8"/>
    <w:rsid w:val="00E66D42"/>
    <w:rsid w:val="00E80733"/>
    <w:rsid w:val="00E80C77"/>
    <w:rsid w:val="00EB3D34"/>
    <w:rsid w:val="00ED773A"/>
    <w:rsid w:val="00F0648A"/>
    <w:rsid w:val="00F0734B"/>
    <w:rsid w:val="00F22A16"/>
    <w:rsid w:val="00F4741F"/>
    <w:rsid w:val="00F5743B"/>
    <w:rsid w:val="00F62781"/>
    <w:rsid w:val="00F66EE6"/>
    <w:rsid w:val="00F7236A"/>
    <w:rsid w:val="00F97772"/>
    <w:rsid w:val="00FB1974"/>
    <w:rsid w:val="00FB581C"/>
    <w:rsid w:val="00FB7C33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67CDE1B1"/>
  <w15:chartTrackingRefBased/>
  <w15:docId w15:val="{6F95B89C-8B7E-4437-96D7-2CF040B6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autoRedefine/>
    <w:uiPriority w:val="1"/>
    <w:qFormat/>
    <w:rsid w:val="002625E0"/>
    <w:pPr>
      <w:numPr>
        <w:numId w:val="7"/>
      </w:numPr>
    </w:pPr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342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A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2A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A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A6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2A6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342A6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B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7B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7B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7BE6"/>
    <w:rPr>
      <w:sz w:val="22"/>
      <w:szCs w:val="22"/>
      <w:lang w:eastAsia="en-US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5C13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5C13A6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8105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F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ma.lionel@gwent.police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9" ma:contentTypeDescription="Create a new document." ma:contentTypeScope="" ma:versionID="d7b8005c6b2b5ff70a272f90f4e4d7be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b2750c299449fb4984691610074b909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6AE25-07BE-4729-BE5E-8EC63DCC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EE60D-281B-4627-B730-F40239C95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D9D90-FA76-4DFF-9D65-14AE7B3D67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4439</CharactersWithSpaces>
  <SharedDoc>false</SharedDoc>
  <HLinks>
    <vt:vector size="6" baseType="variant"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mailto:Darren.garwood@gwent.police.uk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14:33:00</dc:description>
  <cp:lastModifiedBy>Warren, Nicola</cp:lastModifiedBy>
  <cp:revision>3</cp:revision>
  <dcterms:created xsi:type="dcterms:W3CDTF">2023-07-31T12:26:00Z</dcterms:created>
  <dcterms:modified xsi:type="dcterms:W3CDTF">2023-12-08T08:52:00Z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2022-02-25T09:28:39Z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d03e0c39-17fa-40ae-b4e4-1fc7984a3f8f</vt:lpwstr>
  </property>
  <property fmtid="{D5CDD505-2E9C-101B-9397-08002B2CF9AE}" pid="15" name="MSIP_Label_f2acd28b-79a3-4a0f-b0ff-4b75658b1549_ContentBits">
    <vt:lpwstr>0</vt:lpwstr>
  </property>
</Properties>
</file>