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1C5B8" w14:textId="77777777" w:rsidR="00DD3F37" w:rsidRDefault="00DD3F37" w:rsidP="00DD3F37">
      <w:pPr>
        <w:pStyle w:val="Default"/>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5421"/>
      </w:tblGrid>
      <w:tr w:rsidR="00DD3F37" w14:paraId="11933AB7" w14:textId="77777777" w:rsidTr="00CC2581">
        <w:trPr>
          <w:trHeight w:val="125"/>
        </w:trPr>
        <w:tc>
          <w:tcPr>
            <w:tcW w:w="5421" w:type="dxa"/>
            <w:tcBorders>
              <w:top w:val="none" w:sz="6" w:space="0" w:color="auto"/>
              <w:bottom w:val="none" w:sz="6" w:space="0" w:color="auto"/>
            </w:tcBorders>
          </w:tcPr>
          <w:p w14:paraId="203AF9F0" w14:textId="365B6E8A" w:rsidR="00DD3F37" w:rsidRDefault="00DD3F37">
            <w:pPr>
              <w:pStyle w:val="Default"/>
              <w:rPr>
                <w:sz w:val="23"/>
                <w:szCs w:val="23"/>
              </w:rPr>
            </w:pPr>
            <w:r>
              <w:t xml:space="preserve"> </w:t>
            </w:r>
            <w:r>
              <w:rPr>
                <w:b/>
                <w:bCs/>
                <w:sz w:val="23"/>
                <w:szCs w:val="23"/>
              </w:rPr>
              <w:t xml:space="preserve">DECISION LOG NUMBER: PCCG 2023-018 </w:t>
            </w:r>
          </w:p>
        </w:tc>
      </w:tr>
    </w:tbl>
    <w:p w14:paraId="3388C717" w14:textId="77777777" w:rsidR="00DD3F37" w:rsidRDefault="00DD3F37" w:rsidP="00DD3F37">
      <w:pPr>
        <w:pStyle w:val="Heading5"/>
        <w:ind w:left="0"/>
        <w:rPr>
          <w:rFonts w:ascii="Arial" w:hAnsi="Arial"/>
        </w:rPr>
      </w:pPr>
    </w:p>
    <w:p w14:paraId="4EFA192E" w14:textId="2CC598EF" w:rsidR="00DA0C09" w:rsidRDefault="008A26C2" w:rsidP="00DA0C09">
      <w:pPr>
        <w:pStyle w:val="Heading5"/>
        <w:jc w:val="right"/>
        <w:rPr>
          <w:rFonts w:ascii="Arial" w:hAnsi="Arial"/>
        </w:rPr>
      </w:pPr>
      <w:r>
        <w:rPr>
          <w:rFonts w:ascii="Arial" w:hAnsi="Arial"/>
        </w:rPr>
        <w:t>APPENDIX</w:t>
      </w:r>
      <w:r w:rsidR="00DA0C09" w:rsidRPr="0017547C">
        <w:rPr>
          <w:rFonts w:ascii="Arial" w:hAnsi="Arial"/>
        </w:rPr>
        <w:t xml:space="preserve"> A</w:t>
      </w:r>
    </w:p>
    <w:p w14:paraId="6BA4E980" w14:textId="77777777" w:rsidR="002648F0" w:rsidRPr="002648F0" w:rsidRDefault="002648F0" w:rsidP="002648F0"/>
    <w:p w14:paraId="309ED401" w14:textId="77777777" w:rsidR="004C1B8D" w:rsidRPr="004C1B8D" w:rsidRDefault="002648F0" w:rsidP="004C1B8D">
      <w:pPr>
        <w:pStyle w:val="Heading5"/>
        <w:jc w:val="center"/>
        <w:rPr>
          <w:rFonts w:ascii="Arial" w:hAnsi="Arial"/>
          <w:u w:val="single"/>
        </w:rPr>
      </w:pPr>
      <w:r>
        <w:rPr>
          <w:rFonts w:ascii="Arial" w:hAnsi="Arial"/>
          <w:u w:val="single"/>
        </w:rPr>
        <w:t xml:space="preserve">OFFICE OF THE POLICE AND CRIME COMMISSIONER FOR </w:t>
      </w:r>
      <w:r w:rsidR="004C1B8D" w:rsidRPr="004C1B8D">
        <w:rPr>
          <w:rFonts w:ascii="Arial" w:hAnsi="Arial"/>
          <w:u w:val="single"/>
        </w:rPr>
        <w:t>GWENT</w:t>
      </w:r>
    </w:p>
    <w:p w14:paraId="5837F19E" w14:textId="77777777" w:rsidR="004C1B8D" w:rsidRDefault="004C1B8D" w:rsidP="004C1B8D"/>
    <w:p w14:paraId="753D30A2" w14:textId="77777777" w:rsidR="00B9760B" w:rsidRPr="004C1B8D" w:rsidRDefault="00B9760B" w:rsidP="004C1B8D"/>
    <w:p w14:paraId="477FA8D1" w14:textId="644B1F28" w:rsidR="002648F0" w:rsidRPr="002648F0" w:rsidRDefault="00DA0C09" w:rsidP="002648F0">
      <w:pPr>
        <w:pStyle w:val="Heading5"/>
        <w:jc w:val="center"/>
        <w:rPr>
          <w:rFonts w:ascii="Arial" w:hAnsi="Arial"/>
          <w:u w:val="single"/>
        </w:rPr>
      </w:pPr>
      <w:r w:rsidRPr="004C1B8D">
        <w:rPr>
          <w:rFonts w:ascii="Arial" w:hAnsi="Arial"/>
          <w:u w:val="single"/>
        </w:rPr>
        <w:t xml:space="preserve">Treasury Management </w:t>
      </w:r>
      <w:r w:rsidRPr="00D4762D">
        <w:rPr>
          <w:rFonts w:ascii="Arial" w:hAnsi="Arial"/>
          <w:u w:val="single"/>
        </w:rPr>
        <w:t xml:space="preserve">Strategy </w:t>
      </w:r>
      <w:r w:rsidRPr="00505EFE">
        <w:rPr>
          <w:rFonts w:ascii="Arial" w:hAnsi="Arial"/>
          <w:u w:val="single"/>
        </w:rPr>
        <w:t>20</w:t>
      </w:r>
      <w:r w:rsidR="008B28A8">
        <w:rPr>
          <w:rFonts w:ascii="Arial" w:hAnsi="Arial"/>
          <w:u w:val="single"/>
        </w:rPr>
        <w:t>2</w:t>
      </w:r>
      <w:r w:rsidR="00A75333">
        <w:rPr>
          <w:rFonts w:ascii="Arial" w:hAnsi="Arial"/>
          <w:u w:val="single"/>
        </w:rPr>
        <w:t>4</w:t>
      </w:r>
      <w:r w:rsidR="008B28A8">
        <w:rPr>
          <w:rFonts w:ascii="Arial" w:hAnsi="Arial"/>
          <w:u w:val="single"/>
        </w:rPr>
        <w:t>/2</w:t>
      </w:r>
      <w:r w:rsidR="00A75333">
        <w:rPr>
          <w:rFonts w:ascii="Arial" w:hAnsi="Arial"/>
          <w:u w:val="single"/>
        </w:rPr>
        <w:t>5</w:t>
      </w:r>
      <w:r w:rsidRPr="004C1B8D">
        <w:rPr>
          <w:rFonts w:ascii="Arial" w:hAnsi="Arial"/>
          <w:u w:val="single"/>
        </w:rPr>
        <w:t xml:space="preserve"> </w:t>
      </w:r>
      <w:r w:rsidR="0084373E">
        <w:rPr>
          <w:rFonts w:ascii="Arial" w:hAnsi="Arial"/>
          <w:u w:val="single"/>
        </w:rPr>
        <w:t xml:space="preserve">to </w:t>
      </w:r>
      <w:r w:rsidRPr="004C1B8D">
        <w:rPr>
          <w:rFonts w:ascii="Arial" w:hAnsi="Arial"/>
          <w:u w:val="single"/>
        </w:rPr>
        <w:t>20</w:t>
      </w:r>
      <w:r w:rsidR="00D4762D">
        <w:rPr>
          <w:rFonts w:ascii="Arial" w:hAnsi="Arial"/>
          <w:u w:val="single"/>
        </w:rPr>
        <w:t>2</w:t>
      </w:r>
      <w:r w:rsidR="00A75333">
        <w:rPr>
          <w:rFonts w:ascii="Arial" w:hAnsi="Arial"/>
          <w:u w:val="single"/>
        </w:rPr>
        <w:t>6</w:t>
      </w:r>
      <w:r w:rsidR="009524A5">
        <w:rPr>
          <w:rFonts w:ascii="Arial" w:hAnsi="Arial"/>
          <w:u w:val="single"/>
        </w:rPr>
        <w:t>/2</w:t>
      </w:r>
      <w:r w:rsidR="00A75333">
        <w:rPr>
          <w:rFonts w:ascii="Arial" w:hAnsi="Arial"/>
          <w:u w:val="single"/>
        </w:rPr>
        <w:t>7</w:t>
      </w:r>
    </w:p>
    <w:p w14:paraId="077C3E69" w14:textId="77777777" w:rsidR="005A65D1" w:rsidRPr="004C1B8D" w:rsidRDefault="005A65D1" w:rsidP="00DA0C09">
      <w:pPr>
        <w:rPr>
          <w:rFonts w:ascii="Arial" w:hAnsi="Arial"/>
          <w:sz w:val="22"/>
          <w:u w:val="single"/>
        </w:rPr>
      </w:pPr>
    </w:p>
    <w:p w14:paraId="4472E583" w14:textId="77777777" w:rsidR="00386704" w:rsidRDefault="00386704" w:rsidP="005A65D1">
      <w:pPr>
        <w:pStyle w:val="Subtitle"/>
        <w:ind w:left="709" w:hanging="709"/>
      </w:pPr>
      <w:r>
        <w:t>INTRODUCTION</w:t>
      </w:r>
    </w:p>
    <w:p w14:paraId="06DBA23E" w14:textId="77777777" w:rsidR="00386704" w:rsidRDefault="00386704" w:rsidP="00386704">
      <w:pPr>
        <w:ind w:right="-511"/>
        <w:rPr>
          <w:b/>
        </w:rPr>
      </w:pPr>
    </w:p>
    <w:p w14:paraId="32EBDB39" w14:textId="77777777" w:rsidR="006C5B82" w:rsidRDefault="00386704" w:rsidP="00924212">
      <w:pPr>
        <w:numPr>
          <w:ilvl w:val="1"/>
          <w:numId w:val="10"/>
        </w:numPr>
        <w:ind w:left="709" w:hanging="709"/>
        <w:jc w:val="both"/>
        <w:rPr>
          <w:rFonts w:ascii="Arial" w:hAnsi="Arial" w:cs="Arial"/>
          <w:noProof/>
        </w:rPr>
      </w:pPr>
      <w:r w:rsidRPr="00386704">
        <w:rPr>
          <w:rFonts w:ascii="Arial" w:hAnsi="Arial" w:cs="Arial"/>
        </w:rPr>
        <w:t xml:space="preserve">Treasury Management is the management of cash flows, banking, money market and capital market transactions; the management of the associated risks, and the pursuit of the optimum performance or return consistent with those risks.  </w:t>
      </w:r>
      <w:r w:rsidR="00DA0C09" w:rsidRPr="004C1B8D">
        <w:rPr>
          <w:rFonts w:ascii="Arial" w:hAnsi="Arial"/>
        </w:rPr>
        <w:t xml:space="preserve">The treasury management service is an important part of the overall financial management of the </w:t>
      </w:r>
      <w:r w:rsidR="00306D07">
        <w:rPr>
          <w:rFonts w:ascii="Arial" w:hAnsi="Arial"/>
        </w:rPr>
        <w:t>Police and Crime Commissioner’s (</w:t>
      </w:r>
      <w:r w:rsidR="000516F2">
        <w:rPr>
          <w:rFonts w:ascii="Arial" w:hAnsi="Arial"/>
        </w:rPr>
        <w:t>Commissioner</w:t>
      </w:r>
      <w:r w:rsidR="00306D07">
        <w:rPr>
          <w:rFonts w:ascii="Arial" w:hAnsi="Arial"/>
        </w:rPr>
        <w:t>)</w:t>
      </w:r>
      <w:r w:rsidR="00DA0C09" w:rsidRPr="004C1B8D">
        <w:rPr>
          <w:rFonts w:ascii="Arial" w:hAnsi="Arial"/>
        </w:rPr>
        <w:t xml:space="preserve"> affairs.</w:t>
      </w:r>
      <w:r w:rsidR="006C5B82">
        <w:rPr>
          <w:rFonts w:ascii="Arial" w:hAnsi="Arial"/>
        </w:rPr>
        <w:t xml:space="preserve">  </w:t>
      </w:r>
      <w:r w:rsidR="006C5B82" w:rsidRPr="006C5B82">
        <w:rPr>
          <w:rFonts w:ascii="Arial" w:hAnsi="Arial" w:cs="Arial"/>
          <w:noProof/>
        </w:rPr>
        <w:t xml:space="preserve">The </w:t>
      </w:r>
      <w:r w:rsidR="000516F2">
        <w:rPr>
          <w:rFonts w:ascii="Arial" w:hAnsi="Arial" w:cs="Arial"/>
          <w:noProof/>
        </w:rPr>
        <w:t>Commissioner</w:t>
      </w:r>
      <w:r w:rsidR="006C5B82" w:rsidRPr="006C5B82">
        <w:rPr>
          <w:rFonts w:ascii="Arial" w:hAnsi="Arial" w:cs="Arial"/>
          <w:noProof/>
        </w:rPr>
        <w:t xml:space="preserve"> is required to operate a balanced budget, which broadly means that cash raised during the year will meet cash expenditure.  Part of the treasury management operation is to ensure that this cash flow is adequately planned, with cash being available when it is needed.  Surplus monies are invested in low risk counterparties or instruments commensurate with the </w:t>
      </w:r>
      <w:r w:rsidR="000516F2">
        <w:rPr>
          <w:rFonts w:ascii="Arial" w:hAnsi="Arial" w:cs="Arial"/>
          <w:noProof/>
        </w:rPr>
        <w:t>Commissioner</w:t>
      </w:r>
      <w:r w:rsidR="006C5B82">
        <w:rPr>
          <w:rFonts w:ascii="Arial" w:hAnsi="Arial" w:cs="Arial"/>
          <w:noProof/>
        </w:rPr>
        <w:t>’s</w:t>
      </w:r>
      <w:r w:rsidR="006C5B82" w:rsidRPr="006C5B82">
        <w:rPr>
          <w:rFonts w:ascii="Arial" w:hAnsi="Arial" w:cs="Arial"/>
          <w:noProof/>
        </w:rPr>
        <w:t xml:space="preserve"> low risk appetite, providing adequate liquidity initially</w:t>
      </w:r>
      <w:r w:rsidR="00EA300C">
        <w:rPr>
          <w:rFonts w:ascii="Arial" w:hAnsi="Arial" w:cs="Arial"/>
          <w:noProof/>
        </w:rPr>
        <w:t>,</w:t>
      </w:r>
      <w:r w:rsidR="006C5B82" w:rsidRPr="006C5B82">
        <w:rPr>
          <w:rFonts w:ascii="Arial" w:hAnsi="Arial" w:cs="Arial"/>
          <w:noProof/>
        </w:rPr>
        <w:t xml:space="preserve"> before considering investment return.</w:t>
      </w:r>
      <w:r w:rsidR="00DC2486">
        <w:rPr>
          <w:rFonts w:ascii="Arial" w:hAnsi="Arial" w:cs="Arial"/>
          <w:noProof/>
        </w:rPr>
        <w:t xml:space="preserve">  </w:t>
      </w:r>
      <w:r w:rsidR="00CE4FBF" w:rsidRPr="00CE4FBF">
        <w:rPr>
          <w:rFonts w:ascii="Arial" w:hAnsi="Arial" w:cs="Arial"/>
          <w:noProof/>
        </w:rPr>
        <w:t xml:space="preserve">The second main function of the treasury management service is the funding of the </w:t>
      </w:r>
      <w:r w:rsidR="000516F2">
        <w:rPr>
          <w:rFonts w:ascii="Arial" w:hAnsi="Arial" w:cs="Arial"/>
          <w:noProof/>
        </w:rPr>
        <w:t>Commissioner</w:t>
      </w:r>
      <w:r w:rsidR="00CE4FBF" w:rsidRPr="00CE4FBF">
        <w:rPr>
          <w:rFonts w:ascii="Arial" w:hAnsi="Arial" w:cs="Arial"/>
          <w:noProof/>
        </w:rPr>
        <w:t xml:space="preserve">’s capital plans.  These capital plans provide a guide to the borrowing need of the </w:t>
      </w:r>
      <w:r w:rsidR="000516F2">
        <w:rPr>
          <w:rFonts w:ascii="Arial" w:hAnsi="Arial" w:cs="Arial"/>
          <w:noProof/>
        </w:rPr>
        <w:t>Commissioner</w:t>
      </w:r>
      <w:r w:rsidR="00CE4FBF" w:rsidRPr="00CE4FBF">
        <w:rPr>
          <w:rFonts w:ascii="Arial" w:hAnsi="Arial" w:cs="Arial"/>
          <w:noProof/>
        </w:rPr>
        <w:t xml:space="preserve">, essentially the longer term cash flow planning to ensure that the </w:t>
      </w:r>
      <w:r w:rsidR="000516F2">
        <w:rPr>
          <w:rFonts w:ascii="Arial" w:hAnsi="Arial" w:cs="Arial"/>
          <w:noProof/>
        </w:rPr>
        <w:t>Commissioner</w:t>
      </w:r>
      <w:r w:rsidR="00CE4FBF" w:rsidRPr="00CE4FBF">
        <w:rPr>
          <w:rFonts w:ascii="Arial" w:hAnsi="Arial" w:cs="Arial"/>
          <w:noProof/>
        </w:rPr>
        <w:t xml:space="preserve"> can meet </w:t>
      </w:r>
      <w:r w:rsidR="000516F2">
        <w:rPr>
          <w:rFonts w:ascii="Arial" w:hAnsi="Arial" w:cs="Arial"/>
          <w:noProof/>
        </w:rPr>
        <w:t>hi</w:t>
      </w:r>
      <w:r w:rsidR="00CE4FBF" w:rsidRPr="00CE4FBF">
        <w:rPr>
          <w:rFonts w:ascii="Arial" w:hAnsi="Arial" w:cs="Arial"/>
          <w:noProof/>
        </w:rPr>
        <w:t>s capital spending obligations.  This management of longer term cash may involve arranging long or short term loans, or using longer term cash flow surpluses.  On occasion</w:t>
      </w:r>
      <w:r w:rsidR="0095786D">
        <w:rPr>
          <w:rFonts w:ascii="Arial" w:hAnsi="Arial" w:cs="Arial"/>
          <w:noProof/>
        </w:rPr>
        <w:t>,</w:t>
      </w:r>
      <w:r w:rsidR="00CE4FBF" w:rsidRPr="00CE4FBF">
        <w:rPr>
          <w:rFonts w:ascii="Arial" w:hAnsi="Arial" w:cs="Arial"/>
          <w:noProof/>
        </w:rPr>
        <w:t xml:space="preserve"> any debt previously drawn may be restructured to meet </w:t>
      </w:r>
      <w:r w:rsidR="000516F2">
        <w:rPr>
          <w:rFonts w:ascii="Arial" w:hAnsi="Arial" w:cs="Arial"/>
          <w:noProof/>
        </w:rPr>
        <w:t>the Commissioner’s</w:t>
      </w:r>
      <w:r w:rsidR="00CE4FBF" w:rsidRPr="00CE4FBF">
        <w:rPr>
          <w:rFonts w:ascii="Arial" w:hAnsi="Arial" w:cs="Arial"/>
          <w:noProof/>
        </w:rPr>
        <w:t xml:space="preserve"> risk or cost objectives.</w:t>
      </w:r>
    </w:p>
    <w:p w14:paraId="1D45E41D" w14:textId="77777777" w:rsidR="009C3290" w:rsidRDefault="009C3290" w:rsidP="009C3290">
      <w:pPr>
        <w:ind w:left="360"/>
        <w:jc w:val="both"/>
        <w:rPr>
          <w:rFonts w:ascii="Arial" w:hAnsi="Arial" w:cs="Arial"/>
          <w:noProof/>
        </w:rPr>
      </w:pPr>
    </w:p>
    <w:p w14:paraId="1D4CEE2D" w14:textId="77777777" w:rsidR="00471C3D" w:rsidRDefault="000516F2" w:rsidP="00924212">
      <w:pPr>
        <w:numPr>
          <w:ilvl w:val="1"/>
          <w:numId w:val="10"/>
        </w:numPr>
        <w:ind w:left="709" w:right="-55" w:hanging="709"/>
        <w:jc w:val="both"/>
        <w:rPr>
          <w:rFonts w:ascii="Arial" w:hAnsi="Arial" w:cs="Arial"/>
        </w:rPr>
      </w:pPr>
      <w:r w:rsidRPr="00D20CC6">
        <w:rPr>
          <w:rFonts w:ascii="Arial" w:hAnsi="Arial" w:cs="Arial"/>
        </w:rPr>
        <w:t>The Commissioner</w:t>
      </w:r>
      <w:r w:rsidR="00DA0C09" w:rsidRPr="00D20CC6">
        <w:rPr>
          <w:rFonts w:ascii="Arial" w:hAnsi="Arial" w:cs="Arial"/>
        </w:rPr>
        <w:t>’s treasury activities are strictly regulated by statutory requirements and a professional code of practice</w:t>
      </w:r>
      <w:r w:rsidR="005A65D1" w:rsidRPr="00D20CC6">
        <w:rPr>
          <w:rFonts w:ascii="Arial" w:hAnsi="Arial" w:cs="Arial"/>
        </w:rPr>
        <w:t>,</w:t>
      </w:r>
      <w:r w:rsidR="00DA0C09" w:rsidRPr="00D20CC6">
        <w:rPr>
          <w:rFonts w:ascii="Arial" w:hAnsi="Arial" w:cs="Arial"/>
        </w:rPr>
        <w:t xml:space="preserve"> the CIPFA Code of Practice on Treasury Management</w:t>
      </w:r>
      <w:r w:rsidR="00B9760B" w:rsidRPr="00D20CC6">
        <w:rPr>
          <w:rFonts w:ascii="Arial" w:hAnsi="Arial" w:cs="Arial"/>
        </w:rPr>
        <w:t>.</w:t>
      </w:r>
      <w:r w:rsidR="00C56D33" w:rsidRPr="00D20CC6">
        <w:rPr>
          <w:rFonts w:ascii="Arial" w:hAnsi="Arial" w:cs="Arial"/>
        </w:rPr>
        <w:t xml:space="preserve"> </w:t>
      </w:r>
      <w:r w:rsidR="00B9760B" w:rsidRPr="00D20CC6">
        <w:rPr>
          <w:rFonts w:ascii="Arial" w:hAnsi="Arial" w:cs="Arial"/>
        </w:rPr>
        <w:t xml:space="preserve"> </w:t>
      </w:r>
      <w:r w:rsidR="00C56D33" w:rsidRPr="00D20CC6">
        <w:rPr>
          <w:rFonts w:ascii="Arial" w:hAnsi="Arial" w:cs="Arial"/>
        </w:rPr>
        <w:t>Under the Code</w:t>
      </w:r>
      <w:r w:rsidR="0095786D" w:rsidRPr="00D20CC6">
        <w:rPr>
          <w:rFonts w:ascii="Arial" w:hAnsi="Arial" w:cs="Arial"/>
        </w:rPr>
        <w:t>,</w:t>
      </w:r>
      <w:r w:rsidR="00C56D33" w:rsidRPr="00D20CC6">
        <w:rPr>
          <w:rFonts w:ascii="Arial" w:hAnsi="Arial" w:cs="Arial"/>
        </w:rPr>
        <w:t xml:space="preserve"> the </w:t>
      </w:r>
      <w:r w:rsidRPr="00D20CC6">
        <w:rPr>
          <w:rFonts w:ascii="Arial" w:hAnsi="Arial" w:cs="Arial"/>
        </w:rPr>
        <w:t>Commissioner</w:t>
      </w:r>
      <w:r w:rsidR="00C56D33" w:rsidRPr="00D20CC6">
        <w:rPr>
          <w:rFonts w:ascii="Arial" w:hAnsi="Arial" w:cs="Arial"/>
        </w:rPr>
        <w:t xml:space="preserve"> is </w:t>
      </w:r>
      <w:r w:rsidR="00C56D33" w:rsidRPr="003B3357">
        <w:rPr>
          <w:rFonts w:ascii="Arial" w:hAnsi="Arial" w:cs="Arial"/>
        </w:rPr>
        <w:t>required to receive and approve, as a minimum, three main reports each</w:t>
      </w:r>
      <w:r w:rsidR="00C56D33" w:rsidRPr="00D20CC6">
        <w:rPr>
          <w:rFonts w:ascii="Arial" w:hAnsi="Arial" w:cs="Arial"/>
        </w:rPr>
        <w:t xml:space="preserve"> year, which incorporate a variety of policies, estimates and actuals. </w:t>
      </w:r>
    </w:p>
    <w:p w14:paraId="2B59EC52" w14:textId="77777777" w:rsidR="00471C3D" w:rsidRDefault="00471C3D" w:rsidP="00306D07">
      <w:pPr>
        <w:pStyle w:val="ListParagraph"/>
        <w:rPr>
          <w:rFonts w:ascii="Arial" w:hAnsi="Arial" w:cs="Arial"/>
        </w:rPr>
      </w:pPr>
    </w:p>
    <w:p w14:paraId="33CBD391" w14:textId="42F5B8C0" w:rsidR="00ED5AD3" w:rsidRPr="003B3357" w:rsidRDefault="00314C54" w:rsidP="00924212">
      <w:pPr>
        <w:numPr>
          <w:ilvl w:val="1"/>
          <w:numId w:val="10"/>
        </w:numPr>
        <w:ind w:left="709" w:right="-55" w:hanging="709"/>
        <w:jc w:val="both"/>
        <w:rPr>
          <w:rFonts w:ascii="Arial" w:hAnsi="Arial" w:cs="Arial"/>
        </w:rPr>
      </w:pPr>
      <w:r w:rsidRPr="00ED5AD3">
        <w:rPr>
          <w:rFonts w:ascii="Arial" w:hAnsi="Arial" w:cs="Arial"/>
        </w:rPr>
        <w:t xml:space="preserve">The Prudential Code 2017 introduced a new requirement for local authorities </w:t>
      </w:r>
      <w:r w:rsidR="00306D07" w:rsidRPr="00ED5AD3">
        <w:rPr>
          <w:rFonts w:ascii="Arial" w:hAnsi="Arial" w:cs="Arial"/>
        </w:rPr>
        <w:t xml:space="preserve">(including Commissioners) </w:t>
      </w:r>
      <w:r w:rsidRPr="00ED5AD3">
        <w:rPr>
          <w:rFonts w:ascii="Arial" w:hAnsi="Arial" w:cs="Arial"/>
        </w:rPr>
        <w:t>to produce a</w:t>
      </w:r>
      <w:r w:rsidR="00E76E96">
        <w:rPr>
          <w:rFonts w:ascii="Arial" w:hAnsi="Arial" w:cs="Arial"/>
        </w:rPr>
        <w:t xml:space="preserve"> C</w:t>
      </w:r>
      <w:r w:rsidRPr="00ED5AD3">
        <w:rPr>
          <w:rFonts w:ascii="Arial" w:hAnsi="Arial" w:cs="Arial"/>
        </w:rPr>
        <w:t xml:space="preserve">apital </w:t>
      </w:r>
      <w:r w:rsidR="00E76E96">
        <w:rPr>
          <w:rFonts w:ascii="Arial" w:hAnsi="Arial" w:cs="Arial"/>
        </w:rPr>
        <w:t>S</w:t>
      </w:r>
      <w:r w:rsidRPr="00ED5AD3">
        <w:rPr>
          <w:rFonts w:ascii="Arial" w:hAnsi="Arial" w:cs="Arial"/>
        </w:rPr>
        <w:t xml:space="preserve">trategy. </w:t>
      </w:r>
      <w:r w:rsidR="00800588">
        <w:rPr>
          <w:rFonts w:ascii="Arial" w:hAnsi="Arial" w:cs="Arial"/>
        </w:rPr>
        <w:t xml:space="preserve"> </w:t>
      </w:r>
      <w:r w:rsidRPr="00ED5AD3">
        <w:rPr>
          <w:rFonts w:ascii="Arial" w:hAnsi="Arial" w:cs="Arial"/>
        </w:rPr>
        <w:t xml:space="preserve">It is for local authorities to decide whether to include their treasury management strategy and annual investment strategy as part of a </w:t>
      </w:r>
      <w:r w:rsidR="003838F9">
        <w:rPr>
          <w:rFonts w:ascii="Arial" w:hAnsi="Arial" w:cs="Arial"/>
        </w:rPr>
        <w:t>C</w:t>
      </w:r>
      <w:r w:rsidRPr="00ED5AD3">
        <w:rPr>
          <w:rFonts w:ascii="Arial" w:hAnsi="Arial" w:cs="Arial"/>
        </w:rPr>
        <w:t xml:space="preserve">apital </w:t>
      </w:r>
      <w:r w:rsidR="003838F9">
        <w:rPr>
          <w:rFonts w:ascii="Arial" w:hAnsi="Arial" w:cs="Arial"/>
        </w:rPr>
        <w:t>S</w:t>
      </w:r>
      <w:r w:rsidRPr="00ED5AD3">
        <w:rPr>
          <w:rFonts w:ascii="Arial" w:hAnsi="Arial" w:cs="Arial"/>
        </w:rPr>
        <w:t>trategy or to complete separately.</w:t>
      </w:r>
      <w:r w:rsidR="009719D8" w:rsidRPr="00ED5AD3">
        <w:rPr>
          <w:rFonts w:ascii="Arial" w:hAnsi="Arial" w:cs="Arial"/>
        </w:rPr>
        <w:t xml:space="preserve">  </w:t>
      </w:r>
      <w:r w:rsidR="00E76E96" w:rsidRPr="003B3357">
        <w:rPr>
          <w:rFonts w:ascii="Arial" w:hAnsi="Arial" w:cs="Arial"/>
        </w:rPr>
        <w:t>Since</w:t>
      </w:r>
      <w:r w:rsidR="009719D8" w:rsidRPr="003B3357">
        <w:rPr>
          <w:rFonts w:ascii="Arial" w:hAnsi="Arial" w:cs="Arial"/>
        </w:rPr>
        <w:t xml:space="preserve"> the first year of operation, the Commissioner has elected to complete a separate </w:t>
      </w:r>
      <w:r w:rsidR="00944E28" w:rsidRPr="003B3357">
        <w:rPr>
          <w:rFonts w:ascii="Arial" w:hAnsi="Arial" w:cs="Arial"/>
        </w:rPr>
        <w:t xml:space="preserve">four-year </w:t>
      </w:r>
      <w:r w:rsidR="003838F9" w:rsidRPr="003B3357">
        <w:rPr>
          <w:rFonts w:ascii="Arial" w:hAnsi="Arial" w:cs="Arial"/>
        </w:rPr>
        <w:t>C</w:t>
      </w:r>
      <w:r w:rsidR="009719D8" w:rsidRPr="003B3357">
        <w:rPr>
          <w:rFonts w:ascii="Arial" w:hAnsi="Arial" w:cs="Arial"/>
        </w:rPr>
        <w:t xml:space="preserve">apital </w:t>
      </w:r>
      <w:r w:rsidR="003838F9" w:rsidRPr="003B3357">
        <w:rPr>
          <w:rFonts w:ascii="Arial" w:hAnsi="Arial" w:cs="Arial"/>
        </w:rPr>
        <w:t>S</w:t>
      </w:r>
      <w:r w:rsidR="009719D8" w:rsidRPr="003B3357">
        <w:rPr>
          <w:rFonts w:ascii="Arial" w:hAnsi="Arial" w:cs="Arial"/>
        </w:rPr>
        <w:t>trategy which w</w:t>
      </w:r>
      <w:r w:rsidR="008B28A8" w:rsidRPr="003B3357">
        <w:rPr>
          <w:rFonts w:ascii="Arial" w:hAnsi="Arial" w:cs="Arial"/>
        </w:rPr>
        <w:t>as</w:t>
      </w:r>
      <w:r w:rsidR="009719D8" w:rsidRPr="003B3357">
        <w:rPr>
          <w:rFonts w:ascii="Arial" w:hAnsi="Arial" w:cs="Arial"/>
        </w:rPr>
        <w:t xml:space="preserve"> completed at the </w:t>
      </w:r>
      <w:r w:rsidR="00721A0D" w:rsidRPr="003B3357">
        <w:rPr>
          <w:rFonts w:ascii="Arial" w:hAnsi="Arial" w:cs="Arial"/>
        </w:rPr>
        <w:t>conclusion</w:t>
      </w:r>
      <w:r w:rsidR="009719D8" w:rsidRPr="003B3357">
        <w:rPr>
          <w:rFonts w:ascii="Arial" w:hAnsi="Arial" w:cs="Arial"/>
        </w:rPr>
        <w:t xml:space="preserve"> of the budget setting process in February 20</w:t>
      </w:r>
      <w:r w:rsidR="00A75333" w:rsidRPr="003B3357">
        <w:rPr>
          <w:rFonts w:ascii="Arial" w:hAnsi="Arial" w:cs="Arial"/>
        </w:rPr>
        <w:t>22</w:t>
      </w:r>
      <w:r w:rsidR="009719D8" w:rsidRPr="003B3357">
        <w:rPr>
          <w:rFonts w:ascii="Arial" w:hAnsi="Arial" w:cs="Arial"/>
        </w:rPr>
        <w:t xml:space="preserve"> and approved before the commencement of the </w:t>
      </w:r>
      <w:r w:rsidR="00047134" w:rsidRPr="003B3357">
        <w:rPr>
          <w:rFonts w:ascii="Arial" w:hAnsi="Arial" w:cs="Arial"/>
        </w:rPr>
        <w:t>20</w:t>
      </w:r>
      <w:r w:rsidR="00A75333" w:rsidRPr="003B3357">
        <w:rPr>
          <w:rFonts w:ascii="Arial" w:hAnsi="Arial" w:cs="Arial"/>
        </w:rPr>
        <w:t>2</w:t>
      </w:r>
      <w:r w:rsidR="003B3357" w:rsidRPr="003B3357">
        <w:rPr>
          <w:rFonts w:ascii="Arial" w:hAnsi="Arial" w:cs="Arial"/>
        </w:rPr>
        <w:t>2</w:t>
      </w:r>
      <w:r w:rsidR="00047134" w:rsidRPr="003B3357">
        <w:rPr>
          <w:rFonts w:ascii="Arial" w:hAnsi="Arial" w:cs="Arial"/>
        </w:rPr>
        <w:t>/</w:t>
      </w:r>
      <w:r w:rsidR="00473FD8" w:rsidRPr="003B3357">
        <w:rPr>
          <w:rFonts w:ascii="Arial" w:hAnsi="Arial" w:cs="Arial"/>
        </w:rPr>
        <w:t>2</w:t>
      </w:r>
      <w:r w:rsidR="003B3357" w:rsidRPr="003B3357">
        <w:rPr>
          <w:rFonts w:ascii="Arial" w:hAnsi="Arial" w:cs="Arial"/>
        </w:rPr>
        <w:t>3</w:t>
      </w:r>
      <w:r w:rsidR="00047134" w:rsidRPr="003B3357">
        <w:rPr>
          <w:rFonts w:ascii="Arial" w:hAnsi="Arial" w:cs="Arial"/>
        </w:rPr>
        <w:t xml:space="preserve"> financial </w:t>
      </w:r>
      <w:r w:rsidR="009719D8" w:rsidRPr="003B3357">
        <w:rPr>
          <w:rFonts w:ascii="Arial" w:hAnsi="Arial" w:cs="Arial"/>
        </w:rPr>
        <w:t>year</w:t>
      </w:r>
      <w:r w:rsidR="00EA300C" w:rsidRPr="003B3357">
        <w:rPr>
          <w:rFonts w:ascii="Arial" w:hAnsi="Arial" w:cs="Arial"/>
        </w:rPr>
        <w:t>.</w:t>
      </w:r>
      <w:r w:rsidR="00944E28" w:rsidRPr="003B3357">
        <w:rPr>
          <w:rFonts w:ascii="Arial" w:hAnsi="Arial" w:cs="Arial"/>
        </w:rPr>
        <w:t xml:space="preserve"> The Capital Strategy will next be updated for the commencement of </w:t>
      </w:r>
      <w:r w:rsidR="00E77D61" w:rsidRPr="003B3357">
        <w:rPr>
          <w:rFonts w:ascii="Arial" w:hAnsi="Arial" w:cs="Arial"/>
        </w:rPr>
        <w:t>the</w:t>
      </w:r>
      <w:r w:rsidR="00944E28" w:rsidRPr="003B3357">
        <w:rPr>
          <w:rFonts w:ascii="Arial" w:hAnsi="Arial" w:cs="Arial"/>
        </w:rPr>
        <w:t xml:space="preserve"> 202</w:t>
      </w:r>
      <w:r w:rsidR="003B3357" w:rsidRPr="003B3357">
        <w:rPr>
          <w:rFonts w:ascii="Arial" w:hAnsi="Arial" w:cs="Arial"/>
        </w:rPr>
        <w:t>5</w:t>
      </w:r>
      <w:r w:rsidR="00944E28" w:rsidRPr="003B3357">
        <w:rPr>
          <w:rFonts w:ascii="Arial" w:hAnsi="Arial" w:cs="Arial"/>
        </w:rPr>
        <w:t>/2</w:t>
      </w:r>
      <w:r w:rsidR="003B3357" w:rsidRPr="003B3357">
        <w:rPr>
          <w:rFonts w:ascii="Arial" w:hAnsi="Arial" w:cs="Arial"/>
        </w:rPr>
        <w:t>6</w:t>
      </w:r>
      <w:r w:rsidR="00944E28" w:rsidRPr="003B3357">
        <w:rPr>
          <w:rFonts w:ascii="Arial" w:hAnsi="Arial" w:cs="Arial"/>
        </w:rPr>
        <w:t xml:space="preserve"> financial year. </w:t>
      </w:r>
    </w:p>
    <w:p w14:paraId="2D8029FC" w14:textId="77777777" w:rsidR="00ED5AD3" w:rsidRDefault="00ED5AD3" w:rsidP="00ED5AD3">
      <w:pPr>
        <w:pStyle w:val="ListParagraph"/>
        <w:rPr>
          <w:rFonts w:ascii="Arial" w:hAnsi="Arial" w:cs="Arial"/>
        </w:rPr>
      </w:pPr>
    </w:p>
    <w:p w14:paraId="28D766E4" w14:textId="33CEF663" w:rsidR="00001D92" w:rsidRPr="00ED5AD3" w:rsidRDefault="00A91057" w:rsidP="00924212">
      <w:pPr>
        <w:numPr>
          <w:ilvl w:val="1"/>
          <w:numId w:val="10"/>
        </w:numPr>
        <w:ind w:left="709" w:right="-55" w:hanging="709"/>
        <w:jc w:val="both"/>
        <w:rPr>
          <w:rFonts w:ascii="Arial" w:hAnsi="Arial" w:cs="Arial"/>
        </w:rPr>
      </w:pPr>
      <w:r w:rsidRPr="00ED5AD3">
        <w:rPr>
          <w:rFonts w:ascii="Arial" w:hAnsi="Arial" w:cs="Arial"/>
        </w:rPr>
        <w:lastRenderedPageBreak/>
        <w:t>The adoption of a</w:t>
      </w:r>
      <w:r w:rsidR="00DA0C09" w:rsidRPr="00ED5AD3">
        <w:rPr>
          <w:rFonts w:ascii="Arial" w:hAnsi="Arial" w:cs="Arial"/>
        </w:rPr>
        <w:t xml:space="preserve"> </w:t>
      </w:r>
      <w:r w:rsidRPr="00ED5AD3">
        <w:rPr>
          <w:rFonts w:ascii="Arial" w:hAnsi="Arial" w:cs="Arial"/>
        </w:rPr>
        <w:t>Treasury Management Strategy for 20</w:t>
      </w:r>
      <w:r w:rsidR="008B28A8">
        <w:rPr>
          <w:rFonts w:ascii="Arial" w:hAnsi="Arial" w:cs="Arial"/>
        </w:rPr>
        <w:t>2</w:t>
      </w:r>
      <w:r w:rsidR="003B3357">
        <w:rPr>
          <w:rFonts w:ascii="Arial" w:hAnsi="Arial" w:cs="Arial"/>
        </w:rPr>
        <w:t>4</w:t>
      </w:r>
      <w:r w:rsidR="009524A5" w:rsidRPr="00ED5AD3">
        <w:rPr>
          <w:rFonts w:ascii="Arial" w:hAnsi="Arial" w:cs="Arial"/>
        </w:rPr>
        <w:t>/2</w:t>
      </w:r>
      <w:r w:rsidR="003B3357">
        <w:rPr>
          <w:rFonts w:ascii="Arial" w:hAnsi="Arial" w:cs="Arial"/>
        </w:rPr>
        <w:t>5</w:t>
      </w:r>
      <w:r w:rsidRPr="00ED5AD3">
        <w:rPr>
          <w:rFonts w:ascii="Arial" w:hAnsi="Arial" w:cs="Arial"/>
        </w:rPr>
        <w:t xml:space="preserve">, prior to the start of the financial year, is the first of </w:t>
      </w:r>
      <w:r w:rsidR="00EE1D98" w:rsidRPr="00ED5AD3">
        <w:rPr>
          <w:rFonts w:ascii="Arial" w:hAnsi="Arial" w:cs="Arial"/>
        </w:rPr>
        <w:t xml:space="preserve">the </w:t>
      </w:r>
      <w:r w:rsidRPr="00ED5AD3">
        <w:rPr>
          <w:rFonts w:ascii="Arial" w:hAnsi="Arial" w:cs="Arial"/>
        </w:rPr>
        <w:t>three reporting requirements in respect of that year.</w:t>
      </w:r>
      <w:r w:rsidR="00651478" w:rsidRPr="00ED5AD3">
        <w:rPr>
          <w:rFonts w:ascii="Arial" w:hAnsi="Arial" w:cs="Arial"/>
        </w:rPr>
        <w:t xml:space="preserve">  This will be </w:t>
      </w:r>
      <w:r w:rsidR="00615280" w:rsidRPr="00ED5AD3">
        <w:rPr>
          <w:rFonts w:ascii="Arial" w:hAnsi="Arial" w:cs="Arial"/>
        </w:rPr>
        <w:t>followed in due course by a mid-</w:t>
      </w:r>
      <w:r w:rsidR="00651478" w:rsidRPr="00ED5AD3">
        <w:rPr>
          <w:rFonts w:ascii="Arial" w:hAnsi="Arial" w:cs="Arial"/>
        </w:rPr>
        <w:t xml:space="preserve">year Treasury Management report and an Annual Treasury </w:t>
      </w:r>
      <w:r w:rsidR="00944E28">
        <w:rPr>
          <w:rFonts w:ascii="Arial" w:hAnsi="Arial" w:cs="Arial"/>
        </w:rPr>
        <w:t xml:space="preserve">Management </w:t>
      </w:r>
      <w:r w:rsidR="00651478" w:rsidRPr="00ED5AD3">
        <w:rPr>
          <w:rFonts w:ascii="Arial" w:hAnsi="Arial" w:cs="Arial"/>
        </w:rPr>
        <w:t>Report before 30</w:t>
      </w:r>
      <w:r w:rsidR="00651478" w:rsidRPr="00ED5AD3">
        <w:rPr>
          <w:rFonts w:ascii="Arial" w:hAnsi="Arial" w:cs="Arial"/>
          <w:vertAlign w:val="superscript"/>
        </w:rPr>
        <w:t>th</w:t>
      </w:r>
      <w:r w:rsidR="00E42A5A" w:rsidRPr="00ED5AD3">
        <w:rPr>
          <w:rFonts w:ascii="Arial" w:hAnsi="Arial" w:cs="Arial"/>
        </w:rPr>
        <w:t xml:space="preserve"> </w:t>
      </w:r>
      <w:r w:rsidR="00E42A5A" w:rsidRPr="00C206C8">
        <w:rPr>
          <w:rFonts w:ascii="Arial" w:hAnsi="Arial" w:cs="Arial"/>
        </w:rPr>
        <w:t>September 20</w:t>
      </w:r>
      <w:r w:rsidR="008B28A8" w:rsidRPr="00C206C8">
        <w:rPr>
          <w:rFonts w:ascii="Arial" w:hAnsi="Arial" w:cs="Arial"/>
        </w:rPr>
        <w:t>2</w:t>
      </w:r>
      <w:r w:rsidR="003B3357">
        <w:rPr>
          <w:rFonts w:ascii="Arial" w:hAnsi="Arial" w:cs="Arial"/>
        </w:rPr>
        <w:t>5</w:t>
      </w:r>
      <w:r w:rsidR="0095786D" w:rsidRPr="00ED5AD3">
        <w:rPr>
          <w:rFonts w:ascii="Arial" w:hAnsi="Arial" w:cs="Arial"/>
        </w:rPr>
        <w:t>,</w:t>
      </w:r>
      <w:r w:rsidR="00651478" w:rsidRPr="00ED5AD3">
        <w:rPr>
          <w:rFonts w:ascii="Arial" w:hAnsi="Arial" w:cs="Arial"/>
        </w:rPr>
        <w:t xml:space="preserve"> providing a selection of actual prudential and treasury indicators.</w:t>
      </w:r>
    </w:p>
    <w:p w14:paraId="6A92F119" w14:textId="77777777" w:rsidR="00001D92" w:rsidRDefault="00001D92" w:rsidP="00001D92">
      <w:pPr>
        <w:pStyle w:val="ListParagraph"/>
        <w:rPr>
          <w:rFonts w:ascii="Arial" w:hAnsi="Arial" w:cs="Arial"/>
        </w:rPr>
      </w:pPr>
    </w:p>
    <w:p w14:paraId="223835BC" w14:textId="047E8B56" w:rsidR="00247E7A" w:rsidRPr="00001D92" w:rsidRDefault="00247E7A" w:rsidP="00924212">
      <w:pPr>
        <w:numPr>
          <w:ilvl w:val="1"/>
          <w:numId w:val="10"/>
        </w:numPr>
        <w:ind w:left="709" w:right="-55" w:hanging="709"/>
        <w:jc w:val="both"/>
        <w:rPr>
          <w:rFonts w:ascii="Arial" w:hAnsi="Arial" w:cs="Arial"/>
        </w:rPr>
      </w:pPr>
      <w:r w:rsidRPr="00001D92">
        <w:rPr>
          <w:rFonts w:ascii="Arial" w:hAnsi="Arial" w:cs="Arial"/>
        </w:rPr>
        <w:t>The Treasury Management Stra</w:t>
      </w:r>
      <w:r w:rsidR="00405E5B" w:rsidRPr="00001D92">
        <w:rPr>
          <w:rFonts w:ascii="Arial" w:hAnsi="Arial" w:cs="Arial"/>
        </w:rPr>
        <w:t>t</w:t>
      </w:r>
      <w:r w:rsidRPr="00001D92">
        <w:rPr>
          <w:rFonts w:ascii="Arial" w:hAnsi="Arial" w:cs="Arial"/>
        </w:rPr>
        <w:t>egy for 20</w:t>
      </w:r>
      <w:r w:rsidR="008B28A8">
        <w:rPr>
          <w:rFonts w:ascii="Arial" w:hAnsi="Arial" w:cs="Arial"/>
        </w:rPr>
        <w:t>2</w:t>
      </w:r>
      <w:r w:rsidR="003B3357">
        <w:rPr>
          <w:rFonts w:ascii="Arial" w:hAnsi="Arial" w:cs="Arial"/>
        </w:rPr>
        <w:t>4</w:t>
      </w:r>
      <w:r w:rsidR="009524A5">
        <w:rPr>
          <w:rFonts w:ascii="Arial" w:hAnsi="Arial" w:cs="Arial"/>
        </w:rPr>
        <w:t>/2</w:t>
      </w:r>
      <w:r w:rsidR="003B3357">
        <w:rPr>
          <w:rFonts w:ascii="Arial" w:hAnsi="Arial" w:cs="Arial"/>
        </w:rPr>
        <w:t>5</w:t>
      </w:r>
      <w:r w:rsidRPr="00001D92">
        <w:rPr>
          <w:rFonts w:ascii="Arial" w:hAnsi="Arial" w:cs="Arial"/>
        </w:rPr>
        <w:t xml:space="preserve"> covers two main areas:</w:t>
      </w:r>
    </w:p>
    <w:p w14:paraId="6172251E" w14:textId="77777777" w:rsidR="00247E7A" w:rsidRDefault="00247E7A" w:rsidP="00247E7A">
      <w:pPr>
        <w:pStyle w:val="ListParagraph"/>
        <w:rPr>
          <w:rFonts w:ascii="Arial" w:hAnsi="Arial" w:cs="Arial"/>
        </w:rPr>
      </w:pPr>
    </w:p>
    <w:p w14:paraId="7306D619" w14:textId="77777777" w:rsidR="00247E7A" w:rsidRDefault="00247E7A" w:rsidP="00247E7A">
      <w:pPr>
        <w:ind w:left="710" w:right="-55"/>
        <w:jc w:val="both"/>
        <w:rPr>
          <w:rFonts w:ascii="Arial" w:hAnsi="Arial" w:cs="Arial"/>
          <w:b/>
        </w:rPr>
      </w:pPr>
      <w:r>
        <w:rPr>
          <w:rFonts w:ascii="Arial" w:hAnsi="Arial" w:cs="Arial"/>
          <w:b/>
        </w:rPr>
        <w:t>Capital Issues</w:t>
      </w:r>
    </w:p>
    <w:p w14:paraId="685073FE" w14:textId="77777777" w:rsidR="00DA0C09" w:rsidRDefault="00576BD4" w:rsidP="00924212">
      <w:pPr>
        <w:numPr>
          <w:ilvl w:val="0"/>
          <w:numId w:val="7"/>
        </w:numPr>
        <w:ind w:left="1418" w:right="-55" w:hanging="709"/>
        <w:jc w:val="both"/>
        <w:rPr>
          <w:rFonts w:ascii="Arial" w:hAnsi="Arial" w:cs="Arial"/>
        </w:rPr>
      </w:pPr>
      <w:r>
        <w:rPr>
          <w:rFonts w:ascii="Arial" w:hAnsi="Arial" w:cs="Arial"/>
        </w:rPr>
        <w:tab/>
      </w:r>
      <w:r w:rsidR="00247E7A" w:rsidRPr="00247E7A">
        <w:rPr>
          <w:rFonts w:ascii="Arial" w:hAnsi="Arial" w:cs="Arial"/>
        </w:rPr>
        <w:t>The</w:t>
      </w:r>
      <w:r w:rsidR="00247E7A">
        <w:rPr>
          <w:rFonts w:ascii="Arial" w:hAnsi="Arial" w:cs="Arial"/>
        </w:rPr>
        <w:t xml:space="preserve"> capital plans and the prudential indicators;</w:t>
      </w:r>
      <w:r>
        <w:rPr>
          <w:rFonts w:ascii="Arial" w:hAnsi="Arial" w:cs="Arial"/>
        </w:rPr>
        <w:t xml:space="preserve"> and</w:t>
      </w:r>
    </w:p>
    <w:p w14:paraId="717EBB4D" w14:textId="77777777" w:rsidR="00247E7A" w:rsidRDefault="00247E7A" w:rsidP="00924212">
      <w:pPr>
        <w:numPr>
          <w:ilvl w:val="0"/>
          <w:numId w:val="7"/>
        </w:numPr>
        <w:ind w:right="-55" w:hanging="776"/>
        <w:jc w:val="both"/>
        <w:rPr>
          <w:rFonts w:ascii="Arial" w:hAnsi="Arial" w:cs="Arial"/>
        </w:rPr>
      </w:pPr>
      <w:r>
        <w:rPr>
          <w:rFonts w:ascii="Arial" w:hAnsi="Arial" w:cs="Arial"/>
        </w:rPr>
        <w:t>The Minimum Revenue Provision (MRP) strategy.</w:t>
      </w:r>
    </w:p>
    <w:p w14:paraId="25E4659F" w14:textId="77777777" w:rsidR="00247E7A" w:rsidRDefault="00247E7A" w:rsidP="00247E7A">
      <w:pPr>
        <w:ind w:right="-55"/>
        <w:jc w:val="both"/>
        <w:rPr>
          <w:rFonts w:ascii="Arial" w:hAnsi="Arial" w:cs="Arial"/>
        </w:rPr>
      </w:pPr>
    </w:p>
    <w:p w14:paraId="461B46EC" w14:textId="77777777" w:rsidR="00247E7A" w:rsidRPr="00247E7A" w:rsidRDefault="00247E7A" w:rsidP="00247E7A">
      <w:pPr>
        <w:ind w:left="720" w:right="-55"/>
        <w:jc w:val="both"/>
        <w:rPr>
          <w:rFonts w:ascii="Arial" w:hAnsi="Arial" w:cs="Arial"/>
          <w:b/>
        </w:rPr>
      </w:pPr>
      <w:r>
        <w:rPr>
          <w:rFonts w:ascii="Arial" w:hAnsi="Arial" w:cs="Arial"/>
          <w:b/>
        </w:rPr>
        <w:t>Treasury Management Issues</w:t>
      </w:r>
    </w:p>
    <w:p w14:paraId="1F7CB47D" w14:textId="77777777" w:rsidR="00764087" w:rsidRPr="00B9760B" w:rsidRDefault="007120DB" w:rsidP="00615280">
      <w:pPr>
        <w:pStyle w:val="BodyText"/>
        <w:numPr>
          <w:ilvl w:val="0"/>
          <w:numId w:val="1"/>
        </w:numPr>
        <w:tabs>
          <w:tab w:val="clear" w:pos="1091"/>
          <w:tab w:val="num" w:pos="1418"/>
        </w:tabs>
        <w:ind w:hanging="238"/>
        <w:rPr>
          <w:rFonts w:ascii="Arial" w:hAnsi="Arial" w:cs="Arial"/>
        </w:rPr>
      </w:pPr>
      <w:r>
        <w:rPr>
          <w:rFonts w:ascii="Arial" w:hAnsi="Arial" w:cs="Arial"/>
        </w:rPr>
        <w:t xml:space="preserve">       </w:t>
      </w:r>
      <w:r w:rsidR="00576BD4">
        <w:rPr>
          <w:rFonts w:ascii="Arial" w:hAnsi="Arial" w:cs="Arial"/>
        </w:rPr>
        <w:t>D</w:t>
      </w:r>
      <w:r w:rsidR="00DA0C09" w:rsidRPr="00B9760B">
        <w:rPr>
          <w:rFonts w:ascii="Arial" w:hAnsi="Arial" w:cs="Arial"/>
        </w:rPr>
        <w:t>ebt and investment projections;</w:t>
      </w:r>
    </w:p>
    <w:p w14:paraId="0E24D057" w14:textId="77777777" w:rsidR="00DA0C09" w:rsidRPr="00B9760B" w:rsidRDefault="00576BD4" w:rsidP="00615280">
      <w:pPr>
        <w:pStyle w:val="BodyText"/>
        <w:numPr>
          <w:ilvl w:val="0"/>
          <w:numId w:val="1"/>
        </w:numPr>
        <w:ind w:hanging="238"/>
        <w:rPr>
          <w:rFonts w:ascii="Arial" w:hAnsi="Arial" w:cs="Arial"/>
        </w:rPr>
      </w:pPr>
      <w:r>
        <w:rPr>
          <w:rFonts w:ascii="Arial" w:hAnsi="Arial" w:cs="Arial"/>
        </w:rPr>
        <w:t xml:space="preserve"> </w:t>
      </w:r>
      <w:r>
        <w:rPr>
          <w:rFonts w:ascii="Arial" w:hAnsi="Arial" w:cs="Arial"/>
        </w:rPr>
        <w:tab/>
        <w:t>L</w:t>
      </w:r>
      <w:r w:rsidR="00DA0C09" w:rsidRPr="00B9760B">
        <w:rPr>
          <w:rFonts w:ascii="Arial" w:hAnsi="Arial" w:cs="Arial"/>
        </w:rPr>
        <w:t xml:space="preserve">imits on </w:t>
      </w:r>
      <w:r w:rsidR="00A67E8F" w:rsidRPr="00B9760B">
        <w:rPr>
          <w:rFonts w:ascii="Arial" w:hAnsi="Arial" w:cs="Arial"/>
        </w:rPr>
        <w:t>borrowing activity</w:t>
      </w:r>
      <w:r w:rsidR="00DA0C09" w:rsidRPr="00B9760B">
        <w:rPr>
          <w:rFonts w:ascii="Arial" w:hAnsi="Arial" w:cs="Arial"/>
        </w:rPr>
        <w:t>;</w:t>
      </w:r>
    </w:p>
    <w:p w14:paraId="35596489" w14:textId="77777777" w:rsidR="00DA0C09" w:rsidRPr="00B9760B" w:rsidRDefault="00B94F59" w:rsidP="00615280">
      <w:pPr>
        <w:pStyle w:val="BodyText"/>
        <w:numPr>
          <w:ilvl w:val="0"/>
          <w:numId w:val="1"/>
        </w:numPr>
        <w:ind w:hanging="238"/>
        <w:rPr>
          <w:rFonts w:ascii="Arial" w:hAnsi="Arial" w:cs="Arial"/>
        </w:rPr>
      </w:pPr>
      <w:r>
        <w:rPr>
          <w:rFonts w:ascii="Arial" w:hAnsi="Arial" w:cs="Arial"/>
        </w:rPr>
        <w:tab/>
      </w:r>
      <w:r w:rsidR="00576BD4">
        <w:rPr>
          <w:rFonts w:ascii="Arial" w:hAnsi="Arial" w:cs="Arial"/>
        </w:rPr>
        <w:t>T</w:t>
      </w:r>
      <w:r w:rsidR="00DA0C09" w:rsidRPr="00B9760B">
        <w:rPr>
          <w:rFonts w:ascii="Arial" w:hAnsi="Arial" w:cs="Arial"/>
        </w:rPr>
        <w:t>he expected movement in interest rates;</w:t>
      </w:r>
    </w:p>
    <w:p w14:paraId="4172A7D2" w14:textId="77777777" w:rsidR="00DA0C09" w:rsidRPr="00B9760B" w:rsidRDefault="00576BD4" w:rsidP="00615280">
      <w:pPr>
        <w:pStyle w:val="BodyText"/>
        <w:numPr>
          <w:ilvl w:val="0"/>
          <w:numId w:val="1"/>
        </w:numPr>
        <w:tabs>
          <w:tab w:val="clear" w:pos="1091"/>
          <w:tab w:val="num" w:pos="1418"/>
        </w:tabs>
        <w:ind w:left="1418" w:hanging="709"/>
        <w:rPr>
          <w:rFonts w:ascii="Arial" w:hAnsi="Arial" w:cs="Arial"/>
        </w:rPr>
      </w:pPr>
      <w:r>
        <w:rPr>
          <w:rFonts w:ascii="Arial" w:hAnsi="Arial" w:cs="Arial"/>
        </w:rPr>
        <w:t>B</w:t>
      </w:r>
      <w:r w:rsidR="00DA0C09" w:rsidRPr="00B9760B">
        <w:rPr>
          <w:rFonts w:ascii="Arial" w:hAnsi="Arial" w:cs="Arial"/>
        </w:rPr>
        <w:t>orrowing and investment strategies;</w:t>
      </w:r>
    </w:p>
    <w:p w14:paraId="669D0B23" w14:textId="77777777" w:rsidR="00DA0C09" w:rsidRDefault="00576BD4" w:rsidP="00615280">
      <w:pPr>
        <w:pStyle w:val="BodyText"/>
        <w:numPr>
          <w:ilvl w:val="0"/>
          <w:numId w:val="1"/>
        </w:numPr>
        <w:tabs>
          <w:tab w:val="clear" w:pos="1091"/>
          <w:tab w:val="num" w:pos="1418"/>
        </w:tabs>
        <w:ind w:left="1418" w:hanging="709"/>
        <w:rPr>
          <w:rFonts w:ascii="Arial" w:hAnsi="Arial" w:cs="Arial"/>
        </w:rPr>
      </w:pPr>
      <w:r>
        <w:rPr>
          <w:rFonts w:ascii="Arial" w:hAnsi="Arial" w:cs="Arial"/>
        </w:rPr>
        <w:tab/>
        <w:t>T</w:t>
      </w:r>
      <w:r w:rsidR="00DA0C09" w:rsidRPr="00B9760B">
        <w:rPr>
          <w:rFonts w:ascii="Arial" w:hAnsi="Arial" w:cs="Arial"/>
        </w:rPr>
        <w:t>reasury performance indicators;</w:t>
      </w:r>
      <w:r w:rsidR="00B157B2" w:rsidRPr="00B9760B">
        <w:rPr>
          <w:rFonts w:ascii="Arial" w:hAnsi="Arial" w:cs="Arial"/>
        </w:rPr>
        <w:t xml:space="preserve"> and</w:t>
      </w:r>
    </w:p>
    <w:p w14:paraId="31C1347A" w14:textId="77777777" w:rsidR="00DA0C09" w:rsidRPr="00B9760B" w:rsidRDefault="00576BD4" w:rsidP="00615280">
      <w:pPr>
        <w:pStyle w:val="BodyText"/>
        <w:numPr>
          <w:ilvl w:val="0"/>
          <w:numId w:val="1"/>
        </w:numPr>
        <w:tabs>
          <w:tab w:val="clear" w:pos="1091"/>
          <w:tab w:val="num" w:pos="1418"/>
        </w:tabs>
        <w:ind w:left="1418" w:hanging="709"/>
        <w:rPr>
          <w:rFonts w:ascii="Arial" w:hAnsi="Arial" w:cs="Arial"/>
        </w:rPr>
      </w:pPr>
      <w:r>
        <w:rPr>
          <w:rFonts w:ascii="Arial" w:hAnsi="Arial" w:cs="Arial"/>
        </w:rPr>
        <w:t>S</w:t>
      </w:r>
      <w:r w:rsidR="00DA0C09" w:rsidRPr="00B9760B">
        <w:rPr>
          <w:rFonts w:ascii="Arial" w:hAnsi="Arial" w:cs="Arial"/>
        </w:rPr>
        <w:t>pecifi</w:t>
      </w:r>
      <w:r w:rsidR="00B157B2" w:rsidRPr="00B9760B">
        <w:rPr>
          <w:rFonts w:ascii="Arial" w:hAnsi="Arial" w:cs="Arial"/>
        </w:rPr>
        <w:t>c limits on treasury activities.</w:t>
      </w:r>
    </w:p>
    <w:p w14:paraId="5C070256" w14:textId="6D954666" w:rsidR="00C8507B" w:rsidRDefault="00C8507B" w:rsidP="00C8507B">
      <w:pPr>
        <w:pStyle w:val="BodyText"/>
        <w:rPr>
          <w:rFonts w:ascii="Arial" w:hAnsi="Arial" w:cs="Arial"/>
          <w:highlight w:val="yellow"/>
        </w:rPr>
      </w:pPr>
    </w:p>
    <w:p w14:paraId="12BAAEB8" w14:textId="77777777" w:rsidR="003838F9" w:rsidRPr="0095482D" w:rsidRDefault="003838F9" w:rsidP="00C8507B">
      <w:pPr>
        <w:pStyle w:val="BodyText"/>
        <w:rPr>
          <w:rFonts w:ascii="Arial" w:hAnsi="Arial" w:cs="Arial"/>
          <w:highlight w:val="yellow"/>
        </w:rPr>
      </w:pPr>
    </w:p>
    <w:p w14:paraId="13F18B2A" w14:textId="3342B8C7" w:rsidR="00C8507B" w:rsidRPr="00C8507B" w:rsidRDefault="00C8507B" w:rsidP="00924212">
      <w:pPr>
        <w:numPr>
          <w:ilvl w:val="0"/>
          <w:numId w:val="8"/>
        </w:numPr>
        <w:tabs>
          <w:tab w:val="clear" w:pos="1080"/>
          <w:tab w:val="num" w:pos="709"/>
        </w:tabs>
        <w:ind w:left="709" w:right="-55" w:hanging="709"/>
        <w:jc w:val="both"/>
        <w:rPr>
          <w:rFonts w:ascii="Arial" w:hAnsi="Arial" w:cs="Arial"/>
          <w:b/>
        </w:rPr>
      </w:pPr>
      <w:r w:rsidRPr="00C8507B">
        <w:rPr>
          <w:rFonts w:ascii="Arial" w:hAnsi="Arial" w:cs="Arial"/>
          <w:b/>
        </w:rPr>
        <w:t>CAPITAL PRUDENTIAL INDICATORS 20</w:t>
      </w:r>
      <w:r w:rsidR="008B28A8">
        <w:rPr>
          <w:rFonts w:ascii="Arial" w:hAnsi="Arial" w:cs="Arial"/>
          <w:b/>
        </w:rPr>
        <w:t>2</w:t>
      </w:r>
      <w:r w:rsidR="003B3357">
        <w:rPr>
          <w:rFonts w:ascii="Arial" w:hAnsi="Arial" w:cs="Arial"/>
          <w:b/>
        </w:rPr>
        <w:t>4</w:t>
      </w:r>
      <w:r w:rsidR="009524A5">
        <w:rPr>
          <w:rFonts w:ascii="Arial" w:hAnsi="Arial" w:cs="Arial"/>
          <w:b/>
        </w:rPr>
        <w:t>/2</w:t>
      </w:r>
      <w:r w:rsidR="003B3357">
        <w:rPr>
          <w:rFonts w:ascii="Arial" w:hAnsi="Arial" w:cs="Arial"/>
          <w:b/>
        </w:rPr>
        <w:t>5</w:t>
      </w:r>
      <w:r w:rsidRPr="00C8507B">
        <w:rPr>
          <w:rFonts w:ascii="Arial" w:hAnsi="Arial" w:cs="Arial"/>
          <w:b/>
        </w:rPr>
        <w:t xml:space="preserve"> to 20</w:t>
      </w:r>
      <w:r w:rsidR="00505E44">
        <w:rPr>
          <w:rFonts w:ascii="Arial" w:hAnsi="Arial" w:cs="Arial"/>
          <w:b/>
        </w:rPr>
        <w:t>2</w:t>
      </w:r>
      <w:r w:rsidR="003B3357">
        <w:rPr>
          <w:rFonts w:ascii="Arial" w:hAnsi="Arial" w:cs="Arial"/>
          <w:b/>
        </w:rPr>
        <w:t>6</w:t>
      </w:r>
      <w:r w:rsidR="008B28A8">
        <w:rPr>
          <w:rFonts w:ascii="Arial" w:hAnsi="Arial" w:cs="Arial"/>
          <w:b/>
        </w:rPr>
        <w:t>/2</w:t>
      </w:r>
      <w:r w:rsidR="003B3357">
        <w:rPr>
          <w:rFonts w:ascii="Arial" w:hAnsi="Arial" w:cs="Arial"/>
          <w:b/>
        </w:rPr>
        <w:t>7</w:t>
      </w:r>
    </w:p>
    <w:p w14:paraId="34748FA4" w14:textId="77777777" w:rsidR="00C8507B" w:rsidRPr="00C8507B" w:rsidRDefault="00C8507B" w:rsidP="00C8507B">
      <w:pPr>
        <w:ind w:left="360" w:right="-55"/>
        <w:rPr>
          <w:rFonts w:ascii="Arial" w:hAnsi="Arial" w:cs="Arial"/>
          <w:b/>
        </w:rPr>
      </w:pPr>
    </w:p>
    <w:p w14:paraId="76B7680F" w14:textId="4E061286" w:rsidR="00C8507B" w:rsidRPr="00DB66DF" w:rsidRDefault="00C8507B" w:rsidP="00924212">
      <w:pPr>
        <w:numPr>
          <w:ilvl w:val="1"/>
          <w:numId w:val="8"/>
        </w:numPr>
        <w:ind w:hanging="720"/>
        <w:jc w:val="both"/>
        <w:rPr>
          <w:rFonts w:ascii="Arial" w:hAnsi="Arial" w:cs="Arial"/>
        </w:rPr>
      </w:pPr>
      <w:r w:rsidRPr="00DB66DF">
        <w:rPr>
          <w:rFonts w:ascii="Arial" w:hAnsi="Arial" w:cs="Arial"/>
        </w:rPr>
        <w:t xml:space="preserve">The Local Government Act 2003 requires the </w:t>
      </w:r>
      <w:r w:rsidR="005A142A" w:rsidRPr="00DB66DF">
        <w:rPr>
          <w:rFonts w:ascii="Arial" w:hAnsi="Arial" w:cs="Arial"/>
        </w:rPr>
        <w:t>Commissioner</w:t>
      </w:r>
      <w:r w:rsidRPr="00DB66DF">
        <w:rPr>
          <w:rFonts w:ascii="Arial" w:hAnsi="Arial" w:cs="Arial"/>
        </w:rPr>
        <w:t xml:space="preserve"> to adopt the CIPFA Prudential Code</w:t>
      </w:r>
      <w:r w:rsidR="00471C3D" w:rsidRPr="00DB66DF">
        <w:rPr>
          <w:rFonts w:ascii="Arial" w:hAnsi="Arial" w:cs="Arial"/>
        </w:rPr>
        <w:t>, which was updated in 20</w:t>
      </w:r>
      <w:r w:rsidR="00401130">
        <w:rPr>
          <w:rFonts w:ascii="Arial" w:hAnsi="Arial" w:cs="Arial"/>
        </w:rPr>
        <w:t>21</w:t>
      </w:r>
      <w:r w:rsidR="00471C3D" w:rsidRPr="00DB66DF">
        <w:rPr>
          <w:rFonts w:ascii="Arial" w:hAnsi="Arial" w:cs="Arial"/>
        </w:rPr>
        <w:t>,</w:t>
      </w:r>
      <w:r w:rsidRPr="00DB66DF">
        <w:rPr>
          <w:rFonts w:ascii="Arial" w:hAnsi="Arial" w:cs="Arial"/>
        </w:rPr>
        <w:t xml:space="preserve"> and produce prudential indicators.  Each indicator either summarises the expected capital activity or introduces limits upon that activity, and reflects the outcome of</w:t>
      </w:r>
      <w:r w:rsidR="005A142A" w:rsidRPr="00DB66DF">
        <w:rPr>
          <w:rFonts w:ascii="Arial" w:hAnsi="Arial" w:cs="Arial"/>
        </w:rPr>
        <w:t xml:space="preserve"> the</w:t>
      </w:r>
      <w:r w:rsidRPr="00DB66DF">
        <w:rPr>
          <w:rFonts w:ascii="Arial" w:hAnsi="Arial" w:cs="Arial"/>
        </w:rPr>
        <w:t xml:space="preserve"> underlying capital appraisal systems.  This </w:t>
      </w:r>
      <w:r w:rsidR="00393056" w:rsidRPr="00DB66DF">
        <w:rPr>
          <w:rFonts w:ascii="Arial" w:hAnsi="Arial" w:cs="Arial"/>
        </w:rPr>
        <w:t>document</w:t>
      </w:r>
      <w:r w:rsidRPr="00DB66DF">
        <w:rPr>
          <w:rFonts w:ascii="Arial" w:hAnsi="Arial" w:cs="Arial"/>
        </w:rPr>
        <w:t xml:space="preserve"> updates currently approved indicators</w:t>
      </w:r>
      <w:r w:rsidR="002B473E" w:rsidRPr="00DB66DF">
        <w:rPr>
          <w:rFonts w:ascii="Arial" w:hAnsi="Arial" w:cs="Arial"/>
        </w:rPr>
        <w:t>.</w:t>
      </w:r>
    </w:p>
    <w:p w14:paraId="751FED59" w14:textId="77777777" w:rsidR="00862151" w:rsidRPr="00C8507B" w:rsidRDefault="00862151" w:rsidP="00615280">
      <w:pPr>
        <w:jc w:val="both"/>
        <w:rPr>
          <w:rFonts w:ascii="Arial" w:hAnsi="Arial" w:cs="Arial"/>
        </w:rPr>
      </w:pPr>
    </w:p>
    <w:p w14:paraId="64E170BB" w14:textId="77777777" w:rsidR="00C8507B" w:rsidRDefault="00C8507B" w:rsidP="00924212">
      <w:pPr>
        <w:numPr>
          <w:ilvl w:val="1"/>
          <w:numId w:val="8"/>
        </w:numPr>
        <w:ind w:hanging="720"/>
        <w:jc w:val="both"/>
        <w:rPr>
          <w:rFonts w:ascii="Arial" w:hAnsi="Arial" w:cs="Arial"/>
        </w:rPr>
      </w:pPr>
      <w:r w:rsidRPr="00C8507B">
        <w:rPr>
          <w:rFonts w:ascii="Arial" w:hAnsi="Arial" w:cs="Arial"/>
        </w:rPr>
        <w:t>Within this overall prudential framework the</w:t>
      </w:r>
      <w:r w:rsidR="005A142A">
        <w:rPr>
          <w:rFonts w:ascii="Arial" w:hAnsi="Arial" w:cs="Arial"/>
        </w:rPr>
        <w:t>re is an impact on the Commissioner</w:t>
      </w:r>
      <w:r w:rsidRPr="00C8507B">
        <w:rPr>
          <w:rFonts w:ascii="Arial" w:hAnsi="Arial" w:cs="Arial"/>
        </w:rPr>
        <w:t xml:space="preserve">’s </w:t>
      </w:r>
      <w:r w:rsidRPr="00B945FD">
        <w:rPr>
          <w:rFonts w:ascii="Arial" w:hAnsi="Arial" w:cs="Arial"/>
        </w:rPr>
        <w:t>treasury management</w:t>
      </w:r>
      <w:r w:rsidRPr="00C8507B">
        <w:rPr>
          <w:rFonts w:ascii="Arial" w:hAnsi="Arial" w:cs="Arial"/>
        </w:rPr>
        <w:t xml:space="preserve"> activity, as it will directly impact on borrowing or investment activity. </w:t>
      </w:r>
    </w:p>
    <w:p w14:paraId="37AEAA73" w14:textId="77777777" w:rsidR="00C8507B" w:rsidRPr="0091402D" w:rsidRDefault="00C8507B" w:rsidP="00615280">
      <w:pPr>
        <w:ind w:left="720"/>
        <w:jc w:val="both"/>
        <w:rPr>
          <w:rFonts w:ascii="Arial" w:hAnsi="Arial" w:cs="Arial"/>
        </w:rPr>
      </w:pPr>
    </w:p>
    <w:p w14:paraId="42CDC290" w14:textId="77777777" w:rsidR="00C8507B" w:rsidRDefault="00C8507B" w:rsidP="00924212">
      <w:pPr>
        <w:numPr>
          <w:ilvl w:val="1"/>
          <w:numId w:val="8"/>
        </w:numPr>
        <w:ind w:hanging="720"/>
        <w:jc w:val="both"/>
        <w:rPr>
          <w:rFonts w:ascii="Arial" w:hAnsi="Arial" w:cs="Arial"/>
          <w:b/>
        </w:rPr>
      </w:pPr>
      <w:r w:rsidRPr="00A96CAC">
        <w:rPr>
          <w:rFonts w:ascii="Arial" w:hAnsi="Arial" w:cs="Arial"/>
          <w:b/>
        </w:rPr>
        <w:t>Capital Expenditure Plans</w:t>
      </w:r>
    </w:p>
    <w:p w14:paraId="6AADDE69" w14:textId="77777777" w:rsidR="009D4260" w:rsidRPr="0091402D" w:rsidRDefault="009D4260" w:rsidP="00615280">
      <w:pPr>
        <w:jc w:val="both"/>
        <w:rPr>
          <w:rFonts w:ascii="Arial" w:hAnsi="Arial" w:cs="Arial"/>
          <w:b/>
        </w:rPr>
      </w:pPr>
    </w:p>
    <w:p w14:paraId="2B3A42A7" w14:textId="140EA7C3" w:rsidR="00C8507B" w:rsidRDefault="00C8507B" w:rsidP="00924212">
      <w:pPr>
        <w:numPr>
          <w:ilvl w:val="2"/>
          <w:numId w:val="8"/>
        </w:numPr>
        <w:tabs>
          <w:tab w:val="num" w:pos="709"/>
        </w:tabs>
        <w:ind w:left="709" w:hanging="709"/>
        <w:jc w:val="both"/>
        <w:rPr>
          <w:rFonts w:ascii="Arial" w:hAnsi="Arial" w:cs="Arial"/>
        </w:rPr>
      </w:pPr>
      <w:r w:rsidRPr="00C8507B">
        <w:rPr>
          <w:rFonts w:ascii="Arial" w:hAnsi="Arial" w:cs="Arial"/>
        </w:rPr>
        <w:t xml:space="preserve">The capital expenditure plans are summarised below and this forms the first of the prudential indicators. </w:t>
      </w:r>
      <w:r w:rsidR="00D44B97">
        <w:rPr>
          <w:rFonts w:ascii="Arial" w:hAnsi="Arial" w:cs="Arial"/>
        </w:rPr>
        <w:t>Currently, there is no gr</w:t>
      </w:r>
      <w:r w:rsidR="004813C4">
        <w:rPr>
          <w:rFonts w:ascii="Arial" w:hAnsi="Arial" w:cs="Arial"/>
        </w:rPr>
        <w:t>a</w:t>
      </w:r>
      <w:r w:rsidR="00D44B97">
        <w:rPr>
          <w:rFonts w:ascii="Arial" w:hAnsi="Arial" w:cs="Arial"/>
        </w:rPr>
        <w:t>nt available from the Government for</w:t>
      </w:r>
      <w:r w:rsidRPr="00C8507B">
        <w:rPr>
          <w:rFonts w:ascii="Arial" w:hAnsi="Arial" w:cs="Arial"/>
        </w:rPr>
        <w:t xml:space="preserve"> capital expenditure </w:t>
      </w:r>
      <w:r w:rsidR="00D44B97">
        <w:rPr>
          <w:rFonts w:ascii="Arial" w:hAnsi="Arial" w:cs="Arial"/>
        </w:rPr>
        <w:t xml:space="preserve">so </w:t>
      </w:r>
      <w:r w:rsidRPr="00C8507B">
        <w:rPr>
          <w:rFonts w:ascii="Arial" w:hAnsi="Arial" w:cs="Arial"/>
        </w:rPr>
        <w:t xml:space="preserve">any decisions by the </w:t>
      </w:r>
      <w:r w:rsidR="00E1162C">
        <w:rPr>
          <w:rFonts w:ascii="Arial" w:hAnsi="Arial" w:cs="Arial"/>
        </w:rPr>
        <w:t>Commissioner</w:t>
      </w:r>
      <w:r w:rsidRPr="00C8507B">
        <w:rPr>
          <w:rFonts w:ascii="Arial" w:hAnsi="Arial" w:cs="Arial"/>
        </w:rPr>
        <w:t xml:space="preserve"> will be considered unsupported capital expenditure.</w:t>
      </w:r>
    </w:p>
    <w:p w14:paraId="751BD8B5" w14:textId="77777777" w:rsidR="00862151" w:rsidRPr="00C8507B" w:rsidRDefault="00862151" w:rsidP="00615280">
      <w:pPr>
        <w:tabs>
          <w:tab w:val="num" w:pos="1713"/>
        </w:tabs>
        <w:jc w:val="both"/>
        <w:rPr>
          <w:rFonts w:ascii="Arial" w:hAnsi="Arial" w:cs="Arial"/>
        </w:rPr>
      </w:pPr>
    </w:p>
    <w:p w14:paraId="48558201" w14:textId="77777777" w:rsidR="00C8507B" w:rsidRDefault="00C8507B" w:rsidP="00924212">
      <w:pPr>
        <w:numPr>
          <w:ilvl w:val="2"/>
          <w:numId w:val="8"/>
        </w:numPr>
        <w:tabs>
          <w:tab w:val="num" w:pos="709"/>
        </w:tabs>
        <w:ind w:left="709" w:hanging="709"/>
        <w:jc w:val="both"/>
        <w:rPr>
          <w:rFonts w:ascii="Arial" w:hAnsi="Arial" w:cs="Arial"/>
        </w:rPr>
      </w:pPr>
      <w:r w:rsidRPr="00C8507B">
        <w:rPr>
          <w:rFonts w:ascii="Arial" w:hAnsi="Arial" w:cs="Arial"/>
        </w:rPr>
        <w:t>This unsupported capital expenditure needs to have regard to:</w:t>
      </w:r>
    </w:p>
    <w:p w14:paraId="136929B9" w14:textId="77777777" w:rsidR="00862151" w:rsidRDefault="00862151" w:rsidP="00615280">
      <w:pPr>
        <w:pStyle w:val="ListParagraph"/>
        <w:rPr>
          <w:rFonts w:ascii="Arial" w:hAnsi="Arial" w:cs="Arial"/>
        </w:rPr>
      </w:pPr>
    </w:p>
    <w:p w14:paraId="44724B04" w14:textId="77777777" w:rsidR="00862151" w:rsidRPr="00353197" w:rsidRDefault="00862151" w:rsidP="00924212">
      <w:pPr>
        <w:pStyle w:val="BodyText"/>
        <w:numPr>
          <w:ilvl w:val="0"/>
          <w:numId w:val="19"/>
        </w:numPr>
        <w:tabs>
          <w:tab w:val="clear" w:pos="1074"/>
          <w:tab w:val="num" w:pos="709"/>
        </w:tabs>
        <w:ind w:hanging="365"/>
        <w:rPr>
          <w:rFonts w:ascii="Arial" w:hAnsi="Arial" w:cs="Arial"/>
        </w:rPr>
      </w:pPr>
      <w:r w:rsidRPr="00353197">
        <w:rPr>
          <w:rFonts w:ascii="Arial" w:hAnsi="Arial" w:cs="Arial"/>
        </w:rPr>
        <w:tab/>
      </w:r>
      <w:r w:rsidR="00C8507B" w:rsidRPr="00353197">
        <w:rPr>
          <w:rFonts w:ascii="Arial" w:hAnsi="Arial" w:cs="Arial"/>
        </w:rPr>
        <w:t>Service objectives (e.g. strategic planning);</w:t>
      </w:r>
    </w:p>
    <w:p w14:paraId="6FB4A3C1" w14:textId="77777777" w:rsidR="00862151" w:rsidRPr="00AA7297" w:rsidRDefault="00862151" w:rsidP="00924212">
      <w:pPr>
        <w:pStyle w:val="BodyText"/>
        <w:numPr>
          <w:ilvl w:val="0"/>
          <w:numId w:val="19"/>
        </w:numPr>
        <w:ind w:hanging="365"/>
        <w:rPr>
          <w:rFonts w:ascii="Arial" w:hAnsi="Arial" w:cs="Arial"/>
        </w:rPr>
      </w:pPr>
      <w:r>
        <w:rPr>
          <w:rFonts w:ascii="Arial" w:hAnsi="Arial" w:cs="Arial"/>
        </w:rPr>
        <w:tab/>
      </w:r>
      <w:r w:rsidR="00C8507B" w:rsidRPr="00AA7297">
        <w:rPr>
          <w:rFonts w:ascii="Arial" w:hAnsi="Arial" w:cs="Arial"/>
        </w:rPr>
        <w:t>Stewardship of assets (e.g. asset management planning);</w:t>
      </w:r>
    </w:p>
    <w:p w14:paraId="7FFB1201" w14:textId="77777777" w:rsidR="00862151" w:rsidRPr="00AA7297" w:rsidRDefault="00862151" w:rsidP="00924212">
      <w:pPr>
        <w:pStyle w:val="BodyText"/>
        <w:numPr>
          <w:ilvl w:val="0"/>
          <w:numId w:val="19"/>
        </w:numPr>
        <w:ind w:hanging="365"/>
        <w:rPr>
          <w:rFonts w:ascii="Arial" w:hAnsi="Arial" w:cs="Arial"/>
        </w:rPr>
      </w:pPr>
      <w:r>
        <w:rPr>
          <w:rFonts w:ascii="Arial" w:hAnsi="Arial" w:cs="Arial"/>
        </w:rPr>
        <w:tab/>
      </w:r>
      <w:r w:rsidR="00C8507B" w:rsidRPr="00AA7297">
        <w:rPr>
          <w:rFonts w:ascii="Arial" w:hAnsi="Arial" w:cs="Arial"/>
        </w:rPr>
        <w:t>Value for money (e.g. option appraisal);</w:t>
      </w:r>
    </w:p>
    <w:p w14:paraId="5DEEA9F8" w14:textId="77777777" w:rsidR="00862151" w:rsidRDefault="00862151" w:rsidP="00924212">
      <w:pPr>
        <w:pStyle w:val="BodyText"/>
        <w:numPr>
          <w:ilvl w:val="0"/>
          <w:numId w:val="19"/>
        </w:numPr>
        <w:ind w:hanging="365"/>
        <w:rPr>
          <w:rFonts w:ascii="Arial" w:hAnsi="Arial" w:cs="Arial"/>
        </w:rPr>
      </w:pPr>
      <w:r>
        <w:rPr>
          <w:rFonts w:ascii="Arial" w:hAnsi="Arial" w:cs="Arial"/>
        </w:rPr>
        <w:tab/>
      </w:r>
      <w:r w:rsidR="00C8507B" w:rsidRPr="00C8507B">
        <w:rPr>
          <w:rFonts w:ascii="Arial" w:hAnsi="Arial" w:cs="Arial"/>
        </w:rPr>
        <w:t xml:space="preserve">Prudence and sustainability (e.g. implications for external </w:t>
      </w:r>
      <w:r>
        <w:rPr>
          <w:rFonts w:ascii="Arial" w:hAnsi="Arial" w:cs="Arial"/>
        </w:rPr>
        <w:tab/>
      </w:r>
      <w:r>
        <w:rPr>
          <w:rFonts w:ascii="Arial" w:hAnsi="Arial" w:cs="Arial"/>
        </w:rPr>
        <w:tab/>
      </w:r>
      <w:r w:rsidR="00C8507B" w:rsidRPr="00C8507B">
        <w:rPr>
          <w:rFonts w:ascii="Arial" w:hAnsi="Arial" w:cs="Arial"/>
        </w:rPr>
        <w:t>borrowing and whole life costing);</w:t>
      </w:r>
    </w:p>
    <w:p w14:paraId="27FB87CE" w14:textId="77777777" w:rsidR="00862151" w:rsidRDefault="00862151" w:rsidP="00924212">
      <w:pPr>
        <w:pStyle w:val="BodyText"/>
        <w:numPr>
          <w:ilvl w:val="0"/>
          <w:numId w:val="19"/>
        </w:numPr>
        <w:ind w:hanging="365"/>
        <w:rPr>
          <w:rFonts w:ascii="Arial" w:hAnsi="Arial" w:cs="Arial"/>
        </w:rPr>
      </w:pPr>
      <w:r>
        <w:rPr>
          <w:rFonts w:ascii="Arial" w:hAnsi="Arial" w:cs="Arial"/>
        </w:rPr>
        <w:tab/>
      </w:r>
      <w:r w:rsidRPr="00C8507B">
        <w:rPr>
          <w:rFonts w:ascii="Arial" w:hAnsi="Arial" w:cs="Arial"/>
        </w:rPr>
        <w:t>Affordability (e.g. implications for the council tax);</w:t>
      </w:r>
      <w:r>
        <w:rPr>
          <w:rFonts w:ascii="Arial" w:hAnsi="Arial" w:cs="Arial"/>
        </w:rPr>
        <w:t xml:space="preserve"> and</w:t>
      </w:r>
    </w:p>
    <w:p w14:paraId="7795B536" w14:textId="77777777" w:rsidR="00C8507B" w:rsidRPr="00E970E8" w:rsidRDefault="00862151" w:rsidP="00924212">
      <w:pPr>
        <w:pStyle w:val="ListParagraph"/>
        <w:numPr>
          <w:ilvl w:val="0"/>
          <w:numId w:val="19"/>
        </w:numPr>
        <w:ind w:hanging="365"/>
        <w:rPr>
          <w:rFonts w:ascii="Arial" w:hAnsi="Arial" w:cs="Arial"/>
        </w:rPr>
      </w:pPr>
      <w:r>
        <w:rPr>
          <w:rFonts w:ascii="Arial" w:hAnsi="Arial" w:cs="Arial"/>
        </w:rPr>
        <w:tab/>
      </w:r>
      <w:r w:rsidR="00E970E8">
        <w:rPr>
          <w:rFonts w:ascii="Arial" w:hAnsi="Arial" w:cs="Arial"/>
        </w:rPr>
        <w:t xml:space="preserve">Practicality </w:t>
      </w:r>
      <w:r w:rsidR="003E2B34">
        <w:rPr>
          <w:rFonts w:ascii="Arial" w:hAnsi="Arial" w:cs="Arial"/>
        </w:rPr>
        <w:t>(</w:t>
      </w:r>
      <w:r w:rsidR="00C8507B" w:rsidRPr="00C8507B">
        <w:rPr>
          <w:rFonts w:ascii="Arial" w:hAnsi="Arial" w:cs="Arial"/>
        </w:rPr>
        <w:t xml:space="preserve">e.g. </w:t>
      </w:r>
      <w:r w:rsidR="00C8507B" w:rsidRPr="00E970E8">
        <w:rPr>
          <w:rFonts w:ascii="Arial" w:hAnsi="Arial" w:cs="Arial"/>
        </w:rPr>
        <w:t xml:space="preserve">the achievability of </w:t>
      </w:r>
      <w:r w:rsidR="00E970E8">
        <w:rPr>
          <w:rFonts w:ascii="Arial" w:hAnsi="Arial" w:cs="Arial"/>
        </w:rPr>
        <w:t>longer term plans</w:t>
      </w:r>
      <w:r>
        <w:rPr>
          <w:rFonts w:ascii="Arial" w:hAnsi="Arial" w:cs="Arial"/>
        </w:rPr>
        <w:t>).</w:t>
      </w:r>
    </w:p>
    <w:p w14:paraId="4555CE7B" w14:textId="77777777" w:rsidR="00800588" w:rsidRDefault="00800588" w:rsidP="00800588">
      <w:pPr>
        <w:pStyle w:val="BodyText"/>
        <w:tabs>
          <w:tab w:val="num" w:pos="1713"/>
        </w:tabs>
        <w:ind w:left="709"/>
        <w:rPr>
          <w:rFonts w:ascii="Arial" w:hAnsi="Arial" w:cs="Arial"/>
        </w:rPr>
      </w:pPr>
    </w:p>
    <w:p w14:paraId="07DF13E3" w14:textId="77777777" w:rsidR="00C8507B" w:rsidRDefault="00C8507B" w:rsidP="00924212">
      <w:pPr>
        <w:pStyle w:val="BodyText"/>
        <w:numPr>
          <w:ilvl w:val="2"/>
          <w:numId w:val="8"/>
        </w:numPr>
        <w:tabs>
          <w:tab w:val="num" w:pos="709"/>
        </w:tabs>
        <w:ind w:left="709"/>
        <w:rPr>
          <w:rFonts w:ascii="Arial" w:hAnsi="Arial" w:cs="Arial"/>
        </w:rPr>
      </w:pPr>
      <w:r w:rsidRPr="00C8507B">
        <w:rPr>
          <w:rFonts w:ascii="Arial" w:hAnsi="Arial" w:cs="Arial"/>
        </w:rPr>
        <w:t xml:space="preserve">The revenue consequences of capital expenditure, particularly the supported capital expenditure, will need to be paid for from the </w:t>
      </w:r>
      <w:r w:rsidR="00E1162C">
        <w:rPr>
          <w:rFonts w:ascii="Arial" w:hAnsi="Arial" w:cs="Arial"/>
        </w:rPr>
        <w:t>Commissioner</w:t>
      </w:r>
      <w:r w:rsidRPr="00C8507B">
        <w:rPr>
          <w:rFonts w:ascii="Arial" w:hAnsi="Arial" w:cs="Arial"/>
        </w:rPr>
        <w:t>’s own resources.</w:t>
      </w:r>
    </w:p>
    <w:p w14:paraId="140A9EB8" w14:textId="77777777" w:rsidR="00001D92" w:rsidRPr="00C8507B" w:rsidRDefault="00001D92" w:rsidP="00001D92">
      <w:pPr>
        <w:pStyle w:val="BodyText"/>
        <w:tabs>
          <w:tab w:val="num" w:pos="1713"/>
        </w:tabs>
        <w:ind w:left="709"/>
        <w:rPr>
          <w:rFonts w:ascii="Arial" w:hAnsi="Arial" w:cs="Arial"/>
        </w:rPr>
      </w:pPr>
    </w:p>
    <w:p w14:paraId="7677B59C" w14:textId="77777777" w:rsidR="00C8507B" w:rsidRDefault="00C8507B" w:rsidP="00924212">
      <w:pPr>
        <w:pStyle w:val="BodyText"/>
        <w:numPr>
          <w:ilvl w:val="2"/>
          <w:numId w:val="8"/>
        </w:numPr>
        <w:tabs>
          <w:tab w:val="num" w:pos="709"/>
        </w:tabs>
        <w:ind w:left="709"/>
        <w:rPr>
          <w:rFonts w:ascii="Arial" w:hAnsi="Arial" w:cs="Arial"/>
        </w:rPr>
      </w:pPr>
      <w:r w:rsidRPr="00C8507B">
        <w:rPr>
          <w:rFonts w:ascii="Arial" w:hAnsi="Arial" w:cs="Arial"/>
        </w:rPr>
        <w:t>This capital expenditure can be paid for immediately (by applying capital resources such as capital receipts, capital grants,</w:t>
      </w:r>
      <w:r w:rsidR="00F333F1">
        <w:rPr>
          <w:rFonts w:ascii="Arial" w:hAnsi="Arial" w:cs="Arial"/>
        </w:rPr>
        <w:t xml:space="preserve"> earmarked reserves</w:t>
      </w:r>
      <w:r w:rsidRPr="00C8507B">
        <w:rPr>
          <w:rFonts w:ascii="Arial" w:hAnsi="Arial" w:cs="Arial"/>
        </w:rPr>
        <w:t xml:space="preserve"> </w:t>
      </w:r>
      <w:r w:rsidR="00257330">
        <w:rPr>
          <w:rFonts w:ascii="Arial" w:hAnsi="Arial" w:cs="Arial"/>
        </w:rPr>
        <w:t xml:space="preserve">(known as committed funds) </w:t>
      </w:r>
      <w:r w:rsidRPr="00C8507B">
        <w:rPr>
          <w:rFonts w:ascii="Arial" w:hAnsi="Arial" w:cs="Arial"/>
        </w:rPr>
        <w:t xml:space="preserve">or revenue resources), but if these resources are insufficient any residual capital expenditure will add to the </w:t>
      </w:r>
      <w:r w:rsidR="00E1162C">
        <w:rPr>
          <w:rFonts w:ascii="Arial" w:hAnsi="Arial" w:cs="Arial"/>
        </w:rPr>
        <w:t>Commissioner</w:t>
      </w:r>
      <w:r w:rsidRPr="00C8507B">
        <w:rPr>
          <w:rFonts w:ascii="Arial" w:hAnsi="Arial" w:cs="Arial"/>
        </w:rPr>
        <w:t>’s borrowing need.</w:t>
      </w:r>
    </w:p>
    <w:p w14:paraId="697F076C" w14:textId="77777777" w:rsidR="00862151" w:rsidRPr="00C8507B" w:rsidRDefault="00862151" w:rsidP="00615280">
      <w:pPr>
        <w:pStyle w:val="BodyText"/>
        <w:tabs>
          <w:tab w:val="num" w:pos="1713"/>
        </w:tabs>
        <w:rPr>
          <w:rFonts w:ascii="Arial" w:hAnsi="Arial" w:cs="Arial"/>
        </w:rPr>
      </w:pPr>
    </w:p>
    <w:p w14:paraId="494CADD9" w14:textId="77777777" w:rsidR="0039633F" w:rsidRDefault="00E970E8" w:rsidP="0039633F">
      <w:pPr>
        <w:pStyle w:val="BodyText"/>
        <w:numPr>
          <w:ilvl w:val="2"/>
          <w:numId w:val="8"/>
        </w:numPr>
        <w:tabs>
          <w:tab w:val="num" w:pos="709"/>
        </w:tabs>
        <w:ind w:left="709"/>
        <w:rPr>
          <w:rFonts w:ascii="Arial" w:hAnsi="Arial" w:cs="Arial"/>
        </w:rPr>
      </w:pPr>
      <w:r>
        <w:rPr>
          <w:rFonts w:ascii="Arial" w:hAnsi="Arial" w:cs="Arial"/>
        </w:rPr>
        <w:t>A key risk</w:t>
      </w:r>
      <w:r w:rsidR="007B1C1C">
        <w:rPr>
          <w:rFonts w:ascii="Arial" w:hAnsi="Arial" w:cs="Arial"/>
        </w:rPr>
        <w:t xml:space="preserve"> </w:t>
      </w:r>
      <w:r w:rsidR="00C8507B" w:rsidRPr="00C8507B">
        <w:rPr>
          <w:rFonts w:ascii="Arial" w:hAnsi="Arial" w:cs="Arial"/>
        </w:rPr>
        <w:t>to the plans</w:t>
      </w:r>
      <w:r w:rsidR="007B1C1C">
        <w:rPr>
          <w:rFonts w:ascii="Arial" w:hAnsi="Arial" w:cs="Arial"/>
        </w:rPr>
        <w:t>,</w:t>
      </w:r>
      <w:r w:rsidR="00C8507B" w:rsidRPr="00C8507B">
        <w:rPr>
          <w:rFonts w:ascii="Arial" w:hAnsi="Arial" w:cs="Arial"/>
        </w:rPr>
        <w:t xml:space="preserve"> are that the level of Government support has </w:t>
      </w:r>
      <w:r w:rsidR="00C8507B" w:rsidRPr="00E970E8">
        <w:rPr>
          <w:rFonts w:ascii="Arial" w:hAnsi="Arial" w:cs="Arial"/>
        </w:rPr>
        <w:t>been estimated and could therefore be subject to change.</w:t>
      </w:r>
    </w:p>
    <w:p w14:paraId="1DB64217" w14:textId="77777777" w:rsidR="0039633F" w:rsidRDefault="0039633F" w:rsidP="0039633F">
      <w:pPr>
        <w:pStyle w:val="ListParagraph"/>
        <w:rPr>
          <w:rFonts w:ascii="Arial" w:hAnsi="Arial" w:cs="Arial"/>
        </w:rPr>
      </w:pPr>
    </w:p>
    <w:p w14:paraId="7412212D" w14:textId="77777777" w:rsidR="002411D5" w:rsidRPr="0039633F" w:rsidRDefault="00C8507B" w:rsidP="0039633F">
      <w:pPr>
        <w:pStyle w:val="BodyText"/>
        <w:numPr>
          <w:ilvl w:val="2"/>
          <w:numId w:val="8"/>
        </w:numPr>
        <w:tabs>
          <w:tab w:val="num" w:pos="709"/>
        </w:tabs>
        <w:ind w:left="709"/>
        <w:rPr>
          <w:rFonts w:ascii="Arial" w:hAnsi="Arial" w:cs="Arial"/>
        </w:rPr>
      </w:pPr>
      <w:r w:rsidRPr="0039633F">
        <w:rPr>
          <w:rFonts w:ascii="Arial" w:hAnsi="Arial" w:cs="Arial"/>
        </w:rPr>
        <w:t xml:space="preserve">The </w:t>
      </w:r>
      <w:r w:rsidR="00E1162C" w:rsidRPr="0039633F">
        <w:rPr>
          <w:rFonts w:ascii="Arial" w:hAnsi="Arial" w:cs="Arial"/>
        </w:rPr>
        <w:t>Commissioner</w:t>
      </w:r>
      <w:r w:rsidRPr="0039633F">
        <w:rPr>
          <w:rFonts w:ascii="Arial" w:hAnsi="Arial" w:cs="Arial"/>
        </w:rPr>
        <w:t xml:space="preserve"> is asked to approve the following summary capital expenditure projections which is the first prudential indicator:</w:t>
      </w:r>
    </w:p>
    <w:p w14:paraId="768FBDB8" w14:textId="77777777" w:rsidR="00672ED5" w:rsidRDefault="00672ED5" w:rsidP="00672ED5">
      <w:pPr>
        <w:pStyle w:val="ListParagraph"/>
        <w:ind w:left="0"/>
        <w:rPr>
          <w:rFonts w:ascii="Arial" w:hAnsi="Arial" w:cs="Arial"/>
        </w:rPr>
      </w:pPr>
    </w:p>
    <w:tbl>
      <w:tblPr>
        <w:tblW w:w="9240" w:type="dxa"/>
        <w:tblInd w:w="-5" w:type="dxa"/>
        <w:tblLook w:val="04A0" w:firstRow="1" w:lastRow="0" w:firstColumn="1" w:lastColumn="0" w:noHBand="0" w:noVBand="1"/>
      </w:tblPr>
      <w:tblGrid>
        <w:gridCol w:w="3864"/>
        <w:gridCol w:w="1123"/>
        <w:gridCol w:w="1137"/>
        <w:gridCol w:w="1217"/>
        <w:gridCol w:w="1217"/>
        <w:gridCol w:w="1217"/>
      </w:tblGrid>
      <w:tr w:rsidR="003B3357" w14:paraId="77178966" w14:textId="77777777" w:rsidTr="003B3357">
        <w:trPr>
          <w:trHeight w:val="485"/>
        </w:trPr>
        <w:tc>
          <w:tcPr>
            <w:tcW w:w="924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737334" w14:textId="77777777" w:rsidR="003B3357" w:rsidRPr="00281C5F" w:rsidRDefault="003B3357">
            <w:pPr>
              <w:jc w:val="center"/>
              <w:rPr>
                <w:rFonts w:ascii="Arial" w:hAnsi="Arial" w:cs="Arial"/>
                <w:b/>
                <w:bCs/>
                <w:color w:val="000000"/>
              </w:rPr>
            </w:pPr>
            <w:r w:rsidRPr="00281C5F">
              <w:rPr>
                <w:rFonts w:ascii="Arial" w:hAnsi="Arial" w:cs="Arial"/>
                <w:b/>
                <w:bCs/>
                <w:color w:val="000000"/>
              </w:rPr>
              <w:t>First Prudential Indicator - Estimates of Capital Expenditure</w:t>
            </w:r>
          </w:p>
        </w:tc>
      </w:tr>
      <w:tr w:rsidR="003B3357" w14:paraId="56A6BC1B" w14:textId="77777777" w:rsidTr="003B3357">
        <w:trPr>
          <w:trHeight w:val="308"/>
        </w:trPr>
        <w:tc>
          <w:tcPr>
            <w:tcW w:w="3864" w:type="dxa"/>
            <w:tcBorders>
              <w:top w:val="nil"/>
              <w:left w:val="single" w:sz="4" w:space="0" w:color="auto"/>
              <w:bottom w:val="nil"/>
              <w:right w:val="single" w:sz="4" w:space="0" w:color="auto"/>
            </w:tcBorders>
            <w:shd w:val="clear" w:color="auto" w:fill="auto"/>
            <w:noWrap/>
            <w:vAlign w:val="bottom"/>
            <w:hideMark/>
          </w:tcPr>
          <w:p w14:paraId="5CFF0364" w14:textId="77777777" w:rsidR="003B3357" w:rsidRDefault="003B3357">
            <w:pPr>
              <w:rPr>
                <w:rFonts w:ascii="Arial" w:hAnsi="Arial" w:cs="Arial"/>
                <w:color w:val="000000"/>
              </w:rPr>
            </w:pPr>
            <w:r>
              <w:rPr>
                <w:rFonts w:ascii="Arial" w:hAnsi="Arial" w:cs="Arial"/>
                <w:color w:val="000000"/>
              </w:rPr>
              <w:t> </w:t>
            </w:r>
          </w:p>
        </w:tc>
        <w:tc>
          <w:tcPr>
            <w:tcW w:w="1038" w:type="dxa"/>
            <w:tcBorders>
              <w:top w:val="nil"/>
              <w:left w:val="nil"/>
              <w:bottom w:val="nil"/>
              <w:right w:val="single" w:sz="4" w:space="0" w:color="auto"/>
            </w:tcBorders>
            <w:shd w:val="clear" w:color="auto" w:fill="auto"/>
            <w:noWrap/>
            <w:vAlign w:val="bottom"/>
            <w:hideMark/>
          </w:tcPr>
          <w:p w14:paraId="3E31FE8D" w14:textId="77777777" w:rsidR="003B3357" w:rsidRPr="005B2804" w:rsidRDefault="003B3357">
            <w:pPr>
              <w:rPr>
                <w:rFonts w:ascii="Arial" w:hAnsi="Arial" w:cs="Arial"/>
                <w:b/>
                <w:bCs/>
                <w:color w:val="000000"/>
              </w:rPr>
            </w:pPr>
            <w:r w:rsidRPr="005B2804">
              <w:rPr>
                <w:rFonts w:ascii="Arial" w:hAnsi="Arial" w:cs="Arial"/>
                <w:b/>
                <w:bCs/>
                <w:color w:val="000000"/>
              </w:rPr>
              <w:t>2023/24</w:t>
            </w:r>
          </w:p>
        </w:tc>
        <w:tc>
          <w:tcPr>
            <w:tcW w:w="1038" w:type="dxa"/>
            <w:tcBorders>
              <w:top w:val="nil"/>
              <w:left w:val="nil"/>
              <w:bottom w:val="nil"/>
              <w:right w:val="nil"/>
            </w:tcBorders>
            <w:shd w:val="clear" w:color="auto" w:fill="auto"/>
            <w:noWrap/>
            <w:vAlign w:val="bottom"/>
            <w:hideMark/>
          </w:tcPr>
          <w:p w14:paraId="1EFF3E4B" w14:textId="77777777" w:rsidR="003B3357" w:rsidRPr="005B2804" w:rsidRDefault="003B3357">
            <w:pPr>
              <w:rPr>
                <w:rFonts w:ascii="Arial" w:hAnsi="Arial" w:cs="Arial"/>
                <w:b/>
                <w:bCs/>
                <w:color w:val="000000"/>
              </w:rPr>
            </w:pPr>
            <w:r w:rsidRPr="005B2804">
              <w:rPr>
                <w:rFonts w:ascii="Arial" w:hAnsi="Arial" w:cs="Arial"/>
                <w:b/>
                <w:bCs/>
                <w:color w:val="000000"/>
              </w:rPr>
              <w:t>2023/24</w:t>
            </w:r>
          </w:p>
        </w:tc>
        <w:tc>
          <w:tcPr>
            <w:tcW w:w="1100" w:type="dxa"/>
            <w:tcBorders>
              <w:top w:val="nil"/>
              <w:left w:val="single" w:sz="4" w:space="0" w:color="auto"/>
              <w:bottom w:val="nil"/>
              <w:right w:val="single" w:sz="4" w:space="0" w:color="auto"/>
            </w:tcBorders>
            <w:shd w:val="clear" w:color="auto" w:fill="auto"/>
            <w:noWrap/>
            <w:vAlign w:val="bottom"/>
            <w:hideMark/>
          </w:tcPr>
          <w:p w14:paraId="41057945" w14:textId="77777777" w:rsidR="003B3357" w:rsidRPr="005B2804" w:rsidRDefault="003B3357">
            <w:pPr>
              <w:rPr>
                <w:rFonts w:ascii="Arial" w:hAnsi="Arial" w:cs="Arial"/>
                <w:b/>
                <w:bCs/>
                <w:color w:val="000000"/>
              </w:rPr>
            </w:pPr>
            <w:r w:rsidRPr="005B2804">
              <w:rPr>
                <w:rFonts w:ascii="Arial" w:hAnsi="Arial" w:cs="Arial"/>
                <w:b/>
                <w:bCs/>
                <w:color w:val="000000"/>
              </w:rPr>
              <w:t>2024/25</w:t>
            </w:r>
          </w:p>
        </w:tc>
        <w:tc>
          <w:tcPr>
            <w:tcW w:w="1100" w:type="dxa"/>
            <w:tcBorders>
              <w:top w:val="nil"/>
              <w:left w:val="nil"/>
              <w:bottom w:val="nil"/>
              <w:right w:val="single" w:sz="4" w:space="0" w:color="auto"/>
            </w:tcBorders>
            <w:shd w:val="clear" w:color="auto" w:fill="auto"/>
            <w:noWrap/>
            <w:vAlign w:val="bottom"/>
            <w:hideMark/>
          </w:tcPr>
          <w:p w14:paraId="0A0A247C" w14:textId="77777777" w:rsidR="003B3357" w:rsidRPr="005B2804" w:rsidRDefault="003B3357">
            <w:pPr>
              <w:rPr>
                <w:rFonts w:ascii="Arial" w:hAnsi="Arial" w:cs="Arial"/>
                <w:b/>
                <w:bCs/>
                <w:color w:val="000000"/>
              </w:rPr>
            </w:pPr>
            <w:r w:rsidRPr="005B2804">
              <w:rPr>
                <w:rFonts w:ascii="Arial" w:hAnsi="Arial" w:cs="Arial"/>
                <w:b/>
                <w:bCs/>
                <w:color w:val="000000"/>
              </w:rPr>
              <w:t>2025/26</w:t>
            </w:r>
          </w:p>
        </w:tc>
        <w:tc>
          <w:tcPr>
            <w:tcW w:w="1100" w:type="dxa"/>
            <w:tcBorders>
              <w:top w:val="nil"/>
              <w:left w:val="nil"/>
              <w:bottom w:val="nil"/>
              <w:right w:val="single" w:sz="4" w:space="0" w:color="auto"/>
            </w:tcBorders>
            <w:shd w:val="clear" w:color="auto" w:fill="auto"/>
            <w:noWrap/>
            <w:vAlign w:val="bottom"/>
            <w:hideMark/>
          </w:tcPr>
          <w:p w14:paraId="42266969" w14:textId="77777777" w:rsidR="003B3357" w:rsidRPr="005B2804" w:rsidRDefault="003B3357">
            <w:pPr>
              <w:rPr>
                <w:rFonts w:ascii="Arial" w:hAnsi="Arial" w:cs="Arial"/>
                <w:b/>
                <w:bCs/>
                <w:color w:val="000000"/>
              </w:rPr>
            </w:pPr>
            <w:r w:rsidRPr="005B2804">
              <w:rPr>
                <w:rFonts w:ascii="Arial" w:hAnsi="Arial" w:cs="Arial"/>
                <w:b/>
                <w:bCs/>
                <w:color w:val="000000"/>
              </w:rPr>
              <w:t>2026/27</w:t>
            </w:r>
          </w:p>
        </w:tc>
      </w:tr>
      <w:tr w:rsidR="003B3357" w14:paraId="293C69ED" w14:textId="77777777" w:rsidTr="003B3357">
        <w:trPr>
          <w:trHeight w:val="308"/>
        </w:trPr>
        <w:tc>
          <w:tcPr>
            <w:tcW w:w="3864" w:type="dxa"/>
            <w:tcBorders>
              <w:top w:val="nil"/>
              <w:left w:val="single" w:sz="4" w:space="0" w:color="auto"/>
              <w:bottom w:val="nil"/>
              <w:right w:val="single" w:sz="4" w:space="0" w:color="auto"/>
            </w:tcBorders>
            <w:shd w:val="clear" w:color="auto" w:fill="auto"/>
            <w:noWrap/>
            <w:vAlign w:val="bottom"/>
            <w:hideMark/>
          </w:tcPr>
          <w:p w14:paraId="558B4547" w14:textId="77777777" w:rsidR="003B3357" w:rsidRDefault="003B3357">
            <w:pPr>
              <w:rPr>
                <w:rFonts w:ascii="Arial" w:hAnsi="Arial" w:cs="Arial"/>
                <w:color w:val="000000"/>
              </w:rPr>
            </w:pPr>
            <w:r>
              <w:rPr>
                <w:rFonts w:ascii="Arial" w:hAnsi="Arial" w:cs="Arial"/>
                <w:color w:val="000000"/>
              </w:rPr>
              <w:t> </w:t>
            </w:r>
          </w:p>
        </w:tc>
        <w:tc>
          <w:tcPr>
            <w:tcW w:w="1038" w:type="dxa"/>
            <w:tcBorders>
              <w:top w:val="nil"/>
              <w:left w:val="nil"/>
              <w:bottom w:val="nil"/>
              <w:right w:val="single" w:sz="4" w:space="0" w:color="auto"/>
            </w:tcBorders>
            <w:shd w:val="clear" w:color="auto" w:fill="auto"/>
            <w:noWrap/>
            <w:vAlign w:val="bottom"/>
            <w:hideMark/>
          </w:tcPr>
          <w:p w14:paraId="5AED9D18" w14:textId="77777777" w:rsidR="003B3357" w:rsidRPr="005B2804" w:rsidRDefault="003B3357">
            <w:pPr>
              <w:rPr>
                <w:rFonts w:ascii="Arial" w:hAnsi="Arial" w:cs="Arial"/>
                <w:b/>
                <w:bCs/>
                <w:color w:val="000000"/>
              </w:rPr>
            </w:pPr>
            <w:r w:rsidRPr="005B2804">
              <w:rPr>
                <w:rFonts w:ascii="Arial" w:hAnsi="Arial" w:cs="Arial"/>
                <w:b/>
                <w:bCs/>
                <w:color w:val="000000"/>
              </w:rPr>
              <w:t>Original</w:t>
            </w:r>
          </w:p>
        </w:tc>
        <w:tc>
          <w:tcPr>
            <w:tcW w:w="1038" w:type="dxa"/>
            <w:tcBorders>
              <w:top w:val="nil"/>
              <w:left w:val="nil"/>
              <w:bottom w:val="nil"/>
              <w:right w:val="nil"/>
            </w:tcBorders>
            <w:shd w:val="clear" w:color="auto" w:fill="auto"/>
            <w:noWrap/>
            <w:vAlign w:val="bottom"/>
            <w:hideMark/>
          </w:tcPr>
          <w:p w14:paraId="68B07590" w14:textId="77777777" w:rsidR="003B3357" w:rsidRPr="005B2804" w:rsidRDefault="003B3357">
            <w:pPr>
              <w:rPr>
                <w:rFonts w:ascii="Arial" w:hAnsi="Arial" w:cs="Arial"/>
                <w:b/>
                <w:bCs/>
                <w:color w:val="000000"/>
              </w:rPr>
            </w:pPr>
            <w:r w:rsidRPr="005B2804">
              <w:rPr>
                <w:rFonts w:ascii="Arial" w:hAnsi="Arial" w:cs="Arial"/>
                <w:b/>
                <w:bCs/>
                <w:color w:val="000000"/>
              </w:rPr>
              <w:t>Revised</w:t>
            </w:r>
          </w:p>
        </w:tc>
        <w:tc>
          <w:tcPr>
            <w:tcW w:w="1100" w:type="dxa"/>
            <w:tcBorders>
              <w:top w:val="nil"/>
              <w:left w:val="single" w:sz="4" w:space="0" w:color="auto"/>
              <w:bottom w:val="nil"/>
              <w:right w:val="single" w:sz="4" w:space="0" w:color="auto"/>
            </w:tcBorders>
            <w:shd w:val="clear" w:color="auto" w:fill="auto"/>
            <w:noWrap/>
            <w:vAlign w:val="bottom"/>
            <w:hideMark/>
          </w:tcPr>
          <w:p w14:paraId="549AF8F7" w14:textId="77777777" w:rsidR="003B3357" w:rsidRPr="005B2804" w:rsidRDefault="003B3357">
            <w:pPr>
              <w:rPr>
                <w:rFonts w:ascii="Arial" w:hAnsi="Arial" w:cs="Arial"/>
                <w:b/>
                <w:bCs/>
                <w:color w:val="000000"/>
              </w:rPr>
            </w:pPr>
            <w:r w:rsidRPr="005B2804">
              <w:rPr>
                <w:rFonts w:ascii="Arial" w:hAnsi="Arial" w:cs="Arial"/>
                <w:b/>
                <w:bCs/>
                <w:color w:val="000000"/>
              </w:rPr>
              <w:t>Estimate</w:t>
            </w:r>
          </w:p>
        </w:tc>
        <w:tc>
          <w:tcPr>
            <w:tcW w:w="1100" w:type="dxa"/>
            <w:tcBorders>
              <w:top w:val="nil"/>
              <w:left w:val="nil"/>
              <w:bottom w:val="nil"/>
              <w:right w:val="single" w:sz="4" w:space="0" w:color="auto"/>
            </w:tcBorders>
            <w:shd w:val="clear" w:color="auto" w:fill="auto"/>
            <w:noWrap/>
            <w:vAlign w:val="bottom"/>
            <w:hideMark/>
          </w:tcPr>
          <w:p w14:paraId="584E0BE6" w14:textId="77777777" w:rsidR="003B3357" w:rsidRPr="005B2804" w:rsidRDefault="003B3357">
            <w:pPr>
              <w:rPr>
                <w:rFonts w:ascii="Arial" w:hAnsi="Arial" w:cs="Arial"/>
                <w:b/>
                <w:bCs/>
                <w:color w:val="000000"/>
              </w:rPr>
            </w:pPr>
            <w:r w:rsidRPr="005B2804">
              <w:rPr>
                <w:rFonts w:ascii="Arial" w:hAnsi="Arial" w:cs="Arial"/>
                <w:b/>
                <w:bCs/>
                <w:color w:val="000000"/>
              </w:rPr>
              <w:t>Estimate</w:t>
            </w:r>
          </w:p>
        </w:tc>
        <w:tc>
          <w:tcPr>
            <w:tcW w:w="1100" w:type="dxa"/>
            <w:tcBorders>
              <w:top w:val="nil"/>
              <w:left w:val="nil"/>
              <w:bottom w:val="nil"/>
              <w:right w:val="single" w:sz="4" w:space="0" w:color="auto"/>
            </w:tcBorders>
            <w:shd w:val="clear" w:color="auto" w:fill="auto"/>
            <w:noWrap/>
            <w:vAlign w:val="bottom"/>
            <w:hideMark/>
          </w:tcPr>
          <w:p w14:paraId="452B4D2C" w14:textId="77777777" w:rsidR="003B3357" w:rsidRPr="005B2804" w:rsidRDefault="003B3357">
            <w:pPr>
              <w:rPr>
                <w:rFonts w:ascii="Arial" w:hAnsi="Arial" w:cs="Arial"/>
                <w:b/>
                <w:bCs/>
                <w:color w:val="000000"/>
              </w:rPr>
            </w:pPr>
            <w:r w:rsidRPr="005B2804">
              <w:rPr>
                <w:rFonts w:ascii="Arial" w:hAnsi="Arial" w:cs="Arial"/>
                <w:b/>
                <w:bCs/>
                <w:color w:val="000000"/>
              </w:rPr>
              <w:t>Estimate</w:t>
            </w:r>
          </w:p>
        </w:tc>
      </w:tr>
      <w:tr w:rsidR="003B3357" w14:paraId="109FF2A4" w14:textId="77777777" w:rsidTr="003B3357">
        <w:trPr>
          <w:trHeight w:val="308"/>
        </w:trPr>
        <w:tc>
          <w:tcPr>
            <w:tcW w:w="3864" w:type="dxa"/>
            <w:tcBorders>
              <w:top w:val="nil"/>
              <w:left w:val="single" w:sz="4" w:space="0" w:color="auto"/>
              <w:bottom w:val="nil"/>
              <w:right w:val="single" w:sz="4" w:space="0" w:color="auto"/>
            </w:tcBorders>
            <w:shd w:val="clear" w:color="auto" w:fill="auto"/>
            <w:noWrap/>
            <w:vAlign w:val="bottom"/>
            <w:hideMark/>
          </w:tcPr>
          <w:p w14:paraId="0DB873E1" w14:textId="77777777" w:rsidR="003B3357" w:rsidRDefault="003B3357">
            <w:pPr>
              <w:rPr>
                <w:rFonts w:ascii="Arial" w:hAnsi="Arial" w:cs="Arial"/>
                <w:color w:val="000000"/>
              </w:rPr>
            </w:pPr>
            <w:r>
              <w:rPr>
                <w:rFonts w:ascii="Arial" w:hAnsi="Arial" w:cs="Arial"/>
                <w:color w:val="000000"/>
              </w:rPr>
              <w:t> </w:t>
            </w:r>
          </w:p>
        </w:tc>
        <w:tc>
          <w:tcPr>
            <w:tcW w:w="1038" w:type="dxa"/>
            <w:tcBorders>
              <w:top w:val="nil"/>
              <w:left w:val="nil"/>
              <w:bottom w:val="single" w:sz="4" w:space="0" w:color="auto"/>
              <w:right w:val="single" w:sz="4" w:space="0" w:color="auto"/>
            </w:tcBorders>
            <w:shd w:val="clear" w:color="auto" w:fill="auto"/>
            <w:noWrap/>
            <w:vAlign w:val="bottom"/>
            <w:hideMark/>
          </w:tcPr>
          <w:p w14:paraId="78423CDA" w14:textId="77777777" w:rsidR="003B3357" w:rsidRPr="005B2804" w:rsidRDefault="003B3357">
            <w:pPr>
              <w:jc w:val="center"/>
              <w:rPr>
                <w:rFonts w:ascii="Arial" w:hAnsi="Arial" w:cs="Arial"/>
                <w:b/>
                <w:bCs/>
                <w:color w:val="000000"/>
              </w:rPr>
            </w:pPr>
            <w:r w:rsidRPr="005B2804">
              <w:rPr>
                <w:rFonts w:ascii="Arial" w:hAnsi="Arial" w:cs="Arial"/>
                <w:b/>
                <w:bCs/>
                <w:color w:val="000000"/>
              </w:rPr>
              <w:t>£000's</w:t>
            </w:r>
          </w:p>
        </w:tc>
        <w:tc>
          <w:tcPr>
            <w:tcW w:w="1038" w:type="dxa"/>
            <w:tcBorders>
              <w:top w:val="nil"/>
              <w:left w:val="nil"/>
              <w:bottom w:val="single" w:sz="4" w:space="0" w:color="auto"/>
              <w:right w:val="nil"/>
            </w:tcBorders>
            <w:shd w:val="clear" w:color="auto" w:fill="auto"/>
            <w:noWrap/>
            <w:vAlign w:val="bottom"/>
            <w:hideMark/>
          </w:tcPr>
          <w:p w14:paraId="2025674A" w14:textId="77777777" w:rsidR="003B3357" w:rsidRPr="005B2804" w:rsidRDefault="003B3357">
            <w:pPr>
              <w:jc w:val="center"/>
              <w:rPr>
                <w:rFonts w:ascii="Arial" w:hAnsi="Arial" w:cs="Arial"/>
                <w:b/>
                <w:bCs/>
                <w:color w:val="000000"/>
              </w:rPr>
            </w:pPr>
            <w:r w:rsidRPr="005B2804">
              <w:rPr>
                <w:rFonts w:ascii="Arial" w:hAnsi="Arial" w:cs="Arial"/>
                <w:b/>
                <w:bCs/>
                <w:color w:val="000000"/>
              </w:rPr>
              <w:t>£000's</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5F85188" w14:textId="77777777" w:rsidR="003B3357" w:rsidRPr="005B2804" w:rsidRDefault="003B3357">
            <w:pPr>
              <w:jc w:val="center"/>
              <w:rPr>
                <w:rFonts w:ascii="Arial" w:hAnsi="Arial" w:cs="Arial"/>
                <w:b/>
                <w:bCs/>
                <w:color w:val="000000"/>
              </w:rPr>
            </w:pPr>
            <w:r w:rsidRPr="005B2804">
              <w:rPr>
                <w:rFonts w:ascii="Arial" w:hAnsi="Arial" w:cs="Arial"/>
                <w:b/>
                <w:bCs/>
                <w:color w:val="000000"/>
              </w:rPr>
              <w:t>£000's</w:t>
            </w:r>
          </w:p>
        </w:tc>
        <w:tc>
          <w:tcPr>
            <w:tcW w:w="1100" w:type="dxa"/>
            <w:tcBorders>
              <w:top w:val="nil"/>
              <w:left w:val="nil"/>
              <w:bottom w:val="single" w:sz="4" w:space="0" w:color="auto"/>
              <w:right w:val="single" w:sz="4" w:space="0" w:color="auto"/>
            </w:tcBorders>
            <w:shd w:val="clear" w:color="auto" w:fill="auto"/>
            <w:noWrap/>
            <w:vAlign w:val="bottom"/>
            <w:hideMark/>
          </w:tcPr>
          <w:p w14:paraId="325CAB78" w14:textId="77777777" w:rsidR="003B3357" w:rsidRPr="005B2804" w:rsidRDefault="003B3357">
            <w:pPr>
              <w:jc w:val="center"/>
              <w:rPr>
                <w:rFonts w:ascii="Arial" w:hAnsi="Arial" w:cs="Arial"/>
                <w:b/>
                <w:bCs/>
                <w:color w:val="000000"/>
              </w:rPr>
            </w:pPr>
            <w:r w:rsidRPr="005B2804">
              <w:rPr>
                <w:rFonts w:ascii="Arial" w:hAnsi="Arial" w:cs="Arial"/>
                <w:b/>
                <w:bCs/>
                <w:color w:val="000000"/>
              </w:rPr>
              <w:t>£000's</w:t>
            </w:r>
          </w:p>
        </w:tc>
        <w:tc>
          <w:tcPr>
            <w:tcW w:w="1100" w:type="dxa"/>
            <w:tcBorders>
              <w:top w:val="nil"/>
              <w:left w:val="nil"/>
              <w:bottom w:val="single" w:sz="4" w:space="0" w:color="auto"/>
              <w:right w:val="single" w:sz="4" w:space="0" w:color="auto"/>
            </w:tcBorders>
            <w:shd w:val="clear" w:color="auto" w:fill="auto"/>
            <w:noWrap/>
            <w:vAlign w:val="bottom"/>
            <w:hideMark/>
          </w:tcPr>
          <w:p w14:paraId="282AE500" w14:textId="77777777" w:rsidR="003B3357" w:rsidRPr="005B2804" w:rsidRDefault="003B3357">
            <w:pPr>
              <w:jc w:val="center"/>
              <w:rPr>
                <w:rFonts w:ascii="Arial" w:hAnsi="Arial" w:cs="Arial"/>
                <w:b/>
                <w:bCs/>
                <w:color w:val="000000"/>
              </w:rPr>
            </w:pPr>
            <w:r w:rsidRPr="005B2804">
              <w:rPr>
                <w:rFonts w:ascii="Arial" w:hAnsi="Arial" w:cs="Arial"/>
                <w:b/>
                <w:bCs/>
                <w:color w:val="000000"/>
              </w:rPr>
              <w:t>£000's</w:t>
            </w:r>
          </w:p>
        </w:tc>
      </w:tr>
      <w:tr w:rsidR="003B3357" w14:paraId="40223BE1" w14:textId="77777777" w:rsidTr="003B3357">
        <w:trPr>
          <w:trHeight w:val="308"/>
        </w:trPr>
        <w:tc>
          <w:tcPr>
            <w:tcW w:w="3864" w:type="dxa"/>
            <w:tcBorders>
              <w:top w:val="nil"/>
              <w:left w:val="single" w:sz="4" w:space="0" w:color="auto"/>
              <w:bottom w:val="nil"/>
              <w:right w:val="single" w:sz="4" w:space="0" w:color="auto"/>
            </w:tcBorders>
            <w:shd w:val="clear" w:color="auto" w:fill="auto"/>
            <w:noWrap/>
            <w:vAlign w:val="bottom"/>
            <w:hideMark/>
          </w:tcPr>
          <w:p w14:paraId="632C358C" w14:textId="77777777" w:rsidR="003B3357" w:rsidRDefault="003B3357">
            <w:pPr>
              <w:rPr>
                <w:rFonts w:ascii="Arial" w:hAnsi="Arial" w:cs="Arial"/>
                <w:color w:val="000000"/>
              </w:rPr>
            </w:pPr>
            <w:r>
              <w:rPr>
                <w:rFonts w:ascii="Arial" w:hAnsi="Arial" w:cs="Arial"/>
                <w:color w:val="000000"/>
              </w:rPr>
              <w:t> </w:t>
            </w:r>
          </w:p>
        </w:tc>
        <w:tc>
          <w:tcPr>
            <w:tcW w:w="1038" w:type="dxa"/>
            <w:tcBorders>
              <w:top w:val="nil"/>
              <w:left w:val="nil"/>
              <w:bottom w:val="nil"/>
              <w:right w:val="single" w:sz="4" w:space="0" w:color="auto"/>
            </w:tcBorders>
            <w:shd w:val="clear" w:color="auto" w:fill="auto"/>
            <w:noWrap/>
            <w:vAlign w:val="bottom"/>
            <w:hideMark/>
          </w:tcPr>
          <w:p w14:paraId="320F3000" w14:textId="77777777" w:rsidR="003B3357" w:rsidRDefault="003B3357">
            <w:pPr>
              <w:jc w:val="center"/>
              <w:rPr>
                <w:rFonts w:ascii="Arial" w:hAnsi="Arial" w:cs="Arial"/>
                <w:color w:val="000000"/>
              </w:rPr>
            </w:pPr>
            <w:r>
              <w:rPr>
                <w:rFonts w:ascii="Arial" w:hAnsi="Arial" w:cs="Arial"/>
                <w:color w:val="000000"/>
              </w:rPr>
              <w:t> </w:t>
            </w:r>
          </w:p>
        </w:tc>
        <w:tc>
          <w:tcPr>
            <w:tcW w:w="1038" w:type="dxa"/>
            <w:tcBorders>
              <w:top w:val="nil"/>
              <w:left w:val="nil"/>
              <w:bottom w:val="nil"/>
              <w:right w:val="nil"/>
            </w:tcBorders>
            <w:shd w:val="clear" w:color="auto" w:fill="auto"/>
            <w:noWrap/>
            <w:vAlign w:val="bottom"/>
            <w:hideMark/>
          </w:tcPr>
          <w:p w14:paraId="0BB1384F" w14:textId="77777777" w:rsidR="003B3357" w:rsidRDefault="003B3357">
            <w:pPr>
              <w:jc w:val="center"/>
              <w:rPr>
                <w:rFonts w:ascii="Arial" w:hAnsi="Arial" w:cs="Arial"/>
                <w:color w:val="000000"/>
              </w:rPr>
            </w:pPr>
            <w:r>
              <w:rPr>
                <w:rFonts w:ascii="Arial" w:hAnsi="Arial" w:cs="Arial"/>
                <w:color w:val="000000"/>
              </w:rPr>
              <w:t> </w:t>
            </w:r>
          </w:p>
        </w:tc>
        <w:tc>
          <w:tcPr>
            <w:tcW w:w="1100" w:type="dxa"/>
            <w:tcBorders>
              <w:top w:val="nil"/>
              <w:left w:val="single" w:sz="4" w:space="0" w:color="auto"/>
              <w:bottom w:val="nil"/>
              <w:right w:val="single" w:sz="4" w:space="0" w:color="auto"/>
            </w:tcBorders>
            <w:shd w:val="clear" w:color="auto" w:fill="auto"/>
            <w:noWrap/>
            <w:vAlign w:val="bottom"/>
            <w:hideMark/>
          </w:tcPr>
          <w:p w14:paraId="28C9ED0B" w14:textId="77777777" w:rsidR="003B3357" w:rsidRDefault="003B3357">
            <w:pPr>
              <w:jc w:val="center"/>
              <w:rPr>
                <w:rFonts w:ascii="Arial" w:hAnsi="Arial" w:cs="Arial"/>
                <w:color w:val="000000"/>
              </w:rPr>
            </w:pPr>
            <w:r>
              <w:rPr>
                <w:rFonts w:ascii="Arial" w:hAnsi="Arial" w:cs="Arial"/>
                <w:color w:val="000000"/>
              </w:rPr>
              <w:t> </w:t>
            </w:r>
          </w:p>
        </w:tc>
        <w:tc>
          <w:tcPr>
            <w:tcW w:w="1100" w:type="dxa"/>
            <w:tcBorders>
              <w:top w:val="nil"/>
              <w:left w:val="nil"/>
              <w:bottom w:val="nil"/>
              <w:right w:val="single" w:sz="4" w:space="0" w:color="auto"/>
            </w:tcBorders>
            <w:shd w:val="clear" w:color="auto" w:fill="auto"/>
            <w:noWrap/>
            <w:vAlign w:val="bottom"/>
            <w:hideMark/>
          </w:tcPr>
          <w:p w14:paraId="65977744" w14:textId="77777777" w:rsidR="003B3357" w:rsidRDefault="003B3357">
            <w:pPr>
              <w:jc w:val="center"/>
              <w:rPr>
                <w:rFonts w:ascii="Arial" w:hAnsi="Arial" w:cs="Arial"/>
                <w:color w:val="000000"/>
              </w:rPr>
            </w:pPr>
            <w:r>
              <w:rPr>
                <w:rFonts w:ascii="Arial" w:hAnsi="Arial" w:cs="Arial"/>
                <w:color w:val="000000"/>
              </w:rPr>
              <w:t> </w:t>
            </w:r>
          </w:p>
        </w:tc>
        <w:tc>
          <w:tcPr>
            <w:tcW w:w="1100" w:type="dxa"/>
            <w:tcBorders>
              <w:top w:val="nil"/>
              <w:left w:val="nil"/>
              <w:bottom w:val="nil"/>
              <w:right w:val="single" w:sz="4" w:space="0" w:color="auto"/>
            </w:tcBorders>
            <w:shd w:val="clear" w:color="auto" w:fill="auto"/>
            <w:noWrap/>
            <w:vAlign w:val="bottom"/>
            <w:hideMark/>
          </w:tcPr>
          <w:p w14:paraId="7EC75559" w14:textId="77777777" w:rsidR="003B3357" w:rsidRDefault="003B3357">
            <w:pPr>
              <w:jc w:val="center"/>
              <w:rPr>
                <w:rFonts w:ascii="Arial" w:hAnsi="Arial" w:cs="Arial"/>
                <w:color w:val="000000"/>
              </w:rPr>
            </w:pPr>
            <w:r>
              <w:rPr>
                <w:rFonts w:ascii="Arial" w:hAnsi="Arial" w:cs="Arial"/>
                <w:color w:val="000000"/>
              </w:rPr>
              <w:t> </w:t>
            </w:r>
          </w:p>
        </w:tc>
      </w:tr>
      <w:tr w:rsidR="003B3357" w14:paraId="5E03F056" w14:textId="77777777" w:rsidTr="003B3357">
        <w:trPr>
          <w:trHeight w:val="323"/>
        </w:trPr>
        <w:tc>
          <w:tcPr>
            <w:tcW w:w="3864" w:type="dxa"/>
            <w:tcBorders>
              <w:top w:val="nil"/>
              <w:left w:val="single" w:sz="4" w:space="0" w:color="auto"/>
              <w:bottom w:val="nil"/>
              <w:right w:val="single" w:sz="4" w:space="0" w:color="auto"/>
            </w:tcBorders>
            <w:shd w:val="clear" w:color="auto" w:fill="auto"/>
            <w:noWrap/>
            <w:vAlign w:val="bottom"/>
            <w:hideMark/>
          </w:tcPr>
          <w:p w14:paraId="7C600D03" w14:textId="77777777" w:rsidR="003B3357" w:rsidRDefault="003B3357">
            <w:pPr>
              <w:rPr>
                <w:rFonts w:ascii="Arial" w:hAnsi="Arial" w:cs="Arial"/>
                <w:b/>
                <w:bCs/>
                <w:color w:val="000000"/>
              </w:rPr>
            </w:pPr>
            <w:r>
              <w:rPr>
                <w:rFonts w:ascii="Arial" w:hAnsi="Arial" w:cs="Arial"/>
                <w:b/>
                <w:bCs/>
                <w:color w:val="000000"/>
              </w:rPr>
              <w:t>Capital Expenditure</w:t>
            </w:r>
          </w:p>
        </w:tc>
        <w:tc>
          <w:tcPr>
            <w:tcW w:w="1038" w:type="dxa"/>
            <w:tcBorders>
              <w:top w:val="nil"/>
              <w:left w:val="nil"/>
              <w:bottom w:val="nil"/>
              <w:right w:val="single" w:sz="4" w:space="0" w:color="auto"/>
            </w:tcBorders>
            <w:shd w:val="clear" w:color="auto" w:fill="auto"/>
            <w:noWrap/>
            <w:vAlign w:val="bottom"/>
            <w:hideMark/>
          </w:tcPr>
          <w:p w14:paraId="0BE029F9" w14:textId="77777777" w:rsidR="003B3357" w:rsidRDefault="003B3357">
            <w:pPr>
              <w:jc w:val="right"/>
              <w:rPr>
                <w:rFonts w:ascii="Arial" w:hAnsi="Arial" w:cs="Arial"/>
                <w:b/>
                <w:bCs/>
                <w:color w:val="000000"/>
              </w:rPr>
            </w:pPr>
            <w:r>
              <w:rPr>
                <w:rFonts w:ascii="Arial" w:hAnsi="Arial" w:cs="Arial"/>
                <w:b/>
                <w:bCs/>
                <w:color w:val="000000"/>
              </w:rPr>
              <w:t>23,902</w:t>
            </w:r>
          </w:p>
        </w:tc>
        <w:tc>
          <w:tcPr>
            <w:tcW w:w="1038" w:type="dxa"/>
            <w:tcBorders>
              <w:top w:val="nil"/>
              <w:left w:val="nil"/>
              <w:bottom w:val="nil"/>
              <w:right w:val="nil"/>
            </w:tcBorders>
            <w:shd w:val="clear" w:color="auto" w:fill="auto"/>
            <w:noWrap/>
            <w:vAlign w:val="bottom"/>
            <w:hideMark/>
          </w:tcPr>
          <w:p w14:paraId="31B6EEEE" w14:textId="77777777" w:rsidR="003B3357" w:rsidRDefault="003B3357">
            <w:pPr>
              <w:jc w:val="right"/>
              <w:rPr>
                <w:rFonts w:ascii="Arial" w:hAnsi="Arial" w:cs="Arial"/>
                <w:b/>
                <w:bCs/>
                <w:color w:val="000000"/>
              </w:rPr>
            </w:pPr>
            <w:r>
              <w:rPr>
                <w:rFonts w:ascii="Arial" w:hAnsi="Arial" w:cs="Arial"/>
                <w:b/>
                <w:bCs/>
                <w:color w:val="000000"/>
              </w:rPr>
              <w:t>21,090</w:t>
            </w:r>
          </w:p>
        </w:tc>
        <w:tc>
          <w:tcPr>
            <w:tcW w:w="1100" w:type="dxa"/>
            <w:tcBorders>
              <w:top w:val="nil"/>
              <w:left w:val="single" w:sz="4" w:space="0" w:color="auto"/>
              <w:bottom w:val="nil"/>
              <w:right w:val="single" w:sz="4" w:space="0" w:color="auto"/>
            </w:tcBorders>
            <w:shd w:val="clear" w:color="auto" w:fill="auto"/>
            <w:noWrap/>
            <w:vAlign w:val="bottom"/>
            <w:hideMark/>
          </w:tcPr>
          <w:p w14:paraId="51F8E026" w14:textId="5A3F4F9C" w:rsidR="003B3357" w:rsidRDefault="003B3357">
            <w:pPr>
              <w:jc w:val="right"/>
              <w:rPr>
                <w:rFonts w:ascii="Arial" w:hAnsi="Arial" w:cs="Arial"/>
                <w:b/>
                <w:bCs/>
                <w:color w:val="000000"/>
              </w:rPr>
            </w:pPr>
            <w:r>
              <w:rPr>
                <w:rFonts w:ascii="Arial" w:hAnsi="Arial" w:cs="Arial"/>
                <w:b/>
                <w:bCs/>
                <w:color w:val="000000"/>
              </w:rPr>
              <w:t>19,</w:t>
            </w:r>
            <w:r w:rsidR="00CF186A">
              <w:rPr>
                <w:rFonts w:ascii="Arial" w:hAnsi="Arial" w:cs="Arial"/>
                <w:b/>
                <w:bCs/>
                <w:color w:val="000000"/>
              </w:rPr>
              <w:t>751</w:t>
            </w:r>
          </w:p>
        </w:tc>
        <w:tc>
          <w:tcPr>
            <w:tcW w:w="1100" w:type="dxa"/>
            <w:tcBorders>
              <w:top w:val="nil"/>
              <w:left w:val="nil"/>
              <w:bottom w:val="nil"/>
              <w:right w:val="single" w:sz="4" w:space="0" w:color="auto"/>
            </w:tcBorders>
            <w:shd w:val="clear" w:color="auto" w:fill="auto"/>
            <w:noWrap/>
            <w:vAlign w:val="bottom"/>
            <w:hideMark/>
          </w:tcPr>
          <w:p w14:paraId="53BBFAC7" w14:textId="00606ED1" w:rsidR="003B3357" w:rsidRDefault="003B3357">
            <w:pPr>
              <w:jc w:val="right"/>
              <w:rPr>
                <w:rFonts w:ascii="Arial" w:hAnsi="Arial" w:cs="Arial"/>
                <w:b/>
                <w:bCs/>
                <w:color w:val="000000"/>
              </w:rPr>
            </w:pPr>
            <w:r>
              <w:rPr>
                <w:rFonts w:ascii="Arial" w:hAnsi="Arial" w:cs="Arial"/>
                <w:b/>
                <w:bCs/>
                <w:color w:val="000000"/>
              </w:rPr>
              <w:t>1</w:t>
            </w:r>
            <w:r w:rsidR="00CF186A">
              <w:rPr>
                <w:rFonts w:ascii="Arial" w:hAnsi="Arial" w:cs="Arial"/>
                <w:b/>
                <w:bCs/>
                <w:color w:val="000000"/>
              </w:rPr>
              <w:t>1</w:t>
            </w:r>
            <w:r>
              <w:rPr>
                <w:rFonts w:ascii="Arial" w:hAnsi="Arial" w:cs="Arial"/>
                <w:b/>
                <w:bCs/>
                <w:color w:val="000000"/>
              </w:rPr>
              <w:t>,</w:t>
            </w:r>
            <w:r w:rsidR="00CF186A">
              <w:rPr>
                <w:rFonts w:ascii="Arial" w:hAnsi="Arial" w:cs="Arial"/>
                <w:b/>
                <w:bCs/>
                <w:color w:val="000000"/>
              </w:rPr>
              <w:t>282</w:t>
            </w:r>
          </w:p>
        </w:tc>
        <w:tc>
          <w:tcPr>
            <w:tcW w:w="1100" w:type="dxa"/>
            <w:tcBorders>
              <w:top w:val="nil"/>
              <w:left w:val="nil"/>
              <w:bottom w:val="nil"/>
              <w:right w:val="single" w:sz="4" w:space="0" w:color="auto"/>
            </w:tcBorders>
            <w:shd w:val="clear" w:color="auto" w:fill="auto"/>
            <w:noWrap/>
            <w:vAlign w:val="bottom"/>
            <w:hideMark/>
          </w:tcPr>
          <w:p w14:paraId="6D90907D" w14:textId="53793911" w:rsidR="003B3357" w:rsidRDefault="00CF186A">
            <w:pPr>
              <w:jc w:val="right"/>
              <w:rPr>
                <w:rFonts w:ascii="Arial" w:hAnsi="Arial" w:cs="Arial"/>
                <w:b/>
                <w:bCs/>
                <w:color w:val="000000"/>
              </w:rPr>
            </w:pPr>
            <w:r>
              <w:rPr>
                <w:rFonts w:ascii="Arial" w:hAnsi="Arial" w:cs="Arial"/>
                <w:b/>
                <w:bCs/>
                <w:color w:val="000000"/>
              </w:rPr>
              <w:t>17</w:t>
            </w:r>
            <w:r w:rsidR="003B3357">
              <w:rPr>
                <w:rFonts w:ascii="Arial" w:hAnsi="Arial" w:cs="Arial"/>
                <w:b/>
                <w:bCs/>
                <w:color w:val="000000"/>
              </w:rPr>
              <w:t>,8</w:t>
            </w:r>
            <w:r>
              <w:rPr>
                <w:rFonts w:ascii="Arial" w:hAnsi="Arial" w:cs="Arial"/>
                <w:b/>
                <w:bCs/>
                <w:color w:val="000000"/>
              </w:rPr>
              <w:t>30</w:t>
            </w:r>
          </w:p>
        </w:tc>
      </w:tr>
      <w:tr w:rsidR="003B3357" w14:paraId="05DEB08B" w14:textId="77777777" w:rsidTr="003B3357">
        <w:trPr>
          <w:trHeight w:val="308"/>
        </w:trPr>
        <w:tc>
          <w:tcPr>
            <w:tcW w:w="3864" w:type="dxa"/>
            <w:tcBorders>
              <w:top w:val="nil"/>
              <w:left w:val="single" w:sz="4" w:space="0" w:color="auto"/>
              <w:bottom w:val="nil"/>
              <w:right w:val="single" w:sz="4" w:space="0" w:color="auto"/>
            </w:tcBorders>
            <w:shd w:val="clear" w:color="auto" w:fill="auto"/>
            <w:noWrap/>
            <w:vAlign w:val="bottom"/>
            <w:hideMark/>
          </w:tcPr>
          <w:p w14:paraId="582806DB" w14:textId="77777777" w:rsidR="003B3357" w:rsidRDefault="003B3357">
            <w:pPr>
              <w:rPr>
                <w:rFonts w:ascii="Arial" w:hAnsi="Arial" w:cs="Arial"/>
                <w:color w:val="000000"/>
              </w:rPr>
            </w:pPr>
            <w:r>
              <w:rPr>
                <w:rFonts w:ascii="Arial" w:hAnsi="Arial" w:cs="Arial"/>
                <w:color w:val="000000"/>
              </w:rPr>
              <w:t> </w:t>
            </w:r>
          </w:p>
        </w:tc>
        <w:tc>
          <w:tcPr>
            <w:tcW w:w="1038" w:type="dxa"/>
            <w:tcBorders>
              <w:top w:val="nil"/>
              <w:left w:val="nil"/>
              <w:bottom w:val="nil"/>
              <w:right w:val="single" w:sz="4" w:space="0" w:color="auto"/>
            </w:tcBorders>
            <w:shd w:val="clear" w:color="auto" w:fill="auto"/>
            <w:noWrap/>
            <w:vAlign w:val="bottom"/>
            <w:hideMark/>
          </w:tcPr>
          <w:p w14:paraId="129BE3D1" w14:textId="77777777" w:rsidR="003B3357" w:rsidRDefault="003B3357">
            <w:pPr>
              <w:rPr>
                <w:rFonts w:ascii="Arial" w:hAnsi="Arial" w:cs="Arial"/>
                <w:color w:val="000000"/>
              </w:rPr>
            </w:pPr>
            <w:r>
              <w:rPr>
                <w:rFonts w:ascii="Arial" w:hAnsi="Arial" w:cs="Arial"/>
                <w:color w:val="000000"/>
              </w:rPr>
              <w:t> </w:t>
            </w:r>
          </w:p>
        </w:tc>
        <w:tc>
          <w:tcPr>
            <w:tcW w:w="1038" w:type="dxa"/>
            <w:tcBorders>
              <w:top w:val="nil"/>
              <w:left w:val="nil"/>
              <w:bottom w:val="nil"/>
              <w:right w:val="nil"/>
            </w:tcBorders>
            <w:shd w:val="clear" w:color="auto" w:fill="auto"/>
            <w:noWrap/>
            <w:vAlign w:val="bottom"/>
            <w:hideMark/>
          </w:tcPr>
          <w:p w14:paraId="017F7DC1" w14:textId="77777777" w:rsidR="003B3357" w:rsidRDefault="003B3357">
            <w:pPr>
              <w:rPr>
                <w:rFonts w:ascii="Arial" w:hAnsi="Arial" w:cs="Arial"/>
                <w:color w:val="000000"/>
              </w:rPr>
            </w:pPr>
            <w:r>
              <w:rPr>
                <w:rFonts w:ascii="Arial" w:hAnsi="Arial" w:cs="Arial"/>
                <w:color w:val="000000"/>
              </w:rPr>
              <w:t> </w:t>
            </w:r>
          </w:p>
        </w:tc>
        <w:tc>
          <w:tcPr>
            <w:tcW w:w="1100" w:type="dxa"/>
            <w:tcBorders>
              <w:top w:val="nil"/>
              <w:left w:val="single" w:sz="4" w:space="0" w:color="auto"/>
              <w:bottom w:val="nil"/>
              <w:right w:val="single" w:sz="4" w:space="0" w:color="auto"/>
            </w:tcBorders>
            <w:shd w:val="clear" w:color="auto" w:fill="auto"/>
            <w:noWrap/>
            <w:vAlign w:val="bottom"/>
            <w:hideMark/>
          </w:tcPr>
          <w:p w14:paraId="13080AC4" w14:textId="77777777" w:rsidR="003B3357" w:rsidRDefault="003B3357">
            <w:pPr>
              <w:rPr>
                <w:rFonts w:ascii="Arial" w:hAnsi="Arial" w:cs="Arial"/>
                <w:color w:val="000000"/>
              </w:rPr>
            </w:pPr>
            <w:r>
              <w:rPr>
                <w:rFonts w:ascii="Arial" w:hAnsi="Arial" w:cs="Arial"/>
                <w:color w:val="000000"/>
              </w:rPr>
              <w:t> </w:t>
            </w:r>
          </w:p>
        </w:tc>
        <w:tc>
          <w:tcPr>
            <w:tcW w:w="1100" w:type="dxa"/>
            <w:tcBorders>
              <w:top w:val="nil"/>
              <w:left w:val="nil"/>
              <w:bottom w:val="nil"/>
              <w:right w:val="single" w:sz="4" w:space="0" w:color="auto"/>
            </w:tcBorders>
            <w:shd w:val="clear" w:color="auto" w:fill="auto"/>
            <w:noWrap/>
            <w:vAlign w:val="bottom"/>
            <w:hideMark/>
          </w:tcPr>
          <w:p w14:paraId="3691B6C7" w14:textId="77777777" w:rsidR="003B3357" w:rsidRDefault="003B3357">
            <w:pPr>
              <w:rPr>
                <w:rFonts w:ascii="Arial" w:hAnsi="Arial" w:cs="Arial"/>
                <w:color w:val="000000"/>
              </w:rPr>
            </w:pPr>
            <w:r>
              <w:rPr>
                <w:rFonts w:ascii="Arial" w:hAnsi="Arial" w:cs="Arial"/>
                <w:color w:val="000000"/>
              </w:rPr>
              <w:t> </w:t>
            </w:r>
          </w:p>
        </w:tc>
        <w:tc>
          <w:tcPr>
            <w:tcW w:w="1100" w:type="dxa"/>
            <w:tcBorders>
              <w:top w:val="nil"/>
              <w:left w:val="nil"/>
              <w:bottom w:val="nil"/>
              <w:right w:val="single" w:sz="4" w:space="0" w:color="auto"/>
            </w:tcBorders>
            <w:shd w:val="clear" w:color="auto" w:fill="auto"/>
            <w:noWrap/>
            <w:vAlign w:val="bottom"/>
            <w:hideMark/>
          </w:tcPr>
          <w:p w14:paraId="0F1DD0C4" w14:textId="77777777" w:rsidR="003B3357" w:rsidRDefault="003B3357">
            <w:pPr>
              <w:rPr>
                <w:rFonts w:ascii="Arial" w:hAnsi="Arial" w:cs="Arial"/>
                <w:color w:val="000000"/>
              </w:rPr>
            </w:pPr>
            <w:r>
              <w:rPr>
                <w:rFonts w:ascii="Arial" w:hAnsi="Arial" w:cs="Arial"/>
                <w:color w:val="000000"/>
              </w:rPr>
              <w:t> </w:t>
            </w:r>
          </w:p>
        </w:tc>
      </w:tr>
      <w:tr w:rsidR="003B3357" w14:paraId="002DA6C1" w14:textId="77777777" w:rsidTr="003B3357">
        <w:trPr>
          <w:trHeight w:val="308"/>
        </w:trPr>
        <w:tc>
          <w:tcPr>
            <w:tcW w:w="3864" w:type="dxa"/>
            <w:tcBorders>
              <w:top w:val="nil"/>
              <w:left w:val="single" w:sz="4" w:space="0" w:color="auto"/>
              <w:bottom w:val="nil"/>
              <w:right w:val="single" w:sz="4" w:space="0" w:color="auto"/>
            </w:tcBorders>
            <w:shd w:val="clear" w:color="auto" w:fill="auto"/>
            <w:noWrap/>
            <w:vAlign w:val="bottom"/>
            <w:hideMark/>
          </w:tcPr>
          <w:p w14:paraId="4B2786F5" w14:textId="77777777" w:rsidR="003B3357" w:rsidRDefault="003B3357">
            <w:pPr>
              <w:rPr>
                <w:rFonts w:ascii="Arial" w:hAnsi="Arial" w:cs="Arial"/>
                <w:color w:val="000000"/>
              </w:rPr>
            </w:pPr>
            <w:r>
              <w:rPr>
                <w:rFonts w:ascii="Arial" w:hAnsi="Arial" w:cs="Arial"/>
                <w:color w:val="000000"/>
              </w:rPr>
              <w:t>Financed by:</w:t>
            </w:r>
          </w:p>
        </w:tc>
        <w:tc>
          <w:tcPr>
            <w:tcW w:w="1038" w:type="dxa"/>
            <w:tcBorders>
              <w:top w:val="nil"/>
              <w:left w:val="nil"/>
              <w:bottom w:val="nil"/>
              <w:right w:val="single" w:sz="4" w:space="0" w:color="auto"/>
            </w:tcBorders>
            <w:shd w:val="clear" w:color="auto" w:fill="auto"/>
            <w:noWrap/>
            <w:vAlign w:val="bottom"/>
            <w:hideMark/>
          </w:tcPr>
          <w:p w14:paraId="46714343" w14:textId="77777777" w:rsidR="003B3357" w:rsidRDefault="003B3357">
            <w:pPr>
              <w:rPr>
                <w:rFonts w:ascii="Arial" w:hAnsi="Arial" w:cs="Arial"/>
                <w:color w:val="000000"/>
              </w:rPr>
            </w:pPr>
            <w:r>
              <w:rPr>
                <w:rFonts w:ascii="Arial" w:hAnsi="Arial" w:cs="Arial"/>
                <w:color w:val="000000"/>
              </w:rPr>
              <w:t> </w:t>
            </w:r>
          </w:p>
        </w:tc>
        <w:tc>
          <w:tcPr>
            <w:tcW w:w="1038" w:type="dxa"/>
            <w:tcBorders>
              <w:top w:val="nil"/>
              <w:left w:val="nil"/>
              <w:bottom w:val="nil"/>
              <w:right w:val="nil"/>
            </w:tcBorders>
            <w:shd w:val="clear" w:color="auto" w:fill="auto"/>
            <w:noWrap/>
            <w:vAlign w:val="bottom"/>
            <w:hideMark/>
          </w:tcPr>
          <w:p w14:paraId="022E4E84" w14:textId="77777777" w:rsidR="003B3357" w:rsidRDefault="003B3357">
            <w:pPr>
              <w:rPr>
                <w:rFonts w:ascii="Arial" w:hAnsi="Arial" w:cs="Arial"/>
                <w:color w:val="000000"/>
              </w:rPr>
            </w:pPr>
            <w:r>
              <w:rPr>
                <w:rFonts w:ascii="Arial" w:hAnsi="Arial" w:cs="Arial"/>
                <w:color w:val="000000"/>
              </w:rPr>
              <w:t> </w:t>
            </w:r>
          </w:p>
        </w:tc>
        <w:tc>
          <w:tcPr>
            <w:tcW w:w="1100" w:type="dxa"/>
            <w:tcBorders>
              <w:top w:val="nil"/>
              <w:left w:val="single" w:sz="4" w:space="0" w:color="auto"/>
              <w:bottom w:val="nil"/>
              <w:right w:val="single" w:sz="4" w:space="0" w:color="auto"/>
            </w:tcBorders>
            <w:shd w:val="clear" w:color="auto" w:fill="auto"/>
            <w:noWrap/>
            <w:vAlign w:val="bottom"/>
            <w:hideMark/>
          </w:tcPr>
          <w:p w14:paraId="4586C404" w14:textId="77777777" w:rsidR="003B3357" w:rsidRDefault="003B3357">
            <w:pPr>
              <w:rPr>
                <w:rFonts w:ascii="Arial" w:hAnsi="Arial" w:cs="Arial"/>
                <w:color w:val="000000"/>
              </w:rPr>
            </w:pPr>
            <w:r>
              <w:rPr>
                <w:rFonts w:ascii="Arial" w:hAnsi="Arial" w:cs="Arial"/>
                <w:color w:val="000000"/>
              </w:rPr>
              <w:t> </w:t>
            </w:r>
          </w:p>
        </w:tc>
        <w:tc>
          <w:tcPr>
            <w:tcW w:w="1100" w:type="dxa"/>
            <w:tcBorders>
              <w:top w:val="nil"/>
              <w:left w:val="nil"/>
              <w:bottom w:val="nil"/>
              <w:right w:val="single" w:sz="4" w:space="0" w:color="auto"/>
            </w:tcBorders>
            <w:shd w:val="clear" w:color="auto" w:fill="auto"/>
            <w:noWrap/>
            <w:vAlign w:val="bottom"/>
            <w:hideMark/>
          </w:tcPr>
          <w:p w14:paraId="5E1AB1C8" w14:textId="77777777" w:rsidR="003B3357" w:rsidRDefault="003B3357">
            <w:pPr>
              <w:rPr>
                <w:rFonts w:ascii="Arial" w:hAnsi="Arial" w:cs="Arial"/>
                <w:color w:val="000000"/>
              </w:rPr>
            </w:pPr>
            <w:r>
              <w:rPr>
                <w:rFonts w:ascii="Arial" w:hAnsi="Arial" w:cs="Arial"/>
                <w:color w:val="000000"/>
              </w:rPr>
              <w:t> </w:t>
            </w:r>
          </w:p>
        </w:tc>
        <w:tc>
          <w:tcPr>
            <w:tcW w:w="1100" w:type="dxa"/>
            <w:tcBorders>
              <w:top w:val="nil"/>
              <w:left w:val="nil"/>
              <w:bottom w:val="nil"/>
              <w:right w:val="single" w:sz="4" w:space="0" w:color="auto"/>
            </w:tcBorders>
            <w:shd w:val="clear" w:color="auto" w:fill="auto"/>
            <w:noWrap/>
            <w:vAlign w:val="bottom"/>
            <w:hideMark/>
          </w:tcPr>
          <w:p w14:paraId="41233ED1" w14:textId="77777777" w:rsidR="003B3357" w:rsidRDefault="003B3357">
            <w:pPr>
              <w:rPr>
                <w:rFonts w:ascii="Arial" w:hAnsi="Arial" w:cs="Arial"/>
                <w:color w:val="000000"/>
              </w:rPr>
            </w:pPr>
            <w:r>
              <w:rPr>
                <w:rFonts w:ascii="Arial" w:hAnsi="Arial" w:cs="Arial"/>
                <w:color w:val="000000"/>
              </w:rPr>
              <w:t> </w:t>
            </w:r>
          </w:p>
        </w:tc>
      </w:tr>
      <w:tr w:rsidR="003B3357" w14:paraId="1C2C79A3" w14:textId="77777777" w:rsidTr="003B3357">
        <w:trPr>
          <w:trHeight w:val="308"/>
        </w:trPr>
        <w:tc>
          <w:tcPr>
            <w:tcW w:w="3864" w:type="dxa"/>
            <w:tcBorders>
              <w:top w:val="nil"/>
              <w:left w:val="single" w:sz="4" w:space="0" w:color="auto"/>
              <w:bottom w:val="nil"/>
              <w:right w:val="single" w:sz="4" w:space="0" w:color="auto"/>
            </w:tcBorders>
            <w:shd w:val="clear" w:color="auto" w:fill="auto"/>
            <w:noWrap/>
            <w:vAlign w:val="bottom"/>
            <w:hideMark/>
          </w:tcPr>
          <w:p w14:paraId="7262F0E2" w14:textId="77777777" w:rsidR="003B3357" w:rsidRDefault="003B3357">
            <w:pPr>
              <w:rPr>
                <w:rFonts w:ascii="Arial" w:hAnsi="Arial" w:cs="Arial"/>
                <w:color w:val="000000"/>
              </w:rPr>
            </w:pPr>
            <w:r>
              <w:rPr>
                <w:rFonts w:ascii="Arial" w:hAnsi="Arial" w:cs="Arial"/>
                <w:color w:val="000000"/>
              </w:rPr>
              <w:t>Capital Receipts</w:t>
            </w:r>
          </w:p>
        </w:tc>
        <w:tc>
          <w:tcPr>
            <w:tcW w:w="1038" w:type="dxa"/>
            <w:tcBorders>
              <w:top w:val="nil"/>
              <w:left w:val="nil"/>
              <w:bottom w:val="nil"/>
              <w:right w:val="single" w:sz="4" w:space="0" w:color="auto"/>
            </w:tcBorders>
            <w:shd w:val="clear" w:color="auto" w:fill="auto"/>
            <w:noWrap/>
            <w:vAlign w:val="bottom"/>
            <w:hideMark/>
          </w:tcPr>
          <w:p w14:paraId="58C005D6" w14:textId="77777777" w:rsidR="003B3357" w:rsidRDefault="003B3357">
            <w:pPr>
              <w:jc w:val="right"/>
              <w:rPr>
                <w:rFonts w:ascii="Arial" w:hAnsi="Arial" w:cs="Arial"/>
                <w:color w:val="000000"/>
              </w:rPr>
            </w:pPr>
            <w:r>
              <w:rPr>
                <w:rFonts w:ascii="Arial" w:hAnsi="Arial" w:cs="Arial"/>
                <w:color w:val="000000"/>
              </w:rPr>
              <w:t>0</w:t>
            </w:r>
          </w:p>
        </w:tc>
        <w:tc>
          <w:tcPr>
            <w:tcW w:w="1038" w:type="dxa"/>
            <w:tcBorders>
              <w:top w:val="nil"/>
              <w:left w:val="nil"/>
              <w:bottom w:val="nil"/>
              <w:right w:val="nil"/>
            </w:tcBorders>
            <w:shd w:val="clear" w:color="auto" w:fill="auto"/>
            <w:noWrap/>
            <w:vAlign w:val="bottom"/>
            <w:hideMark/>
          </w:tcPr>
          <w:p w14:paraId="59ACD502" w14:textId="77777777" w:rsidR="003B3357" w:rsidRDefault="003B3357">
            <w:pPr>
              <w:jc w:val="right"/>
              <w:rPr>
                <w:rFonts w:ascii="Arial" w:hAnsi="Arial" w:cs="Arial"/>
                <w:color w:val="000000"/>
              </w:rPr>
            </w:pPr>
            <w:r>
              <w:rPr>
                <w:rFonts w:ascii="Arial" w:hAnsi="Arial" w:cs="Arial"/>
                <w:color w:val="000000"/>
              </w:rPr>
              <w:t>0</w:t>
            </w:r>
          </w:p>
        </w:tc>
        <w:tc>
          <w:tcPr>
            <w:tcW w:w="1100" w:type="dxa"/>
            <w:tcBorders>
              <w:top w:val="nil"/>
              <w:left w:val="single" w:sz="4" w:space="0" w:color="auto"/>
              <w:bottom w:val="nil"/>
              <w:right w:val="single" w:sz="4" w:space="0" w:color="auto"/>
            </w:tcBorders>
            <w:shd w:val="clear" w:color="auto" w:fill="auto"/>
            <w:noWrap/>
            <w:vAlign w:val="bottom"/>
            <w:hideMark/>
          </w:tcPr>
          <w:p w14:paraId="567487A4" w14:textId="77777777" w:rsidR="003B3357" w:rsidRDefault="003B3357">
            <w:pPr>
              <w:jc w:val="right"/>
              <w:rPr>
                <w:rFonts w:ascii="Arial" w:hAnsi="Arial" w:cs="Arial"/>
                <w:color w:val="000000"/>
              </w:rPr>
            </w:pPr>
            <w:r>
              <w:rPr>
                <w:rFonts w:ascii="Arial" w:hAnsi="Arial" w:cs="Arial"/>
                <w:color w:val="000000"/>
              </w:rPr>
              <w:t>0</w:t>
            </w:r>
          </w:p>
        </w:tc>
        <w:tc>
          <w:tcPr>
            <w:tcW w:w="1100" w:type="dxa"/>
            <w:tcBorders>
              <w:top w:val="nil"/>
              <w:left w:val="nil"/>
              <w:bottom w:val="nil"/>
              <w:right w:val="single" w:sz="4" w:space="0" w:color="auto"/>
            </w:tcBorders>
            <w:shd w:val="clear" w:color="auto" w:fill="auto"/>
            <w:noWrap/>
            <w:vAlign w:val="bottom"/>
            <w:hideMark/>
          </w:tcPr>
          <w:p w14:paraId="4F847738" w14:textId="77777777" w:rsidR="003B3357" w:rsidRDefault="003B3357">
            <w:pPr>
              <w:jc w:val="right"/>
              <w:rPr>
                <w:rFonts w:ascii="Arial" w:hAnsi="Arial" w:cs="Arial"/>
                <w:color w:val="000000"/>
              </w:rPr>
            </w:pPr>
            <w:r>
              <w:rPr>
                <w:rFonts w:ascii="Arial" w:hAnsi="Arial" w:cs="Arial"/>
                <w:color w:val="000000"/>
              </w:rPr>
              <w:t>0</w:t>
            </w:r>
          </w:p>
        </w:tc>
        <w:tc>
          <w:tcPr>
            <w:tcW w:w="1100" w:type="dxa"/>
            <w:tcBorders>
              <w:top w:val="nil"/>
              <w:left w:val="nil"/>
              <w:bottom w:val="nil"/>
              <w:right w:val="single" w:sz="4" w:space="0" w:color="auto"/>
            </w:tcBorders>
            <w:shd w:val="clear" w:color="auto" w:fill="auto"/>
            <w:noWrap/>
            <w:vAlign w:val="bottom"/>
            <w:hideMark/>
          </w:tcPr>
          <w:p w14:paraId="27DE749D" w14:textId="77777777" w:rsidR="003B3357" w:rsidRDefault="003B3357">
            <w:pPr>
              <w:jc w:val="right"/>
              <w:rPr>
                <w:rFonts w:ascii="Arial" w:hAnsi="Arial" w:cs="Arial"/>
                <w:color w:val="000000"/>
              </w:rPr>
            </w:pPr>
            <w:r>
              <w:rPr>
                <w:rFonts w:ascii="Arial" w:hAnsi="Arial" w:cs="Arial"/>
                <w:color w:val="000000"/>
              </w:rPr>
              <w:t>0</w:t>
            </w:r>
          </w:p>
        </w:tc>
      </w:tr>
      <w:tr w:rsidR="003B3357" w14:paraId="4209B8AF" w14:textId="77777777" w:rsidTr="003B3357">
        <w:trPr>
          <w:trHeight w:val="308"/>
        </w:trPr>
        <w:tc>
          <w:tcPr>
            <w:tcW w:w="3864" w:type="dxa"/>
            <w:tcBorders>
              <w:top w:val="nil"/>
              <w:left w:val="single" w:sz="4" w:space="0" w:color="auto"/>
              <w:bottom w:val="nil"/>
              <w:right w:val="single" w:sz="4" w:space="0" w:color="auto"/>
            </w:tcBorders>
            <w:shd w:val="clear" w:color="auto" w:fill="auto"/>
            <w:noWrap/>
            <w:vAlign w:val="bottom"/>
            <w:hideMark/>
          </w:tcPr>
          <w:p w14:paraId="71432A71" w14:textId="77777777" w:rsidR="003B3357" w:rsidRDefault="003B3357">
            <w:pPr>
              <w:rPr>
                <w:rFonts w:ascii="Arial" w:hAnsi="Arial" w:cs="Arial"/>
                <w:color w:val="000000"/>
              </w:rPr>
            </w:pPr>
            <w:r>
              <w:rPr>
                <w:rFonts w:ascii="Arial" w:hAnsi="Arial" w:cs="Arial"/>
                <w:color w:val="000000"/>
              </w:rPr>
              <w:t>Capital Grants and PIF Grants</w:t>
            </w:r>
          </w:p>
        </w:tc>
        <w:tc>
          <w:tcPr>
            <w:tcW w:w="1038" w:type="dxa"/>
            <w:tcBorders>
              <w:top w:val="nil"/>
              <w:left w:val="nil"/>
              <w:bottom w:val="nil"/>
              <w:right w:val="single" w:sz="4" w:space="0" w:color="auto"/>
            </w:tcBorders>
            <w:shd w:val="clear" w:color="auto" w:fill="auto"/>
            <w:noWrap/>
            <w:vAlign w:val="bottom"/>
            <w:hideMark/>
          </w:tcPr>
          <w:p w14:paraId="38C03526" w14:textId="77777777" w:rsidR="003B3357" w:rsidRDefault="003B3357">
            <w:pPr>
              <w:jc w:val="right"/>
              <w:rPr>
                <w:rFonts w:ascii="Arial" w:hAnsi="Arial" w:cs="Arial"/>
                <w:color w:val="000000"/>
              </w:rPr>
            </w:pPr>
            <w:r>
              <w:rPr>
                <w:rFonts w:ascii="Arial" w:hAnsi="Arial" w:cs="Arial"/>
                <w:color w:val="000000"/>
              </w:rPr>
              <w:t>14</w:t>
            </w:r>
          </w:p>
        </w:tc>
        <w:tc>
          <w:tcPr>
            <w:tcW w:w="1038" w:type="dxa"/>
            <w:tcBorders>
              <w:top w:val="nil"/>
              <w:left w:val="nil"/>
              <w:bottom w:val="nil"/>
              <w:right w:val="nil"/>
            </w:tcBorders>
            <w:shd w:val="clear" w:color="auto" w:fill="auto"/>
            <w:noWrap/>
            <w:vAlign w:val="bottom"/>
            <w:hideMark/>
          </w:tcPr>
          <w:p w14:paraId="40C3D5A3" w14:textId="77777777" w:rsidR="003B3357" w:rsidRDefault="003B3357">
            <w:pPr>
              <w:jc w:val="right"/>
              <w:rPr>
                <w:rFonts w:ascii="Arial" w:hAnsi="Arial" w:cs="Arial"/>
                <w:color w:val="000000"/>
              </w:rPr>
            </w:pPr>
            <w:r>
              <w:rPr>
                <w:rFonts w:ascii="Arial" w:hAnsi="Arial" w:cs="Arial"/>
                <w:color w:val="000000"/>
              </w:rPr>
              <w:t>93</w:t>
            </w:r>
          </w:p>
        </w:tc>
        <w:tc>
          <w:tcPr>
            <w:tcW w:w="1100" w:type="dxa"/>
            <w:tcBorders>
              <w:top w:val="nil"/>
              <w:left w:val="single" w:sz="4" w:space="0" w:color="auto"/>
              <w:bottom w:val="nil"/>
              <w:right w:val="single" w:sz="4" w:space="0" w:color="auto"/>
            </w:tcBorders>
            <w:shd w:val="clear" w:color="auto" w:fill="auto"/>
            <w:noWrap/>
            <w:vAlign w:val="bottom"/>
            <w:hideMark/>
          </w:tcPr>
          <w:p w14:paraId="33E79818" w14:textId="77777777" w:rsidR="003B3357" w:rsidRDefault="003B3357">
            <w:pPr>
              <w:jc w:val="right"/>
              <w:rPr>
                <w:rFonts w:ascii="Arial" w:hAnsi="Arial" w:cs="Arial"/>
                <w:color w:val="000000"/>
              </w:rPr>
            </w:pPr>
            <w:r>
              <w:rPr>
                <w:rFonts w:ascii="Arial" w:hAnsi="Arial" w:cs="Arial"/>
                <w:color w:val="000000"/>
              </w:rPr>
              <w:t>178</w:t>
            </w:r>
          </w:p>
        </w:tc>
        <w:tc>
          <w:tcPr>
            <w:tcW w:w="1100" w:type="dxa"/>
            <w:tcBorders>
              <w:top w:val="nil"/>
              <w:left w:val="nil"/>
              <w:bottom w:val="nil"/>
              <w:right w:val="single" w:sz="4" w:space="0" w:color="auto"/>
            </w:tcBorders>
            <w:shd w:val="clear" w:color="auto" w:fill="auto"/>
            <w:noWrap/>
            <w:vAlign w:val="bottom"/>
            <w:hideMark/>
          </w:tcPr>
          <w:p w14:paraId="56C2AE4E" w14:textId="77777777" w:rsidR="003B3357" w:rsidRDefault="003B3357">
            <w:pPr>
              <w:jc w:val="right"/>
              <w:rPr>
                <w:rFonts w:ascii="Arial" w:hAnsi="Arial" w:cs="Arial"/>
                <w:color w:val="000000"/>
              </w:rPr>
            </w:pPr>
            <w:r>
              <w:rPr>
                <w:rFonts w:ascii="Arial" w:hAnsi="Arial" w:cs="Arial"/>
                <w:color w:val="000000"/>
              </w:rPr>
              <w:t>0</w:t>
            </w:r>
          </w:p>
        </w:tc>
        <w:tc>
          <w:tcPr>
            <w:tcW w:w="1100" w:type="dxa"/>
            <w:tcBorders>
              <w:top w:val="nil"/>
              <w:left w:val="nil"/>
              <w:bottom w:val="nil"/>
              <w:right w:val="single" w:sz="4" w:space="0" w:color="auto"/>
            </w:tcBorders>
            <w:shd w:val="clear" w:color="auto" w:fill="auto"/>
            <w:noWrap/>
            <w:vAlign w:val="bottom"/>
            <w:hideMark/>
          </w:tcPr>
          <w:p w14:paraId="05A5BB29" w14:textId="77777777" w:rsidR="003B3357" w:rsidRDefault="003B3357">
            <w:pPr>
              <w:jc w:val="right"/>
              <w:rPr>
                <w:rFonts w:ascii="Arial" w:hAnsi="Arial" w:cs="Arial"/>
                <w:color w:val="000000"/>
              </w:rPr>
            </w:pPr>
            <w:r>
              <w:rPr>
                <w:rFonts w:ascii="Arial" w:hAnsi="Arial" w:cs="Arial"/>
                <w:color w:val="000000"/>
              </w:rPr>
              <w:t>0</w:t>
            </w:r>
          </w:p>
        </w:tc>
      </w:tr>
      <w:tr w:rsidR="003B3357" w14:paraId="37C37445" w14:textId="77777777" w:rsidTr="003B3357">
        <w:trPr>
          <w:trHeight w:val="308"/>
        </w:trPr>
        <w:tc>
          <w:tcPr>
            <w:tcW w:w="3864" w:type="dxa"/>
            <w:tcBorders>
              <w:top w:val="nil"/>
              <w:left w:val="single" w:sz="4" w:space="0" w:color="auto"/>
              <w:bottom w:val="nil"/>
              <w:right w:val="single" w:sz="4" w:space="0" w:color="auto"/>
            </w:tcBorders>
            <w:shd w:val="clear" w:color="auto" w:fill="auto"/>
            <w:noWrap/>
            <w:vAlign w:val="bottom"/>
            <w:hideMark/>
          </w:tcPr>
          <w:p w14:paraId="09FEF289" w14:textId="77777777" w:rsidR="003B3357" w:rsidRDefault="003B3357">
            <w:pPr>
              <w:rPr>
                <w:rFonts w:ascii="Arial" w:hAnsi="Arial" w:cs="Arial"/>
                <w:color w:val="000000"/>
              </w:rPr>
            </w:pPr>
            <w:r>
              <w:rPr>
                <w:rFonts w:ascii="Arial" w:hAnsi="Arial" w:cs="Arial"/>
                <w:color w:val="000000"/>
              </w:rPr>
              <w:t>Reserves</w:t>
            </w:r>
          </w:p>
        </w:tc>
        <w:tc>
          <w:tcPr>
            <w:tcW w:w="1038" w:type="dxa"/>
            <w:tcBorders>
              <w:top w:val="nil"/>
              <w:left w:val="nil"/>
              <w:bottom w:val="nil"/>
              <w:right w:val="single" w:sz="4" w:space="0" w:color="auto"/>
            </w:tcBorders>
            <w:shd w:val="clear" w:color="auto" w:fill="auto"/>
            <w:noWrap/>
            <w:vAlign w:val="bottom"/>
            <w:hideMark/>
          </w:tcPr>
          <w:p w14:paraId="14AB26E6" w14:textId="77777777" w:rsidR="003B3357" w:rsidRDefault="003B3357">
            <w:pPr>
              <w:jc w:val="right"/>
              <w:rPr>
                <w:rFonts w:ascii="Arial" w:hAnsi="Arial" w:cs="Arial"/>
                <w:color w:val="000000"/>
              </w:rPr>
            </w:pPr>
            <w:r>
              <w:rPr>
                <w:rFonts w:ascii="Arial" w:hAnsi="Arial" w:cs="Arial"/>
                <w:color w:val="000000"/>
              </w:rPr>
              <w:t>6,662</w:t>
            </w:r>
          </w:p>
        </w:tc>
        <w:tc>
          <w:tcPr>
            <w:tcW w:w="1038" w:type="dxa"/>
            <w:tcBorders>
              <w:top w:val="nil"/>
              <w:left w:val="nil"/>
              <w:bottom w:val="nil"/>
              <w:right w:val="nil"/>
            </w:tcBorders>
            <w:shd w:val="clear" w:color="auto" w:fill="auto"/>
            <w:noWrap/>
            <w:vAlign w:val="bottom"/>
            <w:hideMark/>
          </w:tcPr>
          <w:p w14:paraId="04FFF0B8" w14:textId="10DAE082" w:rsidR="003B3357" w:rsidRDefault="003B3357">
            <w:pPr>
              <w:jc w:val="right"/>
              <w:rPr>
                <w:rFonts w:ascii="Arial" w:hAnsi="Arial" w:cs="Arial"/>
                <w:color w:val="000000"/>
              </w:rPr>
            </w:pPr>
            <w:r>
              <w:rPr>
                <w:rFonts w:ascii="Arial" w:hAnsi="Arial" w:cs="Arial"/>
                <w:color w:val="000000"/>
              </w:rPr>
              <w:t>14,8</w:t>
            </w:r>
            <w:r w:rsidR="00CF186A">
              <w:rPr>
                <w:rFonts w:ascii="Arial" w:hAnsi="Arial" w:cs="Arial"/>
                <w:color w:val="000000"/>
              </w:rPr>
              <w:t>46</w:t>
            </w:r>
          </w:p>
        </w:tc>
        <w:tc>
          <w:tcPr>
            <w:tcW w:w="1100" w:type="dxa"/>
            <w:tcBorders>
              <w:top w:val="nil"/>
              <w:left w:val="single" w:sz="4" w:space="0" w:color="auto"/>
              <w:bottom w:val="nil"/>
              <w:right w:val="single" w:sz="4" w:space="0" w:color="auto"/>
            </w:tcBorders>
            <w:shd w:val="clear" w:color="auto" w:fill="auto"/>
            <w:noWrap/>
            <w:vAlign w:val="bottom"/>
            <w:hideMark/>
          </w:tcPr>
          <w:p w14:paraId="69C267EE" w14:textId="77777777" w:rsidR="003B3357" w:rsidRDefault="003B3357">
            <w:pPr>
              <w:jc w:val="right"/>
              <w:rPr>
                <w:rFonts w:ascii="Arial" w:hAnsi="Arial" w:cs="Arial"/>
                <w:color w:val="000000"/>
              </w:rPr>
            </w:pPr>
            <w:r>
              <w:rPr>
                <w:rFonts w:ascii="Arial" w:hAnsi="Arial" w:cs="Arial"/>
                <w:color w:val="000000"/>
              </w:rPr>
              <w:t>0</w:t>
            </w:r>
          </w:p>
        </w:tc>
        <w:tc>
          <w:tcPr>
            <w:tcW w:w="1100" w:type="dxa"/>
            <w:tcBorders>
              <w:top w:val="nil"/>
              <w:left w:val="nil"/>
              <w:bottom w:val="nil"/>
              <w:right w:val="single" w:sz="4" w:space="0" w:color="auto"/>
            </w:tcBorders>
            <w:shd w:val="clear" w:color="auto" w:fill="auto"/>
            <w:noWrap/>
            <w:vAlign w:val="bottom"/>
            <w:hideMark/>
          </w:tcPr>
          <w:p w14:paraId="621A124A" w14:textId="77777777" w:rsidR="003B3357" w:rsidRDefault="003B3357">
            <w:pPr>
              <w:jc w:val="right"/>
              <w:rPr>
                <w:rFonts w:ascii="Arial" w:hAnsi="Arial" w:cs="Arial"/>
                <w:color w:val="000000"/>
              </w:rPr>
            </w:pPr>
            <w:r>
              <w:rPr>
                <w:rFonts w:ascii="Arial" w:hAnsi="Arial" w:cs="Arial"/>
                <w:color w:val="000000"/>
              </w:rPr>
              <w:t>0</w:t>
            </w:r>
          </w:p>
        </w:tc>
        <w:tc>
          <w:tcPr>
            <w:tcW w:w="1100" w:type="dxa"/>
            <w:tcBorders>
              <w:top w:val="nil"/>
              <w:left w:val="nil"/>
              <w:bottom w:val="nil"/>
              <w:right w:val="single" w:sz="4" w:space="0" w:color="auto"/>
            </w:tcBorders>
            <w:shd w:val="clear" w:color="auto" w:fill="auto"/>
            <w:noWrap/>
            <w:vAlign w:val="bottom"/>
            <w:hideMark/>
          </w:tcPr>
          <w:p w14:paraId="1D3C9240" w14:textId="77777777" w:rsidR="003B3357" w:rsidRDefault="003B3357">
            <w:pPr>
              <w:jc w:val="right"/>
              <w:rPr>
                <w:rFonts w:ascii="Arial" w:hAnsi="Arial" w:cs="Arial"/>
                <w:color w:val="000000"/>
              </w:rPr>
            </w:pPr>
            <w:r>
              <w:rPr>
                <w:rFonts w:ascii="Arial" w:hAnsi="Arial" w:cs="Arial"/>
                <w:color w:val="000000"/>
              </w:rPr>
              <w:t>0</w:t>
            </w:r>
          </w:p>
        </w:tc>
      </w:tr>
      <w:tr w:rsidR="003B3357" w14:paraId="4D9C2367" w14:textId="77777777" w:rsidTr="003B3357">
        <w:trPr>
          <w:trHeight w:val="308"/>
        </w:trPr>
        <w:tc>
          <w:tcPr>
            <w:tcW w:w="3864" w:type="dxa"/>
            <w:tcBorders>
              <w:top w:val="nil"/>
              <w:left w:val="single" w:sz="4" w:space="0" w:color="auto"/>
              <w:bottom w:val="nil"/>
              <w:right w:val="single" w:sz="4" w:space="0" w:color="auto"/>
            </w:tcBorders>
            <w:shd w:val="clear" w:color="auto" w:fill="auto"/>
            <w:noWrap/>
            <w:vAlign w:val="bottom"/>
            <w:hideMark/>
          </w:tcPr>
          <w:p w14:paraId="60505ECB" w14:textId="77777777" w:rsidR="003B3357" w:rsidRDefault="003B3357">
            <w:pPr>
              <w:rPr>
                <w:rFonts w:ascii="Arial" w:hAnsi="Arial" w:cs="Arial"/>
                <w:color w:val="000000"/>
              </w:rPr>
            </w:pPr>
            <w:r>
              <w:rPr>
                <w:rFonts w:ascii="Arial" w:hAnsi="Arial" w:cs="Arial"/>
                <w:color w:val="000000"/>
              </w:rPr>
              <w:t>Revenue</w:t>
            </w:r>
          </w:p>
        </w:tc>
        <w:tc>
          <w:tcPr>
            <w:tcW w:w="1038" w:type="dxa"/>
            <w:tcBorders>
              <w:top w:val="nil"/>
              <w:left w:val="nil"/>
              <w:bottom w:val="nil"/>
              <w:right w:val="single" w:sz="4" w:space="0" w:color="auto"/>
            </w:tcBorders>
            <w:shd w:val="clear" w:color="auto" w:fill="auto"/>
            <w:noWrap/>
            <w:vAlign w:val="bottom"/>
            <w:hideMark/>
          </w:tcPr>
          <w:p w14:paraId="065188E3" w14:textId="77777777" w:rsidR="003B3357" w:rsidRDefault="003B3357">
            <w:pPr>
              <w:jc w:val="right"/>
              <w:rPr>
                <w:rFonts w:ascii="Arial" w:hAnsi="Arial" w:cs="Arial"/>
                <w:color w:val="000000"/>
              </w:rPr>
            </w:pPr>
            <w:r>
              <w:rPr>
                <w:rFonts w:ascii="Arial" w:hAnsi="Arial" w:cs="Arial"/>
                <w:color w:val="000000"/>
              </w:rPr>
              <w:t>6,226</w:t>
            </w:r>
          </w:p>
        </w:tc>
        <w:tc>
          <w:tcPr>
            <w:tcW w:w="1038" w:type="dxa"/>
            <w:tcBorders>
              <w:top w:val="nil"/>
              <w:left w:val="nil"/>
              <w:bottom w:val="nil"/>
              <w:right w:val="nil"/>
            </w:tcBorders>
            <w:shd w:val="clear" w:color="auto" w:fill="auto"/>
            <w:noWrap/>
            <w:vAlign w:val="bottom"/>
            <w:hideMark/>
          </w:tcPr>
          <w:p w14:paraId="00FD189A" w14:textId="40F6C57C" w:rsidR="003B3357" w:rsidRDefault="003B3357">
            <w:pPr>
              <w:jc w:val="right"/>
              <w:rPr>
                <w:rFonts w:ascii="Arial" w:hAnsi="Arial" w:cs="Arial"/>
                <w:color w:val="000000"/>
              </w:rPr>
            </w:pPr>
            <w:r>
              <w:rPr>
                <w:rFonts w:ascii="Arial" w:hAnsi="Arial" w:cs="Arial"/>
                <w:color w:val="000000"/>
              </w:rPr>
              <w:t>6,1</w:t>
            </w:r>
            <w:r w:rsidR="00CF186A">
              <w:rPr>
                <w:rFonts w:ascii="Arial" w:hAnsi="Arial" w:cs="Arial"/>
                <w:color w:val="000000"/>
              </w:rPr>
              <w:t>51</w:t>
            </w:r>
          </w:p>
        </w:tc>
        <w:tc>
          <w:tcPr>
            <w:tcW w:w="1100" w:type="dxa"/>
            <w:tcBorders>
              <w:top w:val="nil"/>
              <w:left w:val="single" w:sz="4" w:space="0" w:color="auto"/>
              <w:bottom w:val="nil"/>
              <w:right w:val="single" w:sz="4" w:space="0" w:color="auto"/>
            </w:tcBorders>
            <w:shd w:val="clear" w:color="auto" w:fill="auto"/>
            <w:noWrap/>
            <w:vAlign w:val="bottom"/>
            <w:hideMark/>
          </w:tcPr>
          <w:p w14:paraId="08A57EE6" w14:textId="294E15B1" w:rsidR="003B3357" w:rsidRDefault="00CF186A">
            <w:pPr>
              <w:jc w:val="right"/>
              <w:rPr>
                <w:rFonts w:ascii="Arial" w:hAnsi="Arial" w:cs="Arial"/>
                <w:color w:val="000000"/>
              </w:rPr>
            </w:pPr>
            <w:r>
              <w:rPr>
                <w:rFonts w:ascii="Arial" w:hAnsi="Arial" w:cs="Arial"/>
                <w:color w:val="000000"/>
              </w:rPr>
              <w:t>7</w:t>
            </w:r>
            <w:r w:rsidR="003B3357">
              <w:rPr>
                <w:rFonts w:ascii="Arial" w:hAnsi="Arial" w:cs="Arial"/>
                <w:color w:val="000000"/>
              </w:rPr>
              <w:t>,</w:t>
            </w:r>
            <w:r>
              <w:rPr>
                <w:rFonts w:ascii="Arial" w:hAnsi="Arial" w:cs="Arial"/>
                <w:color w:val="000000"/>
              </w:rPr>
              <w:t>573</w:t>
            </w:r>
          </w:p>
        </w:tc>
        <w:tc>
          <w:tcPr>
            <w:tcW w:w="1100" w:type="dxa"/>
            <w:tcBorders>
              <w:top w:val="nil"/>
              <w:left w:val="nil"/>
              <w:bottom w:val="nil"/>
              <w:right w:val="single" w:sz="4" w:space="0" w:color="auto"/>
            </w:tcBorders>
            <w:shd w:val="clear" w:color="auto" w:fill="auto"/>
            <w:noWrap/>
            <w:vAlign w:val="bottom"/>
            <w:hideMark/>
          </w:tcPr>
          <w:p w14:paraId="500204D0" w14:textId="21A51615" w:rsidR="003B3357" w:rsidRDefault="00CF186A">
            <w:pPr>
              <w:jc w:val="right"/>
              <w:rPr>
                <w:rFonts w:ascii="Arial" w:hAnsi="Arial" w:cs="Arial"/>
                <w:color w:val="000000"/>
              </w:rPr>
            </w:pPr>
            <w:r>
              <w:rPr>
                <w:rFonts w:ascii="Arial" w:hAnsi="Arial" w:cs="Arial"/>
                <w:color w:val="000000"/>
              </w:rPr>
              <w:t>7</w:t>
            </w:r>
            <w:r w:rsidR="003B3357">
              <w:rPr>
                <w:rFonts w:ascii="Arial" w:hAnsi="Arial" w:cs="Arial"/>
                <w:color w:val="000000"/>
              </w:rPr>
              <w:t>,</w:t>
            </w:r>
            <w:r>
              <w:rPr>
                <w:rFonts w:ascii="Arial" w:hAnsi="Arial" w:cs="Arial"/>
                <w:color w:val="000000"/>
              </w:rPr>
              <w:t>282</w:t>
            </w:r>
          </w:p>
        </w:tc>
        <w:tc>
          <w:tcPr>
            <w:tcW w:w="1100" w:type="dxa"/>
            <w:tcBorders>
              <w:top w:val="nil"/>
              <w:left w:val="nil"/>
              <w:bottom w:val="nil"/>
              <w:right w:val="single" w:sz="4" w:space="0" w:color="auto"/>
            </w:tcBorders>
            <w:shd w:val="clear" w:color="auto" w:fill="auto"/>
            <w:noWrap/>
            <w:vAlign w:val="bottom"/>
            <w:hideMark/>
          </w:tcPr>
          <w:p w14:paraId="787F7AEF" w14:textId="034351B0" w:rsidR="003B3357" w:rsidRDefault="003B3357">
            <w:pPr>
              <w:jc w:val="right"/>
              <w:rPr>
                <w:rFonts w:ascii="Arial" w:hAnsi="Arial" w:cs="Arial"/>
                <w:color w:val="000000"/>
              </w:rPr>
            </w:pPr>
            <w:r>
              <w:rPr>
                <w:rFonts w:ascii="Arial" w:hAnsi="Arial" w:cs="Arial"/>
                <w:color w:val="000000"/>
              </w:rPr>
              <w:t>7,3</w:t>
            </w:r>
            <w:r w:rsidR="00CF186A">
              <w:rPr>
                <w:rFonts w:ascii="Arial" w:hAnsi="Arial" w:cs="Arial"/>
                <w:color w:val="000000"/>
              </w:rPr>
              <w:t>3</w:t>
            </w:r>
            <w:r>
              <w:rPr>
                <w:rFonts w:ascii="Arial" w:hAnsi="Arial" w:cs="Arial"/>
                <w:color w:val="000000"/>
              </w:rPr>
              <w:t>0</w:t>
            </w:r>
          </w:p>
        </w:tc>
      </w:tr>
      <w:tr w:rsidR="003B3357" w14:paraId="10F05548" w14:textId="77777777" w:rsidTr="003B3357">
        <w:trPr>
          <w:trHeight w:val="308"/>
        </w:trPr>
        <w:tc>
          <w:tcPr>
            <w:tcW w:w="3864" w:type="dxa"/>
            <w:tcBorders>
              <w:top w:val="nil"/>
              <w:left w:val="single" w:sz="4" w:space="0" w:color="auto"/>
              <w:bottom w:val="nil"/>
              <w:right w:val="single" w:sz="4" w:space="0" w:color="auto"/>
            </w:tcBorders>
            <w:shd w:val="clear" w:color="auto" w:fill="auto"/>
            <w:noWrap/>
            <w:vAlign w:val="bottom"/>
            <w:hideMark/>
          </w:tcPr>
          <w:p w14:paraId="7A06F491" w14:textId="77777777" w:rsidR="003B3357" w:rsidRDefault="003B3357">
            <w:pPr>
              <w:rPr>
                <w:rFonts w:ascii="Arial" w:hAnsi="Arial" w:cs="Arial"/>
                <w:color w:val="000000"/>
              </w:rPr>
            </w:pPr>
            <w:r>
              <w:rPr>
                <w:rFonts w:ascii="Arial" w:hAnsi="Arial" w:cs="Arial"/>
                <w:color w:val="000000"/>
              </w:rPr>
              <w:t> </w:t>
            </w:r>
          </w:p>
        </w:tc>
        <w:tc>
          <w:tcPr>
            <w:tcW w:w="1038" w:type="dxa"/>
            <w:tcBorders>
              <w:top w:val="nil"/>
              <w:left w:val="nil"/>
              <w:bottom w:val="nil"/>
              <w:right w:val="single" w:sz="4" w:space="0" w:color="auto"/>
            </w:tcBorders>
            <w:shd w:val="clear" w:color="auto" w:fill="auto"/>
            <w:noWrap/>
            <w:vAlign w:val="bottom"/>
            <w:hideMark/>
          </w:tcPr>
          <w:p w14:paraId="77E149D2" w14:textId="77777777" w:rsidR="003B3357" w:rsidRDefault="003B3357">
            <w:pPr>
              <w:rPr>
                <w:rFonts w:ascii="Arial" w:hAnsi="Arial" w:cs="Arial"/>
                <w:color w:val="000000"/>
              </w:rPr>
            </w:pPr>
            <w:r>
              <w:rPr>
                <w:rFonts w:ascii="Arial" w:hAnsi="Arial" w:cs="Arial"/>
                <w:color w:val="000000"/>
              </w:rPr>
              <w:t> </w:t>
            </w:r>
          </w:p>
        </w:tc>
        <w:tc>
          <w:tcPr>
            <w:tcW w:w="1038" w:type="dxa"/>
            <w:tcBorders>
              <w:top w:val="nil"/>
              <w:left w:val="nil"/>
              <w:bottom w:val="nil"/>
              <w:right w:val="nil"/>
            </w:tcBorders>
            <w:shd w:val="clear" w:color="auto" w:fill="auto"/>
            <w:noWrap/>
            <w:vAlign w:val="bottom"/>
            <w:hideMark/>
          </w:tcPr>
          <w:p w14:paraId="18D9F3E7" w14:textId="77777777" w:rsidR="003B3357" w:rsidRDefault="003B3357">
            <w:pPr>
              <w:rPr>
                <w:rFonts w:ascii="Arial" w:hAnsi="Arial" w:cs="Arial"/>
                <w:color w:val="000000"/>
              </w:rPr>
            </w:pPr>
            <w:r>
              <w:rPr>
                <w:rFonts w:ascii="Arial" w:hAnsi="Arial" w:cs="Arial"/>
                <w:color w:val="000000"/>
              </w:rPr>
              <w:t> </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7C6EAD12" w14:textId="77777777" w:rsidR="003B3357" w:rsidRDefault="003B3357">
            <w:pPr>
              <w:rPr>
                <w:rFonts w:ascii="Arial" w:hAnsi="Arial" w:cs="Arial"/>
                <w:color w:val="000000"/>
              </w:rPr>
            </w:pPr>
            <w:r>
              <w:rPr>
                <w:rFonts w:ascii="Arial" w:hAnsi="Arial" w:cs="Arial"/>
                <w:color w:val="000000"/>
              </w:rPr>
              <w:t> </w:t>
            </w:r>
          </w:p>
        </w:tc>
        <w:tc>
          <w:tcPr>
            <w:tcW w:w="1100" w:type="dxa"/>
            <w:tcBorders>
              <w:top w:val="nil"/>
              <w:left w:val="nil"/>
              <w:bottom w:val="nil"/>
              <w:right w:val="single" w:sz="4" w:space="0" w:color="auto"/>
            </w:tcBorders>
            <w:shd w:val="clear" w:color="auto" w:fill="auto"/>
            <w:noWrap/>
            <w:vAlign w:val="bottom"/>
            <w:hideMark/>
          </w:tcPr>
          <w:p w14:paraId="3CF288AB" w14:textId="77777777" w:rsidR="003B3357" w:rsidRDefault="003B3357">
            <w:pPr>
              <w:rPr>
                <w:rFonts w:ascii="Arial" w:hAnsi="Arial" w:cs="Arial"/>
                <w:color w:val="000000"/>
              </w:rPr>
            </w:pPr>
            <w:r>
              <w:rPr>
                <w:rFonts w:ascii="Arial" w:hAnsi="Arial" w:cs="Arial"/>
                <w:color w:val="000000"/>
              </w:rPr>
              <w:t> </w:t>
            </w:r>
          </w:p>
        </w:tc>
        <w:tc>
          <w:tcPr>
            <w:tcW w:w="1100" w:type="dxa"/>
            <w:tcBorders>
              <w:top w:val="nil"/>
              <w:left w:val="nil"/>
              <w:bottom w:val="nil"/>
              <w:right w:val="single" w:sz="4" w:space="0" w:color="auto"/>
            </w:tcBorders>
            <w:shd w:val="clear" w:color="auto" w:fill="auto"/>
            <w:noWrap/>
            <w:vAlign w:val="bottom"/>
            <w:hideMark/>
          </w:tcPr>
          <w:p w14:paraId="3F71EF26" w14:textId="77777777" w:rsidR="003B3357" w:rsidRDefault="003B3357">
            <w:pPr>
              <w:rPr>
                <w:rFonts w:ascii="Arial" w:hAnsi="Arial" w:cs="Arial"/>
                <w:color w:val="000000"/>
              </w:rPr>
            </w:pPr>
            <w:r>
              <w:rPr>
                <w:rFonts w:ascii="Arial" w:hAnsi="Arial" w:cs="Arial"/>
                <w:color w:val="000000"/>
              </w:rPr>
              <w:t> </w:t>
            </w:r>
          </w:p>
        </w:tc>
      </w:tr>
      <w:tr w:rsidR="003B3357" w14:paraId="03B56C8F" w14:textId="77777777" w:rsidTr="003B3357">
        <w:trPr>
          <w:trHeight w:val="323"/>
        </w:trPr>
        <w:tc>
          <w:tcPr>
            <w:tcW w:w="3864" w:type="dxa"/>
            <w:tcBorders>
              <w:top w:val="nil"/>
              <w:left w:val="single" w:sz="4" w:space="0" w:color="auto"/>
              <w:bottom w:val="single" w:sz="4" w:space="0" w:color="auto"/>
              <w:right w:val="single" w:sz="4" w:space="0" w:color="auto"/>
            </w:tcBorders>
            <w:shd w:val="clear" w:color="auto" w:fill="auto"/>
            <w:noWrap/>
            <w:vAlign w:val="bottom"/>
            <w:hideMark/>
          </w:tcPr>
          <w:p w14:paraId="6F0461C7" w14:textId="77777777" w:rsidR="003B3357" w:rsidRDefault="003B3357">
            <w:pPr>
              <w:rPr>
                <w:rFonts w:ascii="Arial" w:hAnsi="Arial" w:cs="Arial"/>
                <w:b/>
                <w:bCs/>
                <w:color w:val="000000"/>
              </w:rPr>
            </w:pPr>
            <w:r>
              <w:rPr>
                <w:rFonts w:ascii="Arial" w:hAnsi="Arial" w:cs="Arial"/>
                <w:b/>
                <w:bCs/>
                <w:color w:val="000000"/>
              </w:rPr>
              <w:t>Net Financing Need for the Year</w:t>
            </w:r>
          </w:p>
        </w:tc>
        <w:tc>
          <w:tcPr>
            <w:tcW w:w="1038" w:type="dxa"/>
            <w:tcBorders>
              <w:top w:val="single" w:sz="4" w:space="0" w:color="auto"/>
              <w:left w:val="nil"/>
              <w:bottom w:val="single" w:sz="4" w:space="0" w:color="auto"/>
              <w:right w:val="single" w:sz="4" w:space="0" w:color="auto"/>
            </w:tcBorders>
            <w:shd w:val="clear" w:color="auto" w:fill="auto"/>
            <w:noWrap/>
            <w:vAlign w:val="bottom"/>
            <w:hideMark/>
          </w:tcPr>
          <w:p w14:paraId="1627F918" w14:textId="77777777" w:rsidR="003B3357" w:rsidRDefault="003B3357">
            <w:pPr>
              <w:jc w:val="right"/>
              <w:rPr>
                <w:rFonts w:ascii="Arial" w:hAnsi="Arial" w:cs="Arial"/>
                <w:b/>
                <w:bCs/>
                <w:color w:val="000000"/>
              </w:rPr>
            </w:pPr>
            <w:r>
              <w:rPr>
                <w:rFonts w:ascii="Arial" w:hAnsi="Arial" w:cs="Arial"/>
                <w:b/>
                <w:bCs/>
                <w:color w:val="000000"/>
              </w:rPr>
              <w:t>11,000</w:t>
            </w:r>
          </w:p>
        </w:tc>
        <w:tc>
          <w:tcPr>
            <w:tcW w:w="1038" w:type="dxa"/>
            <w:tcBorders>
              <w:top w:val="single" w:sz="4" w:space="0" w:color="auto"/>
              <w:left w:val="nil"/>
              <w:bottom w:val="single" w:sz="4" w:space="0" w:color="auto"/>
              <w:right w:val="single" w:sz="4" w:space="0" w:color="auto"/>
            </w:tcBorders>
            <w:shd w:val="clear" w:color="auto" w:fill="auto"/>
            <w:noWrap/>
            <w:vAlign w:val="bottom"/>
            <w:hideMark/>
          </w:tcPr>
          <w:p w14:paraId="168BD37B" w14:textId="77777777" w:rsidR="003B3357" w:rsidRDefault="003B3357">
            <w:pPr>
              <w:jc w:val="right"/>
              <w:rPr>
                <w:rFonts w:ascii="Arial" w:hAnsi="Arial" w:cs="Arial"/>
                <w:b/>
                <w:bCs/>
                <w:color w:val="000000"/>
              </w:rPr>
            </w:pPr>
            <w:r>
              <w:rPr>
                <w:rFonts w:ascii="Arial" w:hAnsi="Arial" w:cs="Arial"/>
                <w:b/>
                <w:bCs/>
                <w:color w:val="000000"/>
              </w:rPr>
              <w:t>0</w:t>
            </w:r>
          </w:p>
        </w:tc>
        <w:tc>
          <w:tcPr>
            <w:tcW w:w="1100" w:type="dxa"/>
            <w:tcBorders>
              <w:top w:val="nil"/>
              <w:left w:val="nil"/>
              <w:bottom w:val="single" w:sz="4" w:space="0" w:color="auto"/>
              <w:right w:val="single" w:sz="4" w:space="0" w:color="auto"/>
            </w:tcBorders>
            <w:shd w:val="clear" w:color="auto" w:fill="auto"/>
            <w:noWrap/>
            <w:vAlign w:val="bottom"/>
            <w:hideMark/>
          </w:tcPr>
          <w:p w14:paraId="0D3CCD49" w14:textId="0DD4863F" w:rsidR="003B3357" w:rsidRDefault="003B3357">
            <w:pPr>
              <w:jc w:val="right"/>
              <w:rPr>
                <w:rFonts w:ascii="Arial" w:hAnsi="Arial" w:cs="Arial"/>
                <w:b/>
                <w:bCs/>
                <w:color w:val="000000"/>
              </w:rPr>
            </w:pPr>
            <w:r>
              <w:rPr>
                <w:rFonts w:ascii="Arial" w:hAnsi="Arial" w:cs="Arial"/>
                <w:b/>
                <w:bCs/>
                <w:color w:val="000000"/>
              </w:rPr>
              <w:t>1</w:t>
            </w:r>
            <w:r w:rsidR="00CF186A">
              <w:rPr>
                <w:rFonts w:ascii="Arial" w:hAnsi="Arial" w:cs="Arial"/>
                <w:b/>
                <w:bCs/>
                <w:color w:val="000000"/>
              </w:rPr>
              <w:t>2</w:t>
            </w:r>
            <w:r>
              <w:rPr>
                <w:rFonts w:ascii="Arial" w:hAnsi="Arial" w:cs="Arial"/>
                <w:b/>
                <w:bCs/>
                <w:color w:val="000000"/>
              </w:rPr>
              <w:t>,000</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709C1473" w14:textId="40856B53" w:rsidR="003B3357" w:rsidRDefault="00CF186A">
            <w:pPr>
              <w:jc w:val="right"/>
              <w:rPr>
                <w:rFonts w:ascii="Arial" w:hAnsi="Arial" w:cs="Arial"/>
                <w:b/>
                <w:bCs/>
                <w:color w:val="000000"/>
              </w:rPr>
            </w:pPr>
            <w:r>
              <w:rPr>
                <w:rFonts w:ascii="Arial" w:hAnsi="Arial" w:cs="Arial"/>
                <w:b/>
                <w:bCs/>
                <w:color w:val="000000"/>
              </w:rPr>
              <w:t>4</w:t>
            </w:r>
            <w:r w:rsidR="003B3357">
              <w:rPr>
                <w:rFonts w:ascii="Arial" w:hAnsi="Arial" w:cs="Arial"/>
                <w:b/>
                <w:bCs/>
                <w:color w:val="000000"/>
              </w:rPr>
              <w:t>,000</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2EC9830E" w14:textId="756983F5" w:rsidR="003B3357" w:rsidRDefault="003B3357">
            <w:pPr>
              <w:jc w:val="right"/>
              <w:rPr>
                <w:rFonts w:ascii="Arial" w:hAnsi="Arial" w:cs="Arial"/>
                <w:b/>
                <w:bCs/>
                <w:color w:val="000000"/>
              </w:rPr>
            </w:pPr>
            <w:r>
              <w:rPr>
                <w:rFonts w:ascii="Arial" w:hAnsi="Arial" w:cs="Arial"/>
                <w:b/>
                <w:bCs/>
                <w:color w:val="000000"/>
              </w:rPr>
              <w:t>1</w:t>
            </w:r>
            <w:r w:rsidR="00CF186A">
              <w:rPr>
                <w:rFonts w:ascii="Arial" w:hAnsi="Arial" w:cs="Arial"/>
                <w:b/>
                <w:bCs/>
                <w:color w:val="000000"/>
              </w:rPr>
              <w:t>0</w:t>
            </w:r>
            <w:r>
              <w:rPr>
                <w:rFonts w:ascii="Arial" w:hAnsi="Arial" w:cs="Arial"/>
                <w:b/>
                <w:bCs/>
                <w:color w:val="000000"/>
              </w:rPr>
              <w:t>,500</w:t>
            </w:r>
          </w:p>
        </w:tc>
      </w:tr>
    </w:tbl>
    <w:p w14:paraId="5156AC13" w14:textId="77777777" w:rsidR="0091245F" w:rsidRDefault="0091245F" w:rsidP="003B3357">
      <w:pPr>
        <w:pStyle w:val="BodyText"/>
        <w:ind w:left="851"/>
      </w:pPr>
    </w:p>
    <w:p w14:paraId="0514387C" w14:textId="2C642D16" w:rsidR="00C8507B" w:rsidRPr="00243237" w:rsidRDefault="00862151" w:rsidP="00615280">
      <w:pPr>
        <w:pStyle w:val="BodyText"/>
        <w:ind w:left="709" w:hanging="709"/>
        <w:rPr>
          <w:rFonts w:ascii="Arial" w:hAnsi="Arial" w:cs="Arial"/>
        </w:rPr>
      </w:pPr>
      <w:r>
        <w:rPr>
          <w:rFonts w:ascii="Arial" w:hAnsi="Arial" w:cs="Arial"/>
        </w:rPr>
        <w:t>2.3.7</w:t>
      </w:r>
      <w:r>
        <w:rPr>
          <w:rFonts w:ascii="Arial" w:hAnsi="Arial" w:cs="Arial"/>
        </w:rPr>
        <w:tab/>
      </w:r>
      <w:r w:rsidR="00C8507B" w:rsidRPr="00243237">
        <w:rPr>
          <w:rFonts w:ascii="Arial" w:hAnsi="Arial" w:cs="Arial"/>
        </w:rPr>
        <w:t>The above financing need excludes other long</w:t>
      </w:r>
      <w:r w:rsidR="00734144">
        <w:rPr>
          <w:rFonts w:ascii="Arial" w:hAnsi="Arial" w:cs="Arial"/>
        </w:rPr>
        <w:t>-</w:t>
      </w:r>
      <w:r w:rsidR="00C8507B" w:rsidRPr="00243237">
        <w:rPr>
          <w:rFonts w:ascii="Arial" w:hAnsi="Arial" w:cs="Arial"/>
        </w:rPr>
        <w:t>term liabilities, leasing arrangements which already include borrowing instruments.</w:t>
      </w:r>
      <w:r w:rsidR="00257330">
        <w:rPr>
          <w:rFonts w:ascii="Arial" w:hAnsi="Arial" w:cs="Arial"/>
        </w:rPr>
        <w:t xml:space="preserve">  The table above identifies the financial </w:t>
      </w:r>
      <w:r w:rsidR="00EA300C">
        <w:rPr>
          <w:rFonts w:ascii="Arial" w:hAnsi="Arial" w:cs="Arial"/>
        </w:rPr>
        <w:t>requirements</w:t>
      </w:r>
      <w:r w:rsidR="00257330">
        <w:rPr>
          <w:rFonts w:ascii="Arial" w:hAnsi="Arial" w:cs="Arial"/>
        </w:rPr>
        <w:t xml:space="preserve"> for the delivery of the </w:t>
      </w:r>
      <w:r w:rsidR="00EA300C">
        <w:rPr>
          <w:rFonts w:ascii="Arial" w:hAnsi="Arial" w:cs="Arial"/>
        </w:rPr>
        <w:t>Commissioner’s</w:t>
      </w:r>
      <w:r w:rsidR="00257330">
        <w:rPr>
          <w:rFonts w:ascii="Arial" w:hAnsi="Arial" w:cs="Arial"/>
        </w:rPr>
        <w:t xml:space="preserve"> Estate Strategy, </w:t>
      </w:r>
      <w:r w:rsidR="00ED01AC">
        <w:rPr>
          <w:rFonts w:ascii="Arial" w:hAnsi="Arial" w:cs="Arial"/>
        </w:rPr>
        <w:t xml:space="preserve">which includes the </w:t>
      </w:r>
      <w:r w:rsidR="00804FBE">
        <w:rPr>
          <w:rFonts w:ascii="Arial" w:hAnsi="Arial" w:cs="Arial"/>
        </w:rPr>
        <w:t>continued deve</w:t>
      </w:r>
      <w:r w:rsidR="00742257">
        <w:rPr>
          <w:rFonts w:ascii="Arial" w:hAnsi="Arial" w:cs="Arial"/>
        </w:rPr>
        <w:t>lo</w:t>
      </w:r>
      <w:r w:rsidR="00804FBE">
        <w:rPr>
          <w:rFonts w:ascii="Arial" w:hAnsi="Arial" w:cs="Arial"/>
        </w:rPr>
        <w:t xml:space="preserve">pment </w:t>
      </w:r>
      <w:r w:rsidR="00ED01AC">
        <w:rPr>
          <w:rFonts w:ascii="Arial" w:hAnsi="Arial" w:cs="Arial"/>
        </w:rPr>
        <w:t xml:space="preserve"> </w:t>
      </w:r>
      <w:r w:rsidR="00257330">
        <w:rPr>
          <w:rFonts w:ascii="Arial" w:hAnsi="Arial" w:cs="Arial"/>
        </w:rPr>
        <w:t xml:space="preserve">of </w:t>
      </w:r>
      <w:r w:rsidR="00DE3ADE">
        <w:rPr>
          <w:rFonts w:ascii="Arial" w:hAnsi="Arial" w:cs="Arial"/>
        </w:rPr>
        <w:t xml:space="preserve">the </w:t>
      </w:r>
      <w:r w:rsidR="00257330">
        <w:rPr>
          <w:rFonts w:ascii="Arial" w:hAnsi="Arial" w:cs="Arial"/>
        </w:rPr>
        <w:t>‘</w:t>
      </w:r>
      <w:r w:rsidR="00ED01AC">
        <w:rPr>
          <w:rFonts w:ascii="Arial" w:hAnsi="Arial" w:cs="Arial"/>
        </w:rPr>
        <w:t>Hub and Spoke</w:t>
      </w:r>
      <w:r w:rsidR="00257330">
        <w:rPr>
          <w:rFonts w:ascii="Arial" w:hAnsi="Arial" w:cs="Arial"/>
        </w:rPr>
        <w:t>’</w:t>
      </w:r>
      <w:r w:rsidR="00ED01AC">
        <w:rPr>
          <w:rFonts w:ascii="Arial" w:hAnsi="Arial" w:cs="Arial"/>
        </w:rPr>
        <w:t xml:space="preserve"> model</w:t>
      </w:r>
      <w:r w:rsidR="00DE3ADE">
        <w:rPr>
          <w:rFonts w:ascii="Arial" w:hAnsi="Arial" w:cs="Arial"/>
        </w:rPr>
        <w:t xml:space="preserve"> for operational policing</w:t>
      </w:r>
      <w:r w:rsidR="00267640">
        <w:rPr>
          <w:rFonts w:ascii="Arial" w:hAnsi="Arial" w:cs="Arial"/>
        </w:rPr>
        <w:t xml:space="preserve">, </w:t>
      </w:r>
      <w:r w:rsidR="00DE3ADE">
        <w:rPr>
          <w:rFonts w:ascii="Arial" w:hAnsi="Arial" w:cs="Arial"/>
        </w:rPr>
        <w:t>a</w:t>
      </w:r>
      <w:r w:rsidR="00267640">
        <w:rPr>
          <w:rFonts w:ascii="Arial" w:hAnsi="Arial" w:cs="Arial"/>
        </w:rPr>
        <w:t xml:space="preserve"> new Joint Firearms Range in collaboration with South Wales Police and Dyfed Powys Police</w:t>
      </w:r>
      <w:r w:rsidR="00257330">
        <w:rPr>
          <w:rFonts w:ascii="Arial" w:hAnsi="Arial" w:cs="Arial"/>
        </w:rPr>
        <w:t xml:space="preserve">, </w:t>
      </w:r>
      <w:r w:rsidR="00DE3ADE">
        <w:rPr>
          <w:rFonts w:ascii="Arial" w:hAnsi="Arial" w:cs="Arial"/>
        </w:rPr>
        <w:t xml:space="preserve">and investment in a future custody facility </w:t>
      </w:r>
      <w:r w:rsidR="00257330">
        <w:rPr>
          <w:rFonts w:ascii="Arial" w:hAnsi="Arial" w:cs="Arial"/>
        </w:rPr>
        <w:t>resulting in a borrowing n</w:t>
      </w:r>
      <w:r w:rsidR="00ED01AC">
        <w:rPr>
          <w:rFonts w:ascii="Arial" w:hAnsi="Arial" w:cs="Arial"/>
        </w:rPr>
        <w:t xml:space="preserve">eed </w:t>
      </w:r>
      <w:r w:rsidR="00257330">
        <w:rPr>
          <w:rFonts w:ascii="Arial" w:hAnsi="Arial" w:cs="Arial"/>
        </w:rPr>
        <w:t xml:space="preserve">from </w:t>
      </w:r>
      <w:r w:rsidR="008B28A8">
        <w:rPr>
          <w:rFonts w:ascii="Arial" w:hAnsi="Arial" w:cs="Arial"/>
        </w:rPr>
        <w:t>202</w:t>
      </w:r>
      <w:r w:rsidR="003B3357">
        <w:rPr>
          <w:rFonts w:ascii="Arial" w:hAnsi="Arial" w:cs="Arial"/>
        </w:rPr>
        <w:t>4</w:t>
      </w:r>
      <w:r w:rsidR="00257330">
        <w:rPr>
          <w:rFonts w:ascii="Arial" w:hAnsi="Arial" w:cs="Arial"/>
        </w:rPr>
        <w:t>/</w:t>
      </w:r>
      <w:r w:rsidR="00ED01AC">
        <w:rPr>
          <w:rFonts w:ascii="Arial" w:hAnsi="Arial" w:cs="Arial"/>
        </w:rPr>
        <w:t>2</w:t>
      </w:r>
      <w:r w:rsidR="003B3357">
        <w:rPr>
          <w:rFonts w:ascii="Arial" w:hAnsi="Arial" w:cs="Arial"/>
        </w:rPr>
        <w:t>5</w:t>
      </w:r>
      <w:r w:rsidR="00257330">
        <w:rPr>
          <w:rFonts w:ascii="Arial" w:hAnsi="Arial" w:cs="Arial"/>
        </w:rPr>
        <w:t xml:space="preserve"> onwards</w:t>
      </w:r>
      <w:r w:rsidR="00ED01AC">
        <w:rPr>
          <w:rFonts w:ascii="Arial" w:hAnsi="Arial" w:cs="Arial"/>
        </w:rPr>
        <w:t>.</w:t>
      </w:r>
      <w:r w:rsidR="00257330">
        <w:rPr>
          <w:rFonts w:ascii="Arial" w:hAnsi="Arial" w:cs="Arial"/>
        </w:rPr>
        <w:t xml:space="preserve"> </w:t>
      </w:r>
      <w:r w:rsidR="00ED01AC">
        <w:rPr>
          <w:rFonts w:ascii="Arial" w:hAnsi="Arial" w:cs="Arial"/>
        </w:rPr>
        <w:t xml:space="preserve"> </w:t>
      </w:r>
      <w:r w:rsidR="00672ED5">
        <w:rPr>
          <w:rFonts w:ascii="Arial" w:hAnsi="Arial" w:cs="Arial"/>
        </w:rPr>
        <w:t xml:space="preserve">During </w:t>
      </w:r>
      <w:r w:rsidR="00ED01AC">
        <w:rPr>
          <w:rFonts w:ascii="Arial" w:hAnsi="Arial" w:cs="Arial"/>
        </w:rPr>
        <w:t>202</w:t>
      </w:r>
      <w:r w:rsidR="003B3357">
        <w:rPr>
          <w:rFonts w:ascii="Arial" w:hAnsi="Arial" w:cs="Arial"/>
        </w:rPr>
        <w:t>4</w:t>
      </w:r>
      <w:r w:rsidR="00257330">
        <w:rPr>
          <w:rFonts w:ascii="Arial" w:hAnsi="Arial" w:cs="Arial"/>
        </w:rPr>
        <w:t>/</w:t>
      </w:r>
      <w:r w:rsidR="008B28A8">
        <w:rPr>
          <w:rFonts w:ascii="Arial" w:hAnsi="Arial" w:cs="Arial"/>
        </w:rPr>
        <w:t>2</w:t>
      </w:r>
      <w:r w:rsidR="003B3357">
        <w:rPr>
          <w:rFonts w:ascii="Arial" w:hAnsi="Arial" w:cs="Arial"/>
        </w:rPr>
        <w:t>5</w:t>
      </w:r>
      <w:r w:rsidR="00257330">
        <w:rPr>
          <w:rFonts w:ascii="Arial" w:hAnsi="Arial" w:cs="Arial"/>
        </w:rPr>
        <w:t>,</w:t>
      </w:r>
      <w:r w:rsidR="00ED01AC">
        <w:rPr>
          <w:rFonts w:ascii="Arial" w:hAnsi="Arial" w:cs="Arial"/>
        </w:rPr>
        <w:t xml:space="preserve"> the Capital Programme will b</w:t>
      </w:r>
      <w:r w:rsidR="00AA0F52">
        <w:rPr>
          <w:rFonts w:ascii="Arial" w:hAnsi="Arial" w:cs="Arial"/>
        </w:rPr>
        <w:t>e funded from a combination of grant, r</w:t>
      </w:r>
      <w:r w:rsidR="00ED01AC">
        <w:rPr>
          <w:rFonts w:ascii="Arial" w:hAnsi="Arial" w:cs="Arial"/>
        </w:rPr>
        <w:t>evenu</w:t>
      </w:r>
      <w:r w:rsidR="00257330">
        <w:rPr>
          <w:rFonts w:ascii="Arial" w:hAnsi="Arial" w:cs="Arial"/>
        </w:rPr>
        <w:t>e</w:t>
      </w:r>
      <w:r w:rsidR="00AA0F52">
        <w:rPr>
          <w:rFonts w:ascii="Arial" w:hAnsi="Arial" w:cs="Arial"/>
        </w:rPr>
        <w:t xml:space="preserve"> contributions to capital, </w:t>
      </w:r>
      <w:r w:rsidR="00ED01AC">
        <w:rPr>
          <w:rFonts w:ascii="Arial" w:hAnsi="Arial" w:cs="Arial"/>
        </w:rPr>
        <w:t>and</w:t>
      </w:r>
      <w:r w:rsidR="00257330">
        <w:rPr>
          <w:rFonts w:ascii="Arial" w:hAnsi="Arial" w:cs="Arial"/>
        </w:rPr>
        <w:t xml:space="preserve"> committed funds</w:t>
      </w:r>
      <w:r w:rsidR="00575B2B">
        <w:rPr>
          <w:rFonts w:ascii="Arial" w:hAnsi="Arial" w:cs="Arial"/>
        </w:rPr>
        <w:t xml:space="preserve"> in addition to borrowing</w:t>
      </w:r>
      <w:r w:rsidR="00ED01AC">
        <w:rPr>
          <w:rFonts w:ascii="Arial" w:hAnsi="Arial" w:cs="Arial"/>
        </w:rPr>
        <w:t xml:space="preserve">.   </w:t>
      </w:r>
    </w:p>
    <w:p w14:paraId="73C7AFE1" w14:textId="77777777" w:rsidR="00D44B33" w:rsidRDefault="00D44B33" w:rsidP="00615280">
      <w:pPr>
        <w:pStyle w:val="BodyText"/>
        <w:ind w:left="709" w:hanging="720"/>
        <w:rPr>
          <w:rFonts w:ascii="Arial" w:hAnsi="Arial" w:cs="Arial"/>
          <w:b/>
        </w:rPr>
      </w:pPr>
    </w:p>
    <w:p w14:paraId="4EB34BD7" w14:textId="77777777" w:rsidR="0040149D" w:rsidRDefault="0040149D" w:rsidP="00924212">
      <w:pPr>
        <w:pStyle w:val="BodyText"/>
        <w:numPr>
          <w:ilvl w:val="1"/>
          <w:numId w:val="8"/>
        </w:numPr>
        <w:ind w:hanging="720"/>
        <w:rPr>
          <w:rFonts w:ascii="Arial" w:hAnsi="Arial" w:cs="Arial"/>
          <w:b/>
        </w:rPr>
      </w:pPr>
      <w:r w:rsidRPr="008A24F3">
        <w:rPr>
          <w:rFonts w:ascii="Arial" w:hAnsi="Arial" w:cs="Arial"/>
          <w:b/>
        </w:rPr>
        <w:t xml:space="preserve">The </w:t>
      </w:r>
      <w:r w:rsidR="009822F2">
        <w:rPr>
          <w:rFonts w:ascii="Arial" w:hAnsi="Arial" w:cs="Arial"/>
          <w:b/>
        </w:rPr>
        <w:t>Commissioner</w:t>
      </w:r>
      <w:r w:rsidRPr="008A24F3">
        <w:rPr>
          <w:rFonts w:ascii="Arial" w:hAnsi="Arial" w:cs="Arial"/>
          <w:b/>
        </w:rPr>
        <w:t>’s Borrowing Need (the Capital Financing Requirement)</w:t>
      </w:r>
    </w:p>
    <w:p w14:paraId="4F714FBF" w14:textId="77777777" w:rsidR="00862151" w:rsidRPr="008A24F3" w:rsidRDefault="00862151" w:rsidP="00615280">
      <w:pPr>
        <w:pStyle w:val="BodyText"/>
        <w:rPr>
          <w:rFonts w:ascii="Arial" w:hAnsi="Arial" w:cs="Arial"/>
          <w:b/>
        </w:rPr>
      </w:pPr>
    </w:p>
    <w:p w14:paraId="490D27A8" w14:textId="77777777" w:rsidR="0040149D" w:rsidRDefault="0040149D" w:rsidP="00615280">
      <w:pPr>
        <w:pStyle w:val="BodyText"/>
        <w:ind w:left="709" w:hanging="709"/>
        <w:rPr>
          <w:rFonts w:ascii="Arial" w:hAnsi="Arial" w:cs="Arial"/>
        </w:rPr>
      </w:pPr>
      <w:r w:rsidRPr="00E970E8">
        <w:rPr>
          <w:rFonts w:ascii="Arial" w:hAnsi="Arial" w:cs="Arial"/>
        </w:rPr>
        <w:t>2.4.1</w:t>
      </w:r>
      <w:r w:rsidRPr="0040149D">
        <w:rPr>
          <w:rFonts w:ascii="Arial" w:hAnsi="Arial" w:cs="Arial"/>
          <w:b/>
        </w:rPr>
        <w:tab/>
      </w:r>
      <w:r w:rsidRPr="0040149D">
        <w:rPr>
          <w:rFonts w:ascii="Arial" w:hAnsi="Arial" w:cs="Arial"/>
        </w:rPr>
        <w:t xml:space="preserve">The second prudential indicator is the </w:t>
      </w:r>
      <w:r w:rsidR="009822F2">
        <w:rPr>
          <w:rFonts w:ascii="Arial" w:hAnsi="Arial" w:cs="Arial"/>
        </w:rPr>
        <w:t>Commissioner</w:t>
      </w:r>
      <w:r w:rsidRPr="0040149D">
        <w:rPr>
          <w:rFonts w:ascii="Arial" w:hAnsi="Arial" w:cs="Arial"/>
        </w:rPr>
        <w:t xml:space="preserve">’s Capital Financing Requirement (CFR) which is simply the total outstanding capital expenditure </w:t>
      </w:r>
      <w:r w:rsidRPr="0040149D">
        <w:rPr>
          <w:rFonts w:ascii="Arial" w:hAnsi="Arial" w:cs="Arial"/>
        </w:rPr>
        <w:lastRenderedPageBreak/>
        <w:t>which has not yet been paid for from either revenue or capital</w:t>
      </w:r>
      <w:r w:rsidR="006A5E71">
        <w:rPr>
          <w:rFonts w:ascii="Arial" w:hAnsi="Arial" w:cs="Arial"/>
        </w:rPr>
        <w:t xml:space="preserve"> </w:t>
      </w:r>
      <w:r w:rsidRPr="0040149D">
        <w:rPr>
          <w:rFonts w:ascii="Arial" w:hAnsi="Arial" w:cs="Arial"/>
        </w:rPr>
        <w:t xml:space="preserve">resources.  It is a measure of the </w:t>
      </w:r>
      <w:r w:rsidR="007449EC">
        <w:rPr>
          <w:rFonts w:ascii="Arial" w:hAnsi="Arial" w:cs="Arial"/>
        </w:rPr>
        <w:t>Commissioner</w:t>
      </w:r>
      <w:r w:rsidRPr="0040149D">
        <w:rPr>
          <w:rFonts w:ascii="Arial" w:hAnsi="Arial" w:cs="Arial"/>
        </w:rPr>
        <w:t xml:space="preserve">’s underlying borrowing need.  Any capital expenditure </w:t>
      </w:r>
      <w:r w:rsidR="00D57342">
        <w:rPr>
          <w:rFonts w:ascii="Arial" w:hAnsi="Arial" w:cs="Arial"/>
        </w:rPr>
        <w:t xml:space="preserve">in the table in paragraph 2.3.6 </w:t>
      </w:r>
      <w:r w:rsidRPr="0040149D">
        <w:rPr>
          <w:rFonts w:ascii="Arial" w:hAnsi="Arial" w:cs="Arial"/>
        </w:rPr>
        <w:t>above which has not immediately been paid for will increase the CFR.</w:t>
      </w:r>
    </w:p>
    <w:p w14:paraId="18B726A2" w14:textId="77777777" w:rsidR="00862151" w:rsidRPr="0040149D" w:rsidRDefault="00862151" w:rsidP="00615280">
      <w:pPr>
        <w:pStyle w:val="BodyText"/>
        <w:ind w:left="709" w:hanging="709"/>
        <w:rPr>
          <w:rFonts w:ascii="Arial" w:hAnsi="Arial" w:cs="Arial"/>
        </w:rPr>
      </w:pPr>
    </w:p>
    <w:p w14:paraId="4551DD15" w14:textId="27CF533C" w:rsidR="004378A7" w:rsidRDefault="0040149D" w:rsidP="00615280">
      <w:pPr>
        <w:pStyle w:val="BodyText"/>
        <w:ind w:left="709" w:hanging="709"/>
        <w:rPr>
          <w:rFonts w:ascii="Arial" w:hAnsi="Arial" w:cs="Arial"/>
        </w:rPr>
      </w:pPr>
      <w:r w:rsidRPr="00E970E8">
        <w:rPr>
          <w:rFonts w:ascii="Arial" w:hAnsi="Arial" w:cs="Arial"/>
        </w:rPr>
        <w:t>2.4.2</w:t>
      </w:r>
      <w:r w:rsidRPr="0040149D">
        <w:rPr>
          <w:rFonts w:ascii="Arial" w:hAnsi="Arial" w:cs="Arial"/>
          <w:b/>
        </w:rPr>
        <w:tab/>
      </w:r>
      <w:r w:rsidR="00471C3D">
        <w:rPr>
          <w:rFonts w:ascii="Arial" w:hAnsi="Arial" w:cs="Arial"/>
        </w:rPr>
        <w:t>T</w:t>
      </w:r>
      <w:r w:rsidRPr="0040149D">
        <w:rPr>
          <w:rFonts w:ascii="Arial" w:hAnsi="Arial" w:cs="Arial"/>
        </w:rPr>
        <w:t>he CFR</w:t>
      </w:r>
      <w:r w:rsidR="007449EC">
        <w:rPr>
          <w:rFonts w:ascii="Arial" w:hAnsi="Arial" w:cs="Arial"/>
        </w:rPr>
        <w:t xml:space="preserve"> </w:t>
      </w:r>
      <w:r w:rsidRPr="0040149D">
        <w:rPr>
          <w:rFonts w:ascii="Arial" w:hAnsi="Arial" w:cs="Arial"/>
        </w:rPr>
        <w:t xml:space="preserve">includes any other </w:t>
      </w:r>
      <w:proofErr w:type="gramStart"/>
      <w:r w:rsidRPr="0040149D">
        <w:rPr>
          <w:rFonts w:ascii="Arial" w:hAnsi="Arial" w:cs="Arial"/>
        </w:rPr>
        <w:t>long term</w:t>
      </w:r>
      <w:proofErr w:type="gramEnd"/>
      <w:r w:rsidRPr="0040149D">
        <w:rPr>
          <w:rFonts w:ascii="Arial" w:hAnsi="Arial" w:cs="Arial"/>
        </w:rPr>
        <w:t xml:space="preserve"> liabilities (e.g. </w:t>
      </w:r>
      <w:r w:rsidR="00EF13A1">
        <w:rPr>
          <w:rFonts w:ascii="Arial" w:hAnsi="Arial" w:cs="Arial"/>
        </w:rPr>
        <w:t>lease arrangements</w:t>
      </w:r>
      <w:r w:rsidRPr="0040149D">
        <w:rPr>
          <w:rFonts w:ascii="Arial" w:hAnsi="Arial" w:cs="Arial"/>
        </w:rPr>
        <w:t xml:space="preserve">) brought onto the balance sheet.  Whilst this increases the CFR, and therefore the </w:t>
      </w:r>
      <w:r w:rsidR="00E06B2E">
        <w:rPr>
          <w:rFonts w:ascii="Arial" w:hAnsi="Arial" w:cs="Arial"/>
        </w:rPr>
        <w:t>Commissioner</w:t>
      </w:r>
      <w:r w:rsidRPr="0040149D">
        <w:rPr>
          <w:rFonts w:ascii="Arial" w:hAnsi="Arial" w:cs="Arial"/>
        </w:rPr>
        <w:t xml:space="preserve">’s borrowing requirement, these types of scheme include a borrowing facility and so the </w:t>
      </w:r>
      <w:r w:rsidR="00E06B2E">
        <w:rPr>
          <w:rFonts w:ascii="Arial" w:hAnsi="Arial" w:cs="Arial"/>
        </w:rPr>
        <w:t>Commissioner</w:t>
      </w:r>
      <w:r w:rsidRPr="0040149D">
        <w:rPr>
          <w:rFonts w:ascii="Arial" w:hAnsi="Arial" w:cs="Arial"/>
        </w:rPr>
        <w:t xml:space="preserve"> is not required to borro</w:t>
      </w:r>
      <w:r w:rsidR="00D20CC6">
        <w:rPr>
          <w:rFonts w:ascii="Arial" w:hAnsi="Arial" w:cs="Arial"/>
        </w:rPr>
        <w:t>w separately for th</w:t>
      </w:r>
      <w:r w:rsidR="00833223">
        <w:rPr>
          <w:rFonts w:ascii="Arial" w:hAnsi="Arial" w:cs="Arial"/>
        </w:rPr>
        <w:t>e</w:t>
      </w:r>
      <w:r w:rsidR="00D20CC6">
        <w:rPr>
          <w:rFonts w:ascii="Arial" w:hAnsi="Arial" w:cs="Arial"/>
        </w:rPr>
        <w:t>s</w:t>
      </w:r>
      <w:r w:rsidR="00833223">
        <w:rPr>
          <w:rFonts w:ascii="Arial" w:hAnsi="Arial" w:cs="Arial"/>
        </w:rPr>
        <w:t>e</w:t>
      </w:r>
      <w:r w:rsidR="00D20CC6">
        <w:rPr>
          <w:rFonts w:ascii="Arial" w:hAnsi="Arial" w:cs="Arial"/>
        </w:rPr>
        <w:t xml:space="preserve"> scheme</w:t>
      </w:r>
      <w:r w:rsidR="00833223">
        <w:rPr>
          <w:rFonts w:ascii="Arial" w:hAnsi="Arial" w:cs="Arial"/>
        </w:rPr>
        <w:t>s</w:t>
      </w:r>
      <w:r w:rsidR="00575B2B">
        <w:rPr>
          <w:rFonts w:ascii="Arial" w:hAnsi="Arial" w:cs="Arial"/>
        </w:rPr>
        <w:t>.</w:t>
      </w:r>
    </w:p>
    <w:p w14:paraId="709B4C5D" w14:textId="77777777" w:rsidR="00575B2B" w:rsidRDefault="00575B2B" w:rsidP="00615280">
      <w:pPr>
        <w:pStyle w:val="BodyText"/>
        <w:ind w:left="709" w:hanging="709"/>
        <w:rPr>
          <w:rFonts w:ascii="Arial" w:hAnsi="Arial" w:cs="Arial"/>
        </w:rPr>
      </w:pPr>
    </w:p>
    <w:p w14:paraId="10CD6E8B" w14:textId="77777777" w:rsidR="007F5CA2" w:rsidRDefault="0040149D" w:rsidP="003A2285">
      <w:pPr>
        <w:pStyle w:val="BodyText"/>
        <w:ind w:left="709" w:hanging="709"/>
        <w:rPr>
          <w:rFonts w:ascii="Arial" w:hAnsi="Arial" w:cs="Arial"/>
        </w:rPr>
      </w:pPr>
      <w:r w:rsidRPr="00715958">
        <w:rPr>
          <w:rFonts w:ascii="Arial" w:hAnsi="Arial" w:cs="Arial"/>
        </w:rPr>
        <w:t>2.4.</w:t>
      </w:r>
      <w:r w:rsidR="004378A7" w:rsidRPr="00715958">
        <w:rPr>
          <w:rFonts w:ascii="Arial" w:hAnsi="Arial" w:cs="Arial"/>
        </w:rPr>
        <w:t>3</w:t>
      </w:r>
      <w:r w:rsidRPr="00715958">
        <w:rPr>
          <w:rFonts w:ascii="Arial" w:hAnsi="Arial" w:cs="Arial"/>
        </w:rPr>
        <w:tab/>
      </w:r>
      <w:r w:rsidR="00F52365" w:rsidRPr="00715958">
        <w:rPr>
          <w:rFonts w:ascii="Arial" w:hAnsi="Arial" w:cs="Arial"/>
        </w:rPr>
        <w:t xml:space="preserve">The </w:t>
      </w:r>
      <w:r w:rsidR="007E27ED" w:rsidRPr="00715958">
        <w:rPr>
          <w:rFonts w:ascii="Arial" w:hAnsi="Arial" w:cs="Arial"/>
        </w:rPr>
        <w:t>Commissioner</w:t>
      </w:r>
      <w:r w:rsidR="00F52365" w:rsidRPr="00715958">
        <w:rPr>
          <w:rFonts w:ascii="Arial" w:hAnsi="Arial" w:cs="Arial"/>
        </w:rPr>
        <w:t xml:space="preserve"> is asked to approve</w:t>
      </w:r>
      <w:r w:rsidRPr="00715958">
        <w:rPr>
          <w:rFonts w:ascii="Arial" w:hAnsi="Arial" w:cs="Arial"/>
        </w:rPr>
        <w:t xml:space="preserve"> the CFR projections below:</w:t>
      </w:r>
    </w:p>
    <w:p w14:paraId="34168D8F" w14:textId="77777777" w:rsidR="00672ED5" w:rsidRDefault="00672ED5" w:rsidP="003A2285">
      <w:pPr>
        <w:pStyle w:val="BodyText"/>
        <w:ind w:left="709" w:hanging="709"/>
        <w:rPr>
          <w:rFonts w:ascii="Arial" w:hAnsi="Arial" w:cs="Arial"/>
        </w:rPr>
      </w:pPr>
    </w:p>
    <w:tbl>
      <w:tblPr>
        <w:tblStyle w:val="TableGrid"/>
        <w:tblW w:w="8833" w:type="dxa"/>
        <w:tblLook w:val="04A0" w:firstRow="1" w:lastRow="0" w:firstColumn="1" w:lastColumn="0" w:noHBand="0" w:noVBand="1"/>
      </w:tblPr>
      <w:tblGrid>
        <w:gridCol w:w="3403"/>
        <w:gridCol w:w="1123"/>
        <w:gridCol w:w="1137"/>
        <w:gridCol w:w="1217"/>
        <w:gridCol w:w="1217"/>
        <w:gridCol w:w="1217"/>
      </w:tblGrid>
      <w:tr w:rsidR="00CF186A" w:rsidRPr="00CF186A" w14:paraId="01CECD7B" w14:textId="77777777" w:rsidTr="00CF186A">
        <w:trPr>
          <w:trHeight w:val="303"/>
        </w:trPr>
        <w:tc>
          <w:tcPr>
            <w:tcW w:w="8833" w:type="dxa"/>
            <w:gridSpan w:val="6"/>
            <w:noWrap/>
            <w:hideMark/>
          </w:tcPr>
          <w:p w14:paraId="7332E02B" w14:textId="77777777" w:rsidR="00CF186A" w:rsidRPr="00CF186A" w:rsidRDefault="00CF186A" w:rsidP="00CF186A">
            <w:pPr>
              <w:pStyle w:val="BodyText"/>
              <w:ind w:left="709" w:hanging="709"/>
              <w:rPr>
                <w:rFonts w:ascii="Arial" w:hAnsi="Arial" w:cs="Arial"/>
                <w:b/>
                <w:bCs/>
              </w:rPr>
            </w:pPr>
            <w:r w:rsidRPr="00CF186A">
              <w:rPr>
                <w:rFonts w:ascii="Arial" w:hAnsi="Arial" w:cs="Arial"/>
                <w:b/>
                <w:bCs/>
              </w:rPr>
              <w:t>Second Prudential Indicator - the Capital Financing Requirement (CFR)</w:t>
            </w:r>
          </w:p>
        </w:tc>
      </w:tr>
      <w:tr w:rsidR="00CF186A" w:rsidRPr="00CF186A" w14:paraId="56BF04C3" w14:textId="77777777" w:rsidTr="00CF186A">
        <w:trPr>
          <w:trHeight w:val="303"/>
        </w:trPr>
        <w:tc>
          <w:tcPr>
            <w:tcW w:w="3403" w:type="dxa"/>
            <w:noWrap/>
            <w:hideMark/>
          </w:tcPr>
          <w:p w14:paraId="75ADA4E6" w14:textId="77777777" w:rsidR="00CF186A" w:rsidRPr="00CF186A" w:rsidRDefault="00CF186A" w:rsidP="00CF186A">
            <w:pPr>
              <w:pStyle w:val="BodyText"/>
              <w:ind w:left="709" w:hanging="709"/>
              <w:rPr>
                <w:rFonts w:ascii="Arial" w:hAnsi="Arial" w:cs="Arial"/>
              </w:rPr>
            </w:pPr>
            <w:r w:rsidRPr="00CF186A">
              <w:rPr>
                <w:rFonts w:ascii="Arial" w:hAnsi="Arial" w:cs="Arial"/>
              </w:rPr>
              <w:t> </w:t>
            </w:r>
          </w:p>
        </w:tc>
        <w:tc>
          <w:tcPr>
            <w:tcW w:w="1063" w:type="dxa"/>
            <w:noWrap/>
            <w:hideMark/>
          </w:tcPr>
          <w:p w14:paraId="219BF4C2" w14:textId="77777777" w:rsidR="00CF186A" w:rsidRPr="005B2804" w:rsidRDefault="00CF186A" w:rsidP="00CF186A">
            <w:pPr>
              <w:pStyle w:val="BodyText"/>
              <w:ind w:left="709" w:hanging="709"/>
              <w:rPr>
                <w:rFonts w:ascii="Arial" w:hAnsi="Arial" w:cs="Arial"/>
                <w:b/>
                <w:bCs/>
              </w:rPr>
            </w:pPr>
            <w:r w:rsidRPr="005B2804">
              <w:rPr>
                <w:rFonts w:ascii="Arial" w:hAnsi="Arial" w:cs="Arial"/>
                <w:b/>
                <w:bCs/>
              </w:rPr>
              <w:t>2023/24</w:t>
            </w:r>
          </w:p>
        </w:tc>
        <w:tc>
          <w:tcPr>
            <w:tcW w:w="1063" w:type="dxa"/>
            <w:noWrap/>
            <w:hideMark/>
          </w:tcPr>
          <w:p w14:paraId="770981ED" w14:textId="77777777" w:rsidR="00CF186A" w:rsidRPr="005B2804" w:rsidRDefault="00CF186A" w:rsidP="00CF186A">
            <w:pPr>
              <w:pStyle w:val="BodyText"/>
              <w:ind w:left="709" w:hanging="709"/>
              <w:rPr>
                <w:rFonts w:ascii="Arial" w:hAnsi="Arial" w:cs="Arial"/>
                <w:b/>
                <w:bCs/>
              </w:rPr>
            </w:pPr>
            <w:r w:rsidRPr="005B2804">
              <w:rPr>
                <w:rFonts w:ascii="Arial" w:hAnsi="Arial" w:cs="Arial"/>
                <w:b/>
                <w:bCs/>
              </w:rPr>
              <w:t>2023/24</w:t>
            </w:r>
          </w:p>
        </w:tc>
        <w:tc>
          <w:tcPr>
            <w:tcW w:w="1101" w:type="dxa"/>
            <w:noWrap/>
            <w:hideMark/>
          </w:tcPr>
          <w:p w14:paraId="42CA5DEE" w14:textId="77777777" w:rsidR="00CF186A" w:rsidRPr="005B2804" w:rsidRDefault="00CF186A" w:rsidP="00CF186A">
            <w:pPr>
              <w:pStyle w:val="BodyText"/>
              <w:ind w:left="709" w:hanging="709"/>
              <w:rPr>
                <w:rFonts w:ascii="Arial" w:hAnsi="Arial" w:cs="Arial"/>
                <w:b/>
                <w:bCs/>
              </w:rPr>
            </w:pPr>
            <w:r w:rsidRPr="005B2804">
              <w:rPr>
                <w:rFonts w:ascii="Arial" w:hAnsi="Arial" w:cs="Arial"/>
                <w:b/>
                <w:bCs/>
              </w:rPr>
              <w:t>2024/25</w:t>
            </w:r>
          </w:p>
        </w:tc>
        <w:tc>
          <w:tcPr>
            <w:tcW w:w="1101" w:type="dxa"/>
            <w:noWrap/>
            <w:hideMark/>
          </w:tcPr>
          <w:p w14:paraId="68823E9D" w14:textId="77777777" w:rsidR="00CF186A" w:rsidRPr="005B2804" w:rsidRDefault="00CF186A" w:rsidP="00CF186A">
            <w:pPr>
              <w:pStyle w:val="BodyText"/>
              <w:ind w:left="709" w:hanging="709"/>
              <w:rPr>
                <w:rFonts w:ascii="Arial" w:hAnsi="Arial" w:cs="Arial"/>
                <w:b/>
                <w:bCs/>
              </w:rPr>
            </w:pPr>
            <w:r w:rsidRPr="005B2804">
              <w:rPr>
                <w:rFonts w:ascii="Arial" w:hAnsi="Arial" w:cs="Arial"/>
                <w:b/>
                <w:bCs/>
              </w:rPr>
              <w:t>2025/26</w:t>
            </w:r>
          </w:p>
        </w:tc>
        <w:tc>
          <w:tcPr>
            <w:tcW w:w="1101" w:type="dxa"/>
            <w:noWrap/>
            <w:hideMark/>
          </w:tcPr>
          <w:p w14:paraId="67A8EDFE" w14:textId="77777777" w:rsidR="00CF186A" w:rsidRPr="005B2804" w:rsidRDefault="00CF186A" w:rsidP="00CF186A">
            <w:pPr>
              <w:pStyle w:val="BodyText"/>
              <w:ind w:left="709" w:hanging="709"/>
              <w:rPr>
                <w:rFonts w:ascii="Arial" w:hAnsi="Arial" w:cs="Arial"/>
                <w:b/>
                <w:bCs/>
              </w:rPr>
            </w:pPr>
            <w:r w:rsidRPr="005B2804">
              <w:rPr>
                <w:rFonts w:ascii="Arial" w:hAnsi="Arial" w:cs="Arial"/>
                <w:b/>
                <w:bCs/>
              </w:rPr>
              <w:t>2026/27</w:t>
            </w:r>
          </w:p>
        </w:tc>
      </w:tr>
      <w:tr w:rsidR="00CF186A" w:rsidRPr="00CF186A" w14:paraId="7397E93E" w14:textId="77777777" w:rsidTr="00CF186A">
        <w:trPr>
          <w:trHeight w:val="303"/>
        </w:trPr>
        <w:tc>
          <w:tcPr>
            <w:tcW w:w="3403" w:type="dxa"/>
            <w:noWrap/>
            <w:hideMark/>
          </w:tcPr>
          <w:p w14:paraId="79267E5C" w14:textId="77777777" w:rsidR="00CF186A" w:rsidRPr="00CF186A" w:rsidRDefault="00CF186A" w:rsidP="00CF186A">
            <w:pPr>
              <w:pStyle w:val="BodyText"/>
              <w:ind w:left="709" w:hanging="709"/>
              <w:rPr>
                <w:rFonts w:ascii="Arial" w:hAnsi="Arial" w:cs="Arial"/>
              </w:rPr>
            </w:pPr>
            <w:r w:rsidRPr="00CF186A">
              <w:rPr>
                <w:rFonts w:ascii="Arial" w:hAnsi="Arial" w:cs="Arial"/>
              </w:rPr>
              <w:t> </w:t>
            </w:r>
          </w:p>
        </w:tc>
        <w:tc>
          <w:tcPr>
            <w:tcW w:w="1063" w:type="dxa"/>
            <w:noWrap/>
            <w:hideMark/>
          </w:tcPr>
          <w:p w14:paraId="54CA813D" w14:textId="77777777" w:rsidR="00CF186A" w:rsidRPr="005B2804" w:rsidRDefault="00CF186A" w:rsidP="00CF186A">
            <w:pPr>
              <w:pStyle w:val="BodyText"/>
              <w:ind w:left="709" w:hanging="709"/>
              <w:rPr>
                <w:rFonts w:ascii="Arial" w:hAnsi="Arial" w:cs="Arial"/>
                <w:b/>
                <w:bCs/>
              </w:rPr>
            </w:pPr>
            <w:r w:rsidRPr="005B2804">
              <w:rPr>
                <w:rFonts w:ascii="Arial" w:hAnsi="Arial" w:cs="Arial"/>
                <w:b/>
                <w:bCs/>
              </w:rPr>
              <w:t>Original</w:t>
            </w:r>
          </w:p>
        </w:tc>
        <w:tc>
          <w:tcPr>
            <w:tcW w:w="1063" w:type="dxa"/>
            <w:noWrap/>
            <w:hideMark/>
          </w:tcPr>
          <w:p w14:paraId="77CCD7B3" w14:textId="77777777" w:rsidR="00CF186A" w:rsidRPr="005B2804" w:rsidRDefault="00CF186A" w:rsidP="00CF186A">
            <w:pPr>
              <w:pStyle w:val="BodyText"/>
              <w:ind w:left="709" w:hanging="709"/>
              <w:rPr>
                <w:rFonts w:ascii="Arial" w:hAnsi="Arial" w:cs="Arial"/>
                <w:b/>
                <w:bCs/>
              </w:rPr>
            </w:pPr>
            <w:r w:rsidRPr="005B2804">
              <w:rPr>
                <w:rFonts w:ascii="Arial" w:hAnsi="Arial" w:cs="Arial"/>
                <w:b/>
                <w:bCs/>
              </w:rPr>
              <w:t>Revised</w:t>
            </w:r>
          </w:p>
        </w:tc>
        <w:tc>
          <w:tcPr>
            <w:tcW w:w="1101" w:type="dxa"/>
            <w:noWrap/>
            <w:hideMark/>
          </w:tcPr>
          <w:p w14:paraId="087BE65E" w14:textId="77777777" w:rsidR="00CF186A" w:rsidRPr="005B2804" w:rsidRDefault="00CF186A" w:rsidP="00CF186A">
            <w:pPr>
              <w:pStyle w:val="BodyText"/>
              <w:ind w:left="709" w:hanging="709"/>
              <w:rPr>
                <w:rFonts w:ascii="Arial" w:hAnsi="Arial" w:cs="Arial"/>
                <w:b/>
                <w:bCs/>
              </w:rPr>
            </w:pPr>
            <w:r w:rsidRPr="005B2804">
              <w:rPr>
                <w:rFonts w:ascii="Arial" w:hAnsi="Arial" w:cs="Arial"/>
                <w:b/>
                <w:bCs/>
              </w:rPr>
              <w:t>Estimate</w:t>
            </w:r>
          </w:p>
        </w:tc>
        <w:tc>
          <w:tcPr>
            <w:tcW w:w="1101" w:type="dxa"/>
            <w:noWrap/>
            <w:hideMark/>
          </w:tcPr>
          <w:p w14:paraId="14414CD6" w14:textId="77777777" w:rsidR="00CF186A" w:rsidRPr="005B2804" w:rsidRDefault="00CF186A" w:rsidP="00CF186A">
            <w:pPr>
              <w:pStyle w:val="BodyText"/>
              <w:ind w:left="709" w:hanging="709"/>
              <w:rPr>
                <w:rFonts w:ascii="Arial" w:hAnsi="Arial" w:cs="Arial"/>
                <w:b/>
                <w:bCs/>
              </w:rPr>
            </w:pPr>
            <w:r w:rsidRPr="005B2804">
              <w:rPr>
                <w:rFonts w:ascii="Arial" w:hAnsi="Arial" w:cs="Arial"/>
                <w:b/>
                <w:bCs/>
              </w:rPr>
              <w:t>Estimate</w:t>
            </w:r>
          </w:p>
        </w:tc>
        <w:tc>
          <w:tcPr>
            <w:tcW w:w="1101" w:type="dxa"/>
            <w:noWrap/>
            <w:hideMark/>
          </w:tcPr>
          <w:p w14:paraId="282D796C" w14:textId="77777777" w:rsidR="00CF186A" w:rsidRPr="005B2804" w:rsidRDefault="00CF186A" w:rsidP="00CF186A">
            <w:pPr>
              <w:pStyle w:val="BodyText"/>
              <w:ind w:left="709" w:hanging="709"/>
              <w:rPr>
                <w:rFonts w:ascii="Arial" w:hAnsi="Arial" w:cs="Arial"/>
                <w:b/>
                <w:bCs/>
              </w:rPr>
            </w:pPr>
            <w:r w:rsidRPr="005B2804">
              <w:rPr>
                <w:rFonts w:ascii="Arial" w:hAnsi="Arial" w:cs="Arial"/>
                <w:b/>
                <w:bCs/>
              </w:rPr>
              <w:t>Estimate</w:t>
            </w:r>
          </w:p>
        </w:tc>
      </w:tr>
      <w:tr w:rsidR="00CF186A" w:rsidRPr="00CF186A" w14:paraId="54E2B9BF" w14:textId="77777777" w:rsidTr="00CF186A">
        <w:trPr>
          <w:trHeight w:val="303"/>
        </w:trPr>
        <w:tc>
          <w:tcPr>
            <w:tcW w:w="3403" w:type="dxa"/>
            <w:noWrap/>
            <w:hideMark/>
          </w:tcPr>
          <w:p w14:paraId="25DBD487" w14:textId="77777777" w:rsidR="00CF186A" w:rsidRPr="00CF186A" w:rsidRDefault="00CF186A" w:rsidP="00CF186A">
            <w:pPr>
              <w:pStyle w:val="BodyText"/>
              <w:ind w:left="709" w:hanging="709"/>
              <w:rPr>
                <w:rFonts w:ascii="Arial" w:hAnsi="Arial" w:cs="Arial"/>
              </w:rPr>
            </w:pPr>
            <w:r w:rsidRPr="00CF186A">
              <w:rPr>
                <w:rFonts w:ascii="Arial" w:hAnsi="Arial" w:cs="Arial"/>
              </w:rPr>
              <w:t> </w:t>
            </w:r>
          </w:p>
        </w:tc>
        <w:tc>
          <w:tcPr>
            <w:tcW w:w="1063" w:type="dxa"/>
            <w:noWrap/>
            <w:hideMark/>
          </w:tcPr>
          <w:p w14:paraId="7D75132F" w14:textId="77777777" w:rsidR="00CF186A" w:rsidRPr="005B2804" w:rsidRDefault="00CF186A" w:rsidP="00CF186A">
            <w:pPr>
              <w:pStyle w:val="BodyText"/>
              <w:ind w:left="709" w:hanging="709"/>
              <w:rPr>
                <w:rFonts w:ascii="Arial" w:hAnsi="Arial" w:cs="Arial"/>
                <w:b/>
                <w:bCs/>
              </w:rPr>
            </w:pPr>
            <w:r w:rsidRPr="005B2804">
              <w:rPr>
                <w:rFonts w:ascii="Arial" w:hAnsi="Arial" w:cs="Arial"/>
                <w:b/>
                <w:bCs/>
              </w:rPr>
              <w:t>£000's</w:t>
            </w:r>
          </w:p>
        </w:tc>
        <w:tc>
          <w:tcPr>
            <w:tcW w:w="1063" w:type="dxa"/>
            <w:noWrap/>
            <w:hideMark/>
          </w:tcPr>
          <w:p w14:paraId="0F6DF19B" w14:textId="77777777" w:rsidR="00CF186A" w:rsidRPr="005B2804" w:rsidRDefault="00CF186A" w:rsidP="00CF186A">
            <w:pPr>
              <w:pStyle w:val="BodyText"/>
              <w:ind w:left="709" w:hanging="709"/>
              <w:rPr>
                <w:rFonts w:ascii="Arial" w:hAnsi="Arial" w:cs="Arial"/>
                <w:b/>
                <w:bCs/>
              </w:rPr>
            </w:pPr>
            <w:r w:rsidRPr="005B2804">
              <w:rPr>
                <w:rFonts w:ascii="Arial" w:hAnsi="Arial" w:cs="Arial"/>
                <w:b/>
                <w:bCs/>
              </w:rPr>
              <w:t>£000's</w:t>
            </w:r>
          </w:p>
        </w:tc>
        <w:tc>
          <w:tcPr>
            <w:tcW w:w="1101" w:type="dxa"/>
            <w:noWrap/>
            <w:hideMark/>
          </w:tcPr>
          <w:p w14:paraId="07DA80C8" w14:textId="77777777" w:rsidR="00CF186A" w:rsidRPr="005B2804" w:rsidRDefault="00CF186A" w:rsidP="00CF186A">
            <w:pPr>
              <w:pStyle w:val="BodyText"/>
              <w:ind w:left="709" w:hanging="709"/>
              <w:rPr>
                <w:rFonts w:ascii="Arial" w:hAnsi="Arial" w:cs="Arial"/>
                <w:b/>
                <w:bCs/>
              </w:rPr>
            </w:pPr>
            <w:r w:rsidRPr="005B2804">
              <w:rPr>
                <w:rFonts w:ascii="Arial" w:hAnsi="Arial" w:cs="Arial"/>
                <w:b/>
                <w:bCs/>
              </w:rPr>
              <w:t>£000's</w:t>
            </w:r>
          </w:p>
        </w:tc>
        <w:tc>
          <w:tcPr>
            <w:tcW w:w="1101" w:type="dxa"/>
            <w:noWrap/>
            <w:hideMark/>
          </w:tcPr>
          <w:p w14:paraId="648B3858" w14:textId="77777777" w:rsidR="00CF186A" w:rsidRPr="005B2804" w:rsidRDefault="00CF186A" w:rsidP="00CF186A">
            <w:pPr>
              <w:pStyle w:val="BodyText"/>
              <w:ind w:left="709" w:hanging="709"/>
              <w:rPr>
                <w:rFonts w:ascii="Arial" w:hAnsi="Arial" w:cs="Arial"/>
                <w:b/>
                <w:bCs/>
              </w:rPr>
            </w:pPr>
            <w:r w:rsidRPr="005B2804">
              <w:rPr>
                <w:rFonts w:ascii="Arial" w:hAnsi="Arial" w:cs="Arial"/>
                <w:b/>
                <w:bCs/>
              </w:rPr>
              <w:t>£000's</w:t>
            </w:r>
          </w:p>
        </w:tc>
        <w:tc>
          <w:tcPr>
            <w:tcW w:w="1101" w:type="dxa"/>
            <w:noWrap/>
            <w:hideMark/>
          </w:tcPr>
          <w:p w14:paraId="4BFD70F1" w14:textId="77777777" w:rsidR="00CF186A" w:rsidRPr="005B2804" w:rsidRDefault="00CF186A" w:rsidP="00CF186A">
            <w:pPr>
              <w:pStyle w:val="BodyText"/>
              <w:ind w:left="709" w:hanging="709"/>
              <w:rPr>
                <w:rFonts w:ascii="Arial" w:hAnsi="Arial" w:cs="Arial"/>
                <w:b/>
                <w:bCs/>
              </w:rPr>
            </w:pPr>
            <w:r w:rsidRPr="005B2804">
              <w:rPr>
                <w:rFonts w:ascii="Arial" w:hAnsi="Arial" w:cs="Arial"/>
                <w:b/>
                <w:bCs/>
              </w:rPr>
              <w:t>£000's</w:t>
            </w:r>
          </w:p>
        </w:tc>
      </w:tr>
      <w:tr w:rsidR="00CF186A" w:rsidRPr="00CF186A" w14:paraId="4E3322A4" w14:textId="77777777" w:rsidTr="00CF186A">
        <w:trPr>
          <w:trHeight w:val="303"/>
        </w:trPr>
        <w:tc>
          <w:tcPr>
            <w:tcW w:w="3403" w:type="dxa"/>
            <w:noWrap/>
            <w:hideMark/>
          </w:tcPr>
          <w:p w14:paraId="18FCB951" w14:textId="77777777" w:rsidR="00CF186A" w:rsidRPr="00CF186A" w:rsidRDefault="00CF186A" w:rsidP="00CF186A">
            <w:pPr>
              <w:pStyle w:val="BodyText"/>
              <w:ind w:left="709" w:hanging="709"/>
              <w:rPr>
                <w:rFonts w:ascii="Arial" w:hAnsi="Arial" w:cs="Arial"/>
                <w:b/>
                <w:bCs/>
              </w:rPr>
            </w:pPr>
            <w:r w:rsidRPr="00CF186A">
              <w:rPr>
                <w:rFonts w:ascii="Arial" w:hAnsi="Arial" w:cs="Arial"/>
                <w:b/>
                <w:bCs/>
              </w:rPr>
              <w:t>Opening CFR</w:t>
            </w:r>
          </w:p>
        </w:tc>
        <w:tc>
          <w:tcPr>
            <w:tcW w:w="1063" w:type="dxa"/>
            <w:noWrap/>
            <w:hideMark/>
          </w:tcPr>
          <w:p w14:paraId="325E259A" w14:textId="77777777" w:rsidR="00CF186A" w:rsidRPr="00CF186A" w:rsidRDefault="00CF186A" w:rsidP="00CF186A">
            <w:pPr>
              <w:pStyle w:val="BodyText"/>
              <w:ind w:left="709" w:hanging="709"/>
              <w:rPr>
                <w:rFonts w:ascii="Arial" w:hAnsi="Arial" w:cs="Arial"/>
              </w:rPr>
            </w:pPr>
            <w:r w:rsidRPr="00CF186A">
              <w:rPr>
                <w:rFonts w:ascii="Arial" w:hAnsi="Arial" w:cs="Arial"/>
              </w:rPr>
              <w:t>0</w:t>
            </w:r>
          </w:p>
        </w:tc>
        <w:tc>
          <w:tcPr>
            <w:tcW w:w="1063" w:type="dxa"/>
            <w:noWrap/>
            <w:hideMark/>
          </w:tcPr>
          <w:p w14:paraId="60D5623B" w14:textId="77777777" w:rsidR="00CF186A" w:rsidRPr="00CF186A" w:rsidRDefault="00CF186A" w:rsidP="00CF186A">
            <w:pPr>
              <w:pStyle w:val="BodyText"/>
              <w:ind w:left="709" w:hanging="709"/>
              <w:rPr>
                <w:rFonts w:ascii="Arial" w:hAnsi="Arial" w:cs="Arial"/>
              </w:rPr>
            </w:pPr>
            <w:r w:rsidRPr="00CF186A">
              <w:rPr>
                <w:rFonts w:ascii="Arial" w:hAnsi="Arial" w:cs="Arial"/>
              </w:rPr>
              <w:t>0</w:t>
            </w:r>
          </w:p>
        </w:tc>
        <w:tc>
          <w:tcPr>
            <w:tcW w:w="1101" w:type="dxa"/>
            <w:noWrap/>
            <w:hideMark/>
          </w:tcPr>
          <w:p w14:paraId="752650BD" w14:textId="77777777" w:rsidR="00CF186A" w:rsidRPr="00CF186A" w:rsidRDefault="00CF186A" w:rsidP="00CF186A">
            <w:pPr>
              <w:pStyle w:val="BodyText"/>
              <w:ind w:left="709" w:hanging="709"/>
              <w:rPr>
                <w:rFonts w:ascii="Arial" w:hAnsi="Arial" w:cs="Arial"/>
              </w:rPr>
            </w:pPr>
            <w:r w:rsidRPr="00CF186A">
              <w:rPr>
                <w:rFonts w:ascii="Arial" w:hAnsi="Arial" w:cs="Arial"/>
              </w:rPr>
              <w:t>0</w:t>
            </w:r>
          </w:p>
        </w:tc>
        <w:tc>
          <w:tcPr>
            <w:tcW w:w="1101" w:type="dxa"/>
            <w:noWrap/>
            <w:hideMark/>
          </w:tcPr>
          <w:p w14:paraId="59F464A9" w14:textId="77777777" w:rsidR="00CF186A" w:rsidRPr="00CF186A" w:rsidRDefault="00CF186A" w:rsidP="00CF186A">
            <w:pPr>
              <w:pStyle w:val="BodyText"/>
              <w:ind w:left="709" w:hanging="709"/>
              <w:rPr>
                <w:rFonts w:ascii="Arial" w:hAnsi="Arial" w:cs="Arial"/>
              </w:rPr>
            </w:pPr>
            <w:r w:rsidRPr="00CF186A">
              <w:rPr>
                <w:rFonts w:ascii="Arial" w:hAnsi="Arial" w:cs="Arial"/>
              </w:rPr>
              <w:t>13,117</w:t>
            </w:r>
          </w:p>
        </w:tc>
        <w:tc>
          <w:tcPr>
            <w:tcW w:w="1101" w:type="dxa"/>
            <w:noWrap/>
            <w:hideMark/>
          </w:tcPr>
          <w:p w14:paraId="0FC686EE" w14:textId="77777777" w:rsidR="00CF186A" w:rsidRPr="00CF186A" w:rsidRDefault="00CF186A" w:rsidP="00CF186A">
            <w:pPr>
              <w:pStyle w:val="BodyText"/>
              <w:ind w:left="709" w:hanging="709"/>
              <w:rPr>
                <w:rFonts w:ascii="Arial" w:hAnsi="Arial" w:cs="Arial"/>
              </w:rPr>
            </w:pPr>
            <w:r w:rsidRPr="00CF186A">
              <w:rPr>
                <w:rFonts w:ascii="Arial" w:hAnsi="Arial" w:cs="Arial"/>
              </w:rPr>
              <w:t>16,370</w:t>
            </w:r>
          </w:p>
        </w:tc>
      </w:tr>
      <w:tr w:rsidR="00CF186A" w:rsidRPr="00CF186A" w14:paraId="445CE3CB" w14:textId="77777777" w:rsidTr="00CF186A">
        <w:trPr>
          <w:trHeight w:val="303"/>
        </w:trPr>
        <w:tc>
          <w:tcPr>
            <w:tcW w:w="3403" w:type="dxa"/>
            <w:noWrap/>
            <w:hideMark/>
          </w:tcPr>
          <w:p w14:paraId="1AC4C0AD" w14:textId="77777777" w:rsidR="00CF186A" w:rsidRPr="00CF186A" w:rsidRDefault="00CF186A" w:rsidP="00CF186A">
            <w:pPr>
              <w:pStyle w:val="BodyText"/>
              <w:ind w:left="709" w:hanging="709"/>
              <w:rPr>
                <w:rFonts w:ascii="Arial" w:hAnsi="Arial" w:cs="Arial"/>
              </w:rPr>
            </w:pPr>
            <w:r w:rsidRPr="00CF186A">
              <w:rPr>
                <w:rFonts w:ascii="Arial" w:hAnsi="Arial" w:cs="Arial"/>
              </w:rPr>
              <w:t>Capital Spend</w:t>
            </w:r>
          </w:p>
        </w:tc>
        <w:tc>
          <w:tcPr>
            <w:tcW w:w="1063" w:type="dxa"/>
            <w:noWrap/>
            <w:hideMark/>
          </w:tcPr>
          <w:p w14:paraId="09207130" w14:textId="77777777" w:rsidR="00CF186A" w:rsidRPr="00CF186A" w:rsidRDefault="00CF186A" w:rsidP="00CF186A">
            <w:pPr>
              <w:pStyle w:val="BodyText"/>
              <w:ind w:left="709" w:hanging="709"/>
              <w:rPr>
                <w:rFonts w:ascii="Arial" w:hAnsi="Arial" w:cs="Arial"/>
              </w:rPr>
            </w:pPr>
            <w:r w:rsidRPr="00CF186A">
              <w:rPr>
                <w:rFonts w:ascii="Arial" w:hAnsi="Arial" w:cs="Arial"/>
              </w:rPr>
              <w:t>23,902</w:t>
            </w:r>
          </w:p>
        </w:tc>
        <w:tc>
          <w:tcPr>
            <w:tcW w:w="1063" w:type="dxa"/>
            <w:noWrap/>
            <w:hideMark/>
          </w:tcPr>
          <w:p w14:paraId="3CA2E4BA" w14:textId="77777777" w:rsidR="00CF186A" w:rsidRPr="00CF186A" w:rsidRDefault="00CF186A" w:rsidP="00CF186A">
            <w:pPr>
              <w:pStyle w:val="BodyText"/>
              <w:ind w:left="709" w:hanging="709"/>
              <w:rPr>
                <w:rFonts w:ascii="Arial" w:hAnsi="Arial" w:cs="Arial"/>
              </w:rPr>
            </w:pPr>
            <w:r w:rsidRPr="00CF186A">
              <w:rPr>
                <w:rFonts w:ascii="Arial" w:hAnsi="Arial" w:cs="Arial"/>
              </w:rPr>
              <w:t>21,090</w:t>
            </w:r>
          </w:p>
        </w:tc>
        <w:tc>
          <w:tcPr>
            <w:tcW w:w="1101" w:type="dxa"/>
            <w:noWrap/>
            <w:hideMark/>
          </w:tcPr>
          <w:p w14:paraId="502D8671" w14:textId="77777777" w:rsidR="00CF186A" w:rsidRPr="00CF186A" w:rsidRDefault="00CF186A" w:rsidP="00CF186A">
            <w:pPr>
              <w:pStyle w:val="BodyText"/>
              <w:ind w:left="709" w:hanging="709"/>
              <w:rPr>
                <w:rFonts w:ascii="Arial" w:hAnsi="Arial" w:cs="Arial"/>
              </w:rPr>
            </w:pPr>
            <w:r w:rsidRPr="00CF186A">
              <w:rPr>
                <w:rFonts w:ascii="Arial" w:hAnsi="Arial" w:cs="Arial"/>
              </w:rPr>
              <w:t>19,751</w:t>
            </w:r>
          </w:p>
        </w:tc>
        <w:tc>
          <w:tcPr>
            <w:tcW w:w="1101" w:type="dxa"/>
            <w:noWrap/>
            <w:hideMark/>
          </w:tcPr>
          <w:p w14:paraId="7D8B72D7" w14:textId="77777777" w:rsidR="00CF186A" w:rsidRPr="00CF186A" w:rsidRDefault="00CF186A" w:rsidP="00CF186A">
            <w:pPr>
              <w:pStyle w:val="BodyText"/>
              <w:ind w:left="709" w:hanging="709"/>
              <w:rPr>
                <w:rFonts w:ascii="Arial" w:hAnsi="Arial" w:cs="Arial"/>
              </w:rPr>
            </w:pPr>
            <w:r w:rsidRPr="00CF186A">
              <w:rPr>
                <w:rFonts w:ascii="Arial" w:hAnsi="Arial" w:cs="Arial"/>
              </w:rPr>
              <w:t>11,282</w:t>
            </w:r>
          </w:p>
        </w:tc>
        <w:tc>
          <w:tcPr>
            <w:tcW w:w="1101" w:type="dxa"/>
            <w:noWrap/>
            <w:hideMark/>
          </w:tcPr>
          <w:p w14:paraId="69C1A17B" w14:textId="77777777" w:rsidR="00CF186A" w:rsidRPr="00CF186A" w:rsidRDefault="00CF186A" w:rsidP="00CF186A">
            <w:pPr>
              <w:pStyle w:val="BodyText"/>
              <w:ind w:left="709" w:hanging="709"/>
              <w:rPr>
                <w:rFonts w:ascii="Arial" w:hAnsi="Arial" w:cs="Arial"/>
              </w:rPr>
            </w:pPr>
            <w:r w:rsidRPr="00CF186A">
              <w:rPr>
                <w:rFonts w:ascii="Arial" w:hAnsi="Arial" w:cs="Arial"/>
              </w:rPr>
              <w:t>17,830</w:t>
            </w:r>
          </w:p>
        </w:tc>
      </w:tr>
      <w:tr w:rsidR="00CF186A" w:rsidRPr="00CF186A" w14:paraId="32840A39" w14:textId="77777777" w:rsidTr="00CF186A">
        <w:trPr>
          <w:trHeight w:val="303"/>
        </w:trPr>
        <w:tc>
          <w:tcPr>
            <w:tcW w:w="3403" w:type="dxa"/>
            <w:noWrap/>
            <w:hideMark/>
          </w:tcPr>
          <w:p w14:paraId="3A9BC31B" w14:textId="77777777" w:rsidR="00CF186A" w:rsidRPr="00CF186A" w:rsidRDefault="00CF186A" w:rsidP="00CF186A">
            <w:pPr>
              <w:pStyle w:val="BodyText"/>
              <w:ind w:left="709" w:hanging="709"/>
              <w:rPr>
                <w:rFonts w:ascii="Arial" w:hAnsi="Arial" w:cs="Arial"/>
              </w:rPr>
            </w:pPr>
            <w:r w:rsidRPr="00CF186A">
              <w:rPr>
                <w:rFonts w:ascii="Arial" w:hAnsi="Arial" w:cs="Arial"/>
              </w:rPr>
              <w:t>Movement In finance lease liability</w:t>
            </w:r>
          </w:p>
        </w:tc>
        <w:tc>
          <w:tcPr>
            <w:tcW w:w="1063" w:type="dxa"/>
            <w:noWrap/>
            <w:hideMark/>
          </w:tcPr>
          <w:p w14:paraId="0498ACEB" w14:textId="77777777" w:rsidR="00CF186A" w:rsidRPr="00CF186A" w:rsidRDefault="00CF186A" w:rsidP="00CF186A">
            <w:pPr>
              <w:pStyle w:val="BodyText"/>
              <w:ind w:left="709" w:hanging="709"/>
              <w:rPr>
                <w:rFonts w:ascii="Arial" w:hAnsi="Arial" w:cs="Arial"/>
              </w:rPr>
            </w:pPr>
            <w:r w:rsidRPr="00CF186A">
              <w:rPr>
                <w:rFonts w:ascii="Arial" w:hAnsi="Arial" w:cs="Arial"/>
              </w:rPr>
              <w:t>0</w:t>
            </w:r>
          </w:p>
        </w:tc>
        <w:tc>
          <w:tcPr>
            <w:tcW w:w="1063" w:type="dxa"/>
            <w:noWrap/>
            <w:hideMark/>
          </w:tcPr>
          <w:p w14:paraId="702E5922" w14:textId="77777777" w:rsidR="00CF186A" w:rsidRPr="00CF186A" w:rsidRDefault="00CF186A" w:rsidP="00CF186A">
            <w:pPr>
              <w:pStyle w:val="BodyText"/>
              <w:ind w:left="709" w:hanging="709"/>
              <w:rPr>
                <w:rFonts w:ascii="Arial" w:hAnsi="Arial" w:cs="Arial"/>
              </w:rPr>
            </w:pPr>
            <w:r w:rsidRPr="00CF186A">
              <w:rPr>
                <w:rFonts w:ascii="Arial" w:hAnsi="Arial" w:cs="Arial"/>
              </w:rPr>
              <w:t>0</w:t>
            </w:r>
          </w:p>
        </w:tc>
        <w:tc>
          <w:tcPr>
            <w:tcW w:w="1101" w:type="dxa"/>
            <w:noWrap/>
            <w:hideMark/>
          </w:tcPr>
          <w:p w14:paraId="3D1E5C2C" w14:textId="77777777" w:rsidR="00CF186A" w:rsidRPr="00CF186A" w:rsidRDefault="00CF186A" w:rsidP="00CF186A">
            <w:pPr>
              <w:pStyle w:val="BodyText"/>
              <w:ind w:left="709" w:hanging="709"/>
              <w:rPr>
                <w:rFonts w:ascii="Arial" w:hAnsi="Arial" w:cs="Arial"/>
              </w:rPr>
            </w:pPr>
            <w:r w:rsidRPr="00CF186A">
              <w:rPr>
                <w:rFonts w:ascii="Arial" w:hAnsi="Arial" w:cs="Arial"/>
              </w:rPr>
              <w:t>1,117</w:t>
            </w:r>
          </w:p>
        </w:tc>
        <w:tc>
          <w:tcPr>
            <w:tcW w:w="1101" w:type="dxa"/>
            <w:noWrap/>
            <w:hideMark/>
          </w:tcPr>
          <w:p w14:paraId="50C2D056" w14:textId="77777777" w:rsidR="00CF186A" w:rsidRPr="00CF186A" w:rsidRDefault="00CF186A" w:rsidP="00CF186A">
            <w:pPr>
              <w:pStyle w:val="BodyText"/>
              <w:ind w:left="709" w:hanging="709"/>
              <w:rPr>
                <w:rFonts w:ascii="Arial" w:hAnsi="Arial" w:cs="Arial"/>
              </w:rPr>
            </w:pPr>
            <w:r w:rsidRPr="00CF186A">
              <w:rPr>
                <w:rFonts w:ascii="Arial" w:hAnsi="Arial" w:cs="Arial"/>
              </w:rPr>
              <w:t>(267)</w:t>
            </w:r>
          </w:p>
        </w:tc>
        <w:tc>
          <w:tcPr>
            <w:tcW w:w="1101" w:type="dxa"/>
            <w:noWrap/>
            <w:hideMark/>
          </w:tcPr>
          <w:p w14:paraId="5CBF509A" w14:textId="77777777" w:rsidR="00CF186A" w:rsidRPr="00CF186A" w:rsidRDefault="00CF186A" w:rsidP="00CF186A">
            <w:pPr>
              <w:pStyle w:val="BodyText"/>
              <w:ind w:left="709" w:hanging="709"/>
              <w:rPr>
                <w:rFonts w:ascii="Arial" w:hAnsi="Arial" w:cs="Arial"/>
              </w:rPr>
            </w:pPr>
            <w:r w:rsidRPr="00CF186A">
              <w:rPr>
                <w:rFonts w:ascii="Arial" w:hAnsi="Arial" w:cs="Arial"/>
              </w:rPr>
              <w:t>(181)</w:t>
            </w:r>
          </w:p>
        </w:tc>
      </w:tr>
      <w:tr w:rsidR="00CF186A" w:rsidRPr="00CF186A" w14:paraId="7BBF2720" w14:textId="77777777" w:rsidTr="00CF186A">
        <w:trPr>
          <w:trHeight w:val="303"/>
        </w:trPr>
        <w:tc>
          <w:tcPr>
            <w:tcW w:w="3403" w:type="dxa"/>
            <w:noWrap/>
            <w:hideMark/>
          </w:tcPr>
          <w:p w14:paraId="0E89043A" w14:textId="77777777" w:rsidR="00CF186A" w:rsidRPr="00CF186A" w:rsidRDefault="00CF186A" w:rsidP="00CF186A">
            <w:pPr>
              <w:pStyle w:val="BodyText"/>
              <w:ind w:left="709" w:hanging="709"/>
              <w:rPr>
                <w:rFonts w:ascii="Arial" w:hAnsi="Arial" w:cs="Arial"/>
              </w:rPr>
            </w:pPr>
            <w:r w:rsidRPr="00CF186A">
              <w:rPr>
                <w:rFonts w:ascii="Arial" w:hAnsi="Arial" w:cs="Arial"/>
              </w:rPr>
              <w:t>Resources Used</w:t>
            </w:r>
          </w:p>
        </w:tc>
        <w:tc>
          <w:tcPr>
            <w:tcW w:w="1063" w:type="dxa"/>
            <w:noWrap/>
            <w:hideMark/>
          </w:tcPr>
          <w:p w14:paraId="3973DE8B" w14:textId="77777777" w:rsidR="00CF186A" w:rsidRPr="00CF186A" w:rsidRDefault="00CF186A" w:rsidP="00CF186A">
            <w:pPr>
              <w:pStyle w:val="BodyText"/>
              <w:ind w:left="709" w:hanging="709"/>
              <w:rPr>
                <w:rFonts w:ascii="Arial" w:hAnsi="Arial" w:cs="Arial"/>
              </w:rPr>
            </w:pPr>
            <w:r w:rsidRPr="00CF186A">
              <w:rPr>
                <w:rFonts w:ascii="Arial" w:hAnsi="Arial" w:cs="Arial"/>
              </w:rPr>
              <w:t>(12,902)</w:t>
            </w:r>
          </w:p>
        </w:tc>
        <w:tc>
          <w:tcPr>
            <w:tcW w:w="1063" w:type="dxa"/>
            <w:noWrap/>
            <w:hideMark/>
          </w:tcPr>
          <w:p w14:paraId="2D2D3A30" w14:textId="77777777" w:rsidR="00CF186A" w:rsidRPr="00CF186A" w:rsidRDefault="00CF186A" w:rsidP="00CF186A">
            <w:pPr>
              <w:pStyle w:val="BodyText"/>
              <w:ind w:left="709" w:hanging="709"/>
              <w:rPr>
                <w:rFonts w:ascii="Arial" w:hAnsi="Arial" w:cs="Arial"/>
              </w:rPr>
            </w:pPr>
            <w:r w:rsidRPr="00CF186A">
              <w:rPr>
                <w:rFonts w:ascii="Arial" w:hAnsi="Arial" w:cs="Arial"/>
              </w:rPr>
              <w:t>(21,090)</w:t>
            </w:r>
          </w:p>
        </w:tc>
        <w:tc>
          <w:tcPr>
            <w:tcW w:w="1101" w:type="dxa"/>
            <w:noWrap/>
            <w:hideMark/>
          </w:tcPr>
          <w:p w14:paraId="3B1E060D" w14:textId="77777777" w:rsidR="00CF186A" w:rsidRPr="00CF186A" w:rsidRDefault="00CF186A" w:rsidP="00CF186A">
            <w:pPr>
              <w:pStyle w:val="BodyText"/>
              <w:ind w:left="709" w:hanging="709"/>
              <w:rPr>
                <w:rFonts w:ascii="Arial" w:hAnsi="Arial" w:cs="Arial"/>
              </w:rPr>
            </w:pPr>
            <w:r w:rsidRPr="00CF186A">
              <w:rPr>
                <w:rFonts w:ascii="Arial" w:hAnsi="Arial" w:cs="Arial"/>
              </w:rPr>
              <w:t>(7,751)</w:t>
            </w:r>
          </w:p>
        </w:tc>
        <w:tc>
          <w:tcPr>
            <w:tcW w:w="1101" w:type="dxa"/>
            <w:noWrap/>
            <w:hideMark/>
          </w:tcPr>
          <w:p w14:paraId="09DAE68F" w14:textId="77777777" w:rsidR="00CF186A" w:rsidRPr="00CF186A" w:rsidRDefault="00CF186A" w:rsidP="00CF186A">
            <w:pPr>
              <w:pStyle w:val="BodyText"/>
              <w:ind w:left="709" w:hanging="709"/>
              <w:rPr>
                <w:rFonts w:ascii="Arial" w:hAnsi="Arial" w:cs="Arial"/>
              </w:rPr>
            </w:pPr>
            <w:r w:rsidRPr="00CF186A">
              <w:rPr>
                <w:rFonts w:ascii="Arial" w:hAnsi="Arial" w:cs="Arial"/>
              </w:rPr>
              <w:t>(7,282)</w:t>
            </w:r>
          </w:p>
        </w:tc>
        <w:tc>
          <w:tcPr>
            <w:tcW w:w="1101" w:type="dxa"/>
            <w:noWrap/>
            <w:hideMark/>
          </w:tcPr>
          <w:p w14:paraId="2DCBBA84" w14:textId="77777777" w:rsidR="00CF186A" w:rsidRPr="00CF186A" w:rsidRDefault="00CF186A" w:rsidP="00CF186A">
            <w:pPr>
              <w:pStyle w:val="BodyText"/>
              <w:ind w:left="709" w:hanging="709"/>
              <w:rPr>
                <w:rFonts w:ascii="Arial" w:hAnsi="Arial" w:cs="Arial"/>
              </w:rPr>
            </w:pPr>
            <w:r w:rsidRPr="00CF186A">
              <w:rPr>
                <w:rFonts w:ascii="Arial" w:hAnsi="Arial" w:cs="Arial"/>
              </w:rPr>
              <w:t>(7,330)</w:t>
            </w:r>
          </w:p>
        </w:tc>
      </w:tr>
      <w:tr w:rsidR="00CF186A" w:rsidRPr="00CF186A" w14:paraId="2F155489" w14:textId="77777777" w:rsidTr="00CF186A">
        <w:trPr>
          <w:trHeight w:val="303"/>
        </w:trPr>
        <w:tc>
          <w:tcPr>
            <w:tcW w:w="3403" w:type="dxa"/>
            <w:noWrap/>
            <w:hideMark/>
          </w:tcPr>
          <w:p w14:paraId="6F4CFA45" w14:textId="77777777" w:rsidR="00CF186A" w:rsidRPr="00CF186A" w:rsidRDefault="00CF186A" w:rsidP="00CF186A">
            <w:pPr>
              <w:pStyle w:val="BodyText"/>
              <w:ind w:left="709" w:hanging="709"/>
              <w:rPr>
                <w:rFonts w:ascii="Arial" w:hAnsi="Arial" w:cs="Arial"/>
              </w:rPr>
            </w:pPr>
            <w:r w:rsidRPr="00CF186A">
              <w:rPr>
                <w:rFonts w:ascii="Arial" w:hAnsi="Arial" w:cs="Arial"/>
              </w:rPr>
              <w:t>MRP</w:t>
            </w:r>
          </w:p>
        </w:tc>
        <w:tc>
          <w:tcPr>
            <w:tcW w:w="1063" w:type="dxa"/>
            <w:noWrap/>
            <w:hideMark/>
          </w:tcPr>
          <w:p w14:paraId="772A2ECF" w14:textId="77777777" w:rsidR="00CF186A" w:rsidRPr="00CF186A" w:rsidRDefault="00CF186A" w:rsidP="00CF186A">
            <w:pPr>
              <w:pStyle w:val="BodyText"/>
              <w:ind w:left="709" w:hanging="709"/>
              <w:rPr>
                <w:rFonts w:ascii="Arial" w:hAnsi="Arial" w:cs="Arial"/>
              </w:rPr>
            </w:pPr>
            <w:r w:rsidRPr="00CF186A">
              <w:rPr>
                <w:rFonts w:ascii="Arial" w:hAnsi="Arial" w:cs="Arial"/>
              </w:rPr>
              <w:t>(440)</w:t>
            </w:r>
          </w:p>
        </w:tc>
        <w:tc>
          <w:tcPr>
            <w:tcW w:w="1063" w:type="dxa"/>
            <w:noWrap/>
            <w:hideMark/>
          </w:tcPr>
          <w:p w14:paraId="2852C43F" w14:textId="77777777" w:rsidR="00CF186A" w:rsidRPr="00CF186A" w:rsidRDefault="00CF186A" w:rsidP="00CF186A">
            <w:pPr>
              <w:pStyle w:val="BodyText"/>
              <w:ind w:left="709" w:hanging="709"/>
              <w:rPr>
                <w:rFonts w:ascii="Arial" w:hAnsi="Arial" w:cs="Arial"/>
              </w:rPr>
            </w:pPr>
            <w:r w:rsidRPr="00CF186A">
              <w:rPr>
                <w:rFonts w:ascii="Arial" w:hAnsi="Arial" w:cs="Arial"/>
              </w:rPr>
              <w:t>0</w:t>
            </w:r>
          </w:p>
        </w:tc>
        <w:tc>
          <w:tcPr>
            <w:tcW w:w="1101" w:type="dxa"/>
            <w:noWrap/>
            <w:hideMark/>
          </w:tcPr>
          <w:p w14:paraId="0A3F60E8" w14:textId="77777777" w:rsidR="00CF186A" w:rsidRPr="00CF186A" w:rsidRDefault="00CF186A" w:rsidP="00CF186A">
            <w:pPr>
              <w:pStyle w:val="BodyText"/>
              <w:ind w:left="709" w:hanging="709"/>
              <w:rPr>
                <w:rFonts w:ascii="Arial" w:hAnsi="Arial" w:cs="Arial"/>
              </w:rPr>
            </w:pPr>
            <w:r w:rsidRPr="00CF186A">
              <w:rPr>
                <w:rFonts w:ascii="Arial" w:hAnsi="Arial" w:cs="Arial"/>
              </w:rPr>
              <w:t>0</w:t>
            </w:r>
          </w:p>
        </w:tc>
        <w:tc>
          <w:tcPr>
            <w:tcW w:w="1101" w:type="dxa"/>
            <w:noWrap/>
            <w:hideMark/>
          </w:tcPr>
          <w:p w14:paraId="3C756AB7" w14:textId="77777777" w:rsidR="00CF186A" w:rsidRPr="00CF186A" w:rsidRDefault="00CF186A" w:rsidP="00CF186A">
            <w:pPr>
              <w:pStyle w:val="BodyText"/>
              <w:ind w:left="709" w:hanging="709"/>
              <w:rPr>
                <w:rFonts w:ascii="Arial" w:hAnsi="Arial" w:cs="Arial"/>
              </w:rPr>
            </w:pPr>
            <w:r w:rsidRPr="00CF186A">
              <w:rPr>
                <w:rFonts w:ascii="Arial" w:hAnsi="Arial" w:cs="Arial"/>
              </w:rPr>
              <w:t>(480)</w:t>
            </w:r>
          </w:p>
        </w:tc>
        <w:tc>
          <w:tcPr>
            <w:tcW w:w="1101" w:type="dxa"/>
            <w:noWrap/>
            <w:hideMark/>
          </w:tcPr>
          <w:p w14:paraId="7F8BBE6D" w14:textId="77777777" w:rsidR="00CF186A" w:rsidRPr="00CF186A" w:rsidRDefault="00CF186A" w:rsidP="00CF186A">
            <w:pPr>
              <w:pStyle w:val="BodyText"/>
              <w:ind w:left="709" w:hanging="709"/>
              <w:rPr>
                <w:rFonts w:ascii="Arial" w:hAnsi="Arial" w:cs="Arial"/>
              </w:rPr>
            </w:pPr>
            <w:r w:rsidRPr="00CF186A">
              <w:rPr>
                <w:rFonts w:ascii="Arial" w:hAnsi="Arial" w:cs="Arial"/>
              </w:rPr>
              <w:t>(160)</w:t>
            </w:r>
          </w:p>
        </w:tc>
      </w:tr>
      <w:tr w:rsidR="00CF186A" w:rsidRPr="00CF186A" w14:paraId="0EBDF2FE" w14:textId="77777777" w:rsidTr="00CF186A">
        <w:trPr>
          <w:trHeight w:val="303"/>
        </w:trPr>
        <w:tc>
          <w:tcPr>
            <w:tcW w:w="3403" w:type="dxa"/>
            <w:noWrap/>
            <w:hideMark/>
          </w:tcPr>
          <w:p w14:paraId="6058C5D6" w14:textId="77777777" w:rsidR="00CF186A" w:rsidRPr="00CF186A" w:rsidRDefault="00CF186A" w:rsidP="00CF186A">
            <w:pPr>
              <w:pStyle w:val="BodyText"/>
              <w:ind w:left="709" w:hanging="709"/>
              <w:rPr>
                <w:rFonts w:ascii="Arial" w:hAnsi="Arial" w:cs="Arial"/>
                <w:b/>
                <w:bCs/>
              </w:rPr>
            </w:pPr>
            <w:r w:rsidRPr="00CF186A">
              <w:rPr>
                <w:rFonts w:ascii="Arial" w:hAnsi="Arial" w:cs="Arial"/>
                <w:b/>
                <w:bCs/>
              </w:rPr>
              <w:t>Closing CFR</w:t>
            </w:r>
          </w:p>
        </w:tc>
        <w:tc>
          <w:tcPr>
            <w:tcW w:w="1063" w:type="dxa"/>
            <w:noWrap/>
            <w:hideMark/>
          </w:tcPr>
          <w:p w14:paraId="48AA9A2D" w14:textId="77777777" w:rsidR="00CF186A" w:rsidRPr="00CF186A" w:rsidRDefault="00CF186A" w:rsidP="00CF186A">
            <w:pPr>
              <w:pStyle w:val="BodyText"/>
              <w:ind w:left="709" w:hanging="709"/>
              <w:rPr>
                <w:rFonts w:ascii="Arial" w:hAnsi="Arial" w:cs="Arial"/>
                <w:b/>
                <w:bCs/>
              </w:rPr>
            </w:pPr>
            <w:r w:rsidRPr="00CF186A">
              <w:rPr>
                <w:rFonts w:ascii="Arial" w:hAnsi="Arial" w:cs="Arial"/>
                <w:b/>
                <w:bCs/>
              </w:rPr>
              <w:t>10,560</w:t>
            </w:r>
          </w:p>
        </w:tc>
        <w:tc>
          <w:tcPr>
            <w:tcW w:w="1063" w:type="dxa"/>
            <w:noWrap/>
            <w:hideMark/>
          </w:tcPr>
          <w:p w14:paraId="53E99EB7" w14:textId="77777777" w:rsidR="00CF186A" w:rsidRPr="00CF186A" w:rsidRDefault="00CF186A" w:rsidP="00CF186A">
            <w:pPr>
              <w:pStyle w:val="BodyText"/>
              <w:ind w:left="709" w:hanging="709"/>
              <w:rPr>
                <w:rFonts w:ascii="Arial" w:hAnsi="Arial" w:cs="Arial"/>
                <w:b/>
                <w:bCs/>
              </w:rPr>
            </w:pPr>
            <w:r w:rsidRPr="00CF186A">
              <w:rPr>
                <w:rFonts w:ascii="Arial" w:hAnsi="Arial" w:cs="Arial"/>
                <w:b/>
                <w:bCs/>
              </w:rPr>
              <w:t>0</w:t>
            </w:r>
          </w:p>
        </w:tc>
        <w:tc>
          <w:tcPr>
            <w:tcW w:w="1101" w:type="dxa"/>
            <w:noWrap/>
            <w:hideMark/>
          </w:tcPr>
          <w:p w14:paraId="447AC1AD" w14:textId="77777777" w:rsidR="00CF186A" w:rsidRPr="00CF186A" w:rsidRDefault="00CF186A" w:rsidP="00CF186A">
            <w:pPr>
              <w:pStyle w:val="BodyText"/>
              <w:ind w:left="709" w:hanging="709"/>
              <w:rPr>
                <w:rFonts w:ascii="Arial" w:hAnsi="Arial" w:cs="Arial"/>
                <w:b/>
                <w:bCs/>
              </w:rPr>
            </w:pPr>
            <w:r w:rsidRPr="00CF186A">
              <w:rPr>
                <w:rFonts w:ascii="Arial" w:hAnsi="Arial" w:cs="Arial"/>
                <w:b/>
                <w:bCs/>
              </w:rPr>
              <w:t>13,117</w:t>
            </w:r>
          </w:p>
        </w:tc>
        <w:tc>
          <w:tcPr>
            <w:tcW w:w="1101" w:type="dxa"/>
            <w:noWrap/>
            <w:hideMark/>
          </w:tcPr>
          <w:p w14:paraId="3464D29B" w14:textId="77777777" w:rsidR="00CF186A" w:rsidRPr="00CF186A" w:rsidRDefault="00CF186A" w:rsidP="00CF186A">
            <w:pPr>
              <w:pStyle w:val="BodyText"/>
              <w:ind w:left="709" w:hanging="709"/>
              <w:rPr>
                <w:rFonts w:ascii="Arial" w:hAnsi="Arial" w:cs="Arial"/>
                <w:b/>
                <w:bCs/>
              </w:rPr>
            </w:pPr>
            <w:r w:rsidRPr="00CF186A">
              <w:rPr>
                <w:rFonts w:ascii="Arial" w:hAnsi="Arial" w:cs="Arial"/>
                <w:b/>
                <w:bCs/>
              </w:rPr>
              <w:t>16,370</w:t>
            </w:r>
          </w:p>
        </w:tc>
        <w:tc>
          <w:tcPr>
            <w:tcW w:w="1101" w:type="dxa"/>
            <w:noWrap/>
            <w:hideMark/>
          </w:tcPr>
          <w:p w14:paraId="1AF04619" w14:textId="77777777" w:rsidR="00CF186A" w:rsidRPr="00CF186A" w:rsidRDefault="00CF186A" w:rsidP="00CF186A">
            <w:pPr>
              <w:pStyle w:val="BodyText"/>
              <w:ind w:left="709" w:hanging="709"/>
              <w:rPr>
                <w:rFonts w:ascii="Arial" w:hAnsi="Arial" w:cs="Arial"/>
                <w:b/>
                <w:bCs/>
              </w:rPr>
            </w:pPr>
            <w:r w:rsidRPr="00CF186A">
              <w:rPr>
                <w:rFonts w:ascii="Arial" w:hAnsi="Arial" w:cs="Arial"/>
                <w:b/>
                <w:bCs/>
              </w:rPr>
              <w:t>26,529</w:t>
            </w:r>
          </w:p>
        </w:tc>
      </w:tr>
    </w:tbl>
    <w:p w14:paraId="6064BF68" w14:textId="77777777" w:rsidR="00575B2B" w:rsidRDefault="00575B2B" w:rsidP="003A2285">
      <w:pPr>
        <w:pStyle w:val="BodyText"/>
        <w:ind w:left="709" w:hanging="709"/>
        <w:rPr>
          <w:rFonts w:ascii="Arial" w:hAnsi="Arial" w:cs="Arial"/>
        </w:rPr>
      </w:pPr>
    </w:p>
    <w:p w14:paraId="140FE009" w14:textId="074BD1DB" w:rsidR="005D5C3D" w:rsidRDefault="001D4960" w:rsidP="005D5C3D">
      <w:pPr>
        <w:pStyle w:val="BodyText"/>
        <w:ind w:left="709" w:hanging="709"/>
        <w:rPr>
          <w:rFonts w:ascii="Arial" w:hAnsi="Arial" w:cs="Arial"/>
        </w:rPr>
      </w:pPr>
      <w:r>
        <w:rPr>
          <w:rFonts w:ascii="Arial" w:hAnsi="Arial" w:cs="Arial"/>
        </w:rPr>
        <w:t>2.4.</w:t>
      </w:r>
      <w:r w:rsidR="004378A7">
        <w:rPr>
          <w:rFonts w:ascii="Arial" w:hAnsi="Arial" w:cs="Arial"/>
        </w:rPr>
        <w:t>4</w:t>
      </w:r>
      <w:r w:rsidRPr="0040149D">
        <w:rPr>
          <w:rFonts w:ascii="Arial" w:hAnsi="Arial" w:cs="Arial"/>
        </w:rPr>
        <w:tab/>
      </w:r>
      <w:r w:rsidR="00672ED5" w:rsidRPr="002E0836">
        <w:rPr>
          <w:rFonts w:ascii="Arial" w:hAnsi="Arial" w:cs="Arial"/>
        </w:rPr>
        <w:t xml:space="preserve">The adoption of </w:t>
      </w:r>
      <w:r w:rsidR="00833223" w:rsidRPr="002E0836">
        <w:rPr>
          <w:rFonts w:ascii="Arial" w:hAnsi="Arial" w:cs="Arial"/>
        </w:rPr>
        <w:t>International Financial Reporting Standard (</w:t>
      </w:r>
      <w:r w:rsidR="00672ED5" w:rsidRPr="002E0836">
        <w:rPr>
          <w:rFonts w:ascii="Arial" w:hAnsi="Arial" w:cs="Arial"/>
        </w:rPr>
        <w:t>IFRS</w:t>
      </w:r>
      <w:r w:rsidR="00833223" w:rsidRPr="002E0836">
        <w:rPr>
          <w:rFonts w:ascii="Arial" w:hAnsi="Arial" w:cs="Arial"/>
        </w:rPr>
        <w:t>)</w:t>
      </w:r>
      <w:r w:rsidR="00672ED5" w:rsidRPr="002E0836">
        <w:rPr>
          <w:rFonts w:ascii="Arial" w:hAnsi="Arial" w:cs="Arial"/>
        </w:rPr>
        <w:t xml:space="preserve"> 16 </w:t>
      </w:r>
      <w:r w:rsidR="00833223" w:rsidRPr="002E0836">
        <w:rPr>
          <w:rFonts w:ascii="Arial" w:hAnsi="Arial" w:cs="Arial"/>
        </w:rPr>
        <w:t xml:space="preserve">– ‘Accounting for Leases’ </w:t>
      </w:r>
      <w:r w:rsidR="00672ED5" w:rsidRPr="002E0836">
        <w:rPr>
          <w:rFonts w:ascii="Arial" w:hAnsi="Arial" w:cs="Arial"/>
        </w:rPr>
        <w:t xml:space="preserve">should have </w:t>
      </w:r>
      <w:r w:rsidR="006C482E" w:rsidRPr="002E0836">
        <w:rPr>
          <w:rFonts w:ascii="Arial" w:hAnsi="Arial" w:cs="Arial"/>
        </w:rPr>
        <w:t>commenced</w:t>
      </w:r>
      <w:r w:rsidR="00672ED5" w:rsidRPr="002E0836">
        <w:rPr>
          <w:rFonts w:ascii="Arial" w:hAnsi="Arial" w:cs="Arial"/>
        </w:rPr>
        <w:t xml:space="preserve"> at the 1</w:t>
      </w:r>
      <w:r w:rsidR="00672ED5" w:rsidRPr="002E0836">
        <w:rPr>
          <w:rFonts w:ascii="Arial" w:hAnsi="Arial" w:cs="Arial"/>
          <w:vertAlign w:val="superscript"/>
        </w:rPr>
        <w:t>st</w:t>
      </w:r>
      <w:r w:rsidR="00672ED5" w:rsidRPr="002E0836">
        <w:rPr>
          <w:rFonts w:ascii="Arial" w:hAnsi="Arial" w:cs="Arial"/>
        </w:rPr>
        <w:t xml:space="preserve"> April 2021</w:t>
      </w:r>
      <w:r w:rsidR="00833223" w:rsidRPr="002E0836">
        <w:rPr>
          <w:rFonts w:ascii="Arial" w:hAnsi="Arial" w:cs="Arial"/>
        </w:rPr>
        <w:t>,</w:t>
      </w:r>
      <w:r w:rsidR="00672ED5" w:rsidRPr="002E0836">
        <w:rPr>
          <w:rFonts w:ascii="Arial" w:hAnsi="Arial" w:cs="Arial"/>
        </w:rPr>
        <w:t xml:space="preserve"> </w:t>
      </w:r>
      <w:r w:rsidR="00833223" w:rsidRPr="002E0836">
        <w:rPr>
          <w:rFonts w:ascii="Arial" w:hAnsi="Arial" w:cs="Arial"/>
        </w:rPr>
        <w:t xml:space="preserve">which would have </w:t>
      </w:r>
      <w:r w:rsidR="002E0836" w:rsidRPr="002E0836">
        <w:rPr>
          <w:rFonts w:ascii="Arial" w:hAnsi="Arial" w:cs="Arial"/>
        </w:rPr>
        <w:t xml:space="preserve">already </w:t>
      </w:r>
      <w:r w:rsidR="00833223" w:rsidRPr="002E0836">
        <w:rPr>
          <w:rFonts w:ascii="Arial" w:hAnsi="Arial" w:cs="Arial"/>
        </w:rPr>
        <w:t>impacted on the calculation of the Commissioner’s C</w:t>
      </w:r>
      <w:r w:rsidR="00672ED5" w:rsidRPr="002E0836">
        <w:rPr>
          <w:rFonts w:ascii="Arial" w:hAnsi="Arial" w:cs="Arial"/>
        </w:rPr>
        <w:t>FR</w:t>
      </w:r>
      <w:r w:rsidR="005D5C3D" w:rsidRPr="002E0836">
        <w:rPr>
          <w:rFonts w:ascii="Arial" w:hAnsi="Arial" w:cs="Arial"/>
        </w:rPr>
        <w:t xml:space="preserve"> within this Strategy</w:t>
      </w:r>
      <w:r w:rsidR="00833223" w:rsidRPr="002E0836">
        <w:rPr>
          <w:rFonts w:ascii="Arial" w:hAnsi="Arial" w:cs="Arial"/>
        </w:rPr>
        <w:t xml:space="preserve">.  However, in late November 2020 </w:t>
      </w:r>
      <w:proofErr w:type="gramStart"/>
      <w:r w:rsidR="00833223" w:rsidRPr="002E0836">
        <w:rPr>
          <w:rFonts w:ascii="Arial" w:hAnsi="Arial" w:cs="Arial"/>
        </w:rPr>
        <w:t>as a result of</w:t>
      </w:r>
      <w:proofErr w:type="gramEnd"/>
      <w:r w:rsidR="00833223" w:rsidRPr="002E0836">
        <w:rPr>
          <w:rFonts w:ascii="Arial" w:hAnsi="Arial" w:cs="Arial"/>
        </w:rPr>
        <w:t xml:space="preserve"> the Coronavirus pandemic, the</w:t>
      </w:r>
      <w:r w:rsidR="00672ED5" w:rsidRPr="002E0836">
        <w:rPr>
          <w:rFonts w:ascii="Arial" w:hAnsi="Arial" w:cs="Arial"/>
        </w:rPr>
        <w:t xml:space="preserve"> adoption </w:t>
      </w:r>
      <w:r w:rsidR="00833223" w:rsidRPr="002E0836">
        <w:rPr>
          <w:rFonts w:ascii="Arial" w:hAnsi="Arial" w:cs="Arial"/>
        </w:rPr>
        <w:t xml:space="preserve">of this Standard </w:t>
      </w:r>
      <w:r w:rsidR="00672ED5" w:rsidRPr="002E0836">
        <w:rPr>
          <w:rFonts w:ascii="Arial" w:hAnsi="Arial" w:cs="Arial"/>
        </w:rPr>
        <w:t xml:space="preserve">has been delayed for a year and </w:t>
      </w:r>
      <w:r w:rsidR="00267640">
        <w:rPr>
          <w:rFonts w:ascii="Arial" w:hAnsi="Arial" w:cs="Arial"/>
        </w:rPr>
        <w:t>should have</w:t>
      </w:r>
      <w:r w:rsidR="00672ED5" w:rsidRPr="002E0836">
        <w:rPr>
          <w:rFonts w:ascii="Arial" w:hAnsi="Arial" w:cs="Arial"/>
        </w:rPr>
        <w:t xml:space="preserve"> </w:t>
      </w:r>
      <w:r w:rsidR="00833223" w:rsidRPr="002E0836">
        <w:rPr>
          <w:rFonts w:ascii="Arial" w:hAnsi="Arial" w:cs="Arial"/>
        </w:rPr>
        <w:t>take</w:t>
      </w:r>
      <w:r w:rsidR="00267640">
        <w:rPr>
          <w:rFonts w:ascii="Arial" w:hAnsi="Arial" w:cs="Arial"/>
        </w:rPr>
        <w:t>n</w:t>
      </w:r>
      <w:r w:rsidR="00833223" w:rsidRPr="002E0836">
        <w:rPr>
          <w:rFonts w:ascii="Arial" w:hAnsi="Arial" w:cs="Arial"/>
        </w:rPr>
        <w:t xml:space="preserve"> effect </w:t>
      </w:r>
      <w:r w:rsidR="00672ED5" w:rsidRPr="002E0836">
        <w:rPr>
          <w:rFonts w:ascii="Arial" w:hAnsi="Arial" w:cs="Arial"/>
        </w:rPr>
        <w:t>from 1</w:t>
      </w:r>
      <w:r w:rsidR="00672ED5" w:rsidRPr="002E0836">
        <w:rPr>
          <w:rFonts w:ascii="Arial" w:hAnsi="Arial" w:cs="Arial"/>
          <w:vertAlign w:val="superscript"/>
        </w:rPr>
        <w:t>st</w:t>
      </w:r>
      <w:r w:rsidR="00672ED5" w:rsidRPr="002E0836">
        <w:rPr>
          <w:rFonts w:ascii="Arial" w:hAnsi="Arial" w:cs="Arial"/>
        </w:rPr>
        <w:t xml:space="preserve"> April 20</w:t>
      </w:r>
      <w:r w:rsidR="00267640">
        <w:rPr>
          <w:rFonts w:ascii="Arial" w:hAnsi="Arial" w:cs="Arial"/>
        </w:rPr>
        <w:t>2</w:t>
      </w:r>
      <w:r w:rsidR="0014394F">
        <w:rPr>
          <w:rFonts w:ascii="Arial" w:hAnsi="Arial" w:cs="Arial"/>
        </w:rPr>
        <w:t xml:space="preserve">2 </w:t>
      </w:r>
      <w:r w:rsidR="00267640">
        <w:rPr>
          <w:rFonts w:ascii="Arial" w:hAnsi="Arial" w:cs="Arial"/>
        </w:rPr>
        <w:t>but was delayed a further two years and will now commence 1</w:t>
      </w:r>
      <w:r w:rsidR="00267640" w:rsidRPr="00267640">
        <w:rPr>
          <w:rFonts w:ascii="Arial" w:hAnsi="Arial" w:cs="Arial"/>
          <w:vertAlign w:val="superscript"/>
        </w:rPr>
        <w:t>st</w:t>
      </w:r>
      <w:r w:rsidR="00267640">
        <w:rPr>
          <w:rFonts w:ascii="Arial" w:hAnsi="Arial" w:cs="Arial"/>
        </w:rPr>
        <w:t xml:space="preserve"> April 2024</w:t>
      </w:r>
      <w:r w:rsidR="00672ED5" w:rsidRPr="002E0836">
        <w:rPr>
          <w:rFonts w:ascii="Arial" w:hAnsi="Arial" w:cs="Arial"/>
        </w:rPr>
        <w:t>.</w:t>
      </w:r>
      <w:r w:rsidR="00AA0F52" w:rsidRPr="002E0836">
        <w:rPr>
          <w:rFonts w:ascii="Arial" w:hAnsi="Arial" w:cs="Arial"/>
        </w:rPr>
        <w:t xml:space="preserve"> </w:t>
      </w:r>
      <w:r w:rsidR="002E0836" w:rsidRPr="002E0836">
        <w:rPr>
          <w:rFonts w:ascii="Arial" w:hAnsi="Arial" w:cs="Arial"/>
        </w:rPr>
        <w:t xml:space="preserve"> </w:t>
      </w:r>
      <w:r w:rsidR="00575B2B" w:rsidRPr="002E0836">
        <w:rPr>
          <w:rFonts w:ascii="Arial" w:hAnsi="Arial" w:cs="Arial"/>
        </w:rPr>
        <w:t xml:space="preserve">The table above shows the impact of the implementation of </w:t>
      </w:r>
      <w:r w:rsidR="002E0836" w:rsidRPr="002E0836">
        <w:rPr>
          <w:rFonts w:ascii="Arial" w:hAnsi="Arial" w:cs="Arial"/>
        </w:rPr>
        <w:t>IFRS 16</w:t>
      </w:r>
      <w:r w:rsidR="00575B2B" w:rsidRPr="002E0836">
        <w:rPr>
          <w:rFonts w:ascii="Arial" w:hAnsi="Arial" w:cs="Arial"/>
        </w:rPr>
        <w:t xml:space="preserve"> with a net</w:t>
      </w:r>
      <w:r w:rsidR="009F67DF" w:rsidRPr="002E0836">
        <w:rPr>
          <w:rFonts w:ascii="Arial" w:hAnsi="Arial" w:cs="Arial"/>
        </w:rPr>
        <w:t xml:space="preserve"> increase</w:t>
      </w:r>
      <w:r w:rsidR="00575B2B" w:rsidRPr="002E0836">
        <w:rPr>
          <w:rFonts w:ascii="Arial" w:hAnsi="Arial" w:cs="Arial"/>
        </w:rPr>
        <w:t xml:space="preserve"> in the financia</w:t>
      </w:r>
      <w:r w:rsidR="009F67DF" w:rsidRPr="002E0836">
        <w:rPr>
          <w:rFonts w:ascii="Arial" w:hAnsi="Arial" w:cs="Arial"/>
        </w:rPr>
        <w:t>l</w:t>
      </w:r>
      <w:r w:rsidR="00575B2B" w:rsidRPr="002E0836">
        <w:rPr>
          <w:rFonts w:ascii="Arial" w:hAnsi="Arial" w:cs="Arial"/>
        </w:rPr>
        <w:t xml:space="preserve"> lease liability of £</w:t>
      </w:r>
      <w:r w:rsidR="00F81C50">
        <w:rPr>
          <w:rFonts w:ascii="Arial" w:hAnsi="Arial" w:cs="Arial"/>
        </w:rPr>
        <w:t>849</w:t>
      </w:r>
      <w:r w:rsidR="00CF186A">
        <w:rPr>
          <w:rFonts w:ascii="Arial" w:hAnsi="Arial" w:cs="Arial"/>
        </w:rPr>
        <w:t>,</w:t>
      </w:r>
      <w:r w:rsidR="00F81C50">
        <w:rPr>
          <w:rFonts w:ascii="Arial" w:hAnsi="Arial" w:cs="Arial"/>
        </w:rPr>
        <w:t>421</w:t>
      </w:r>
      <w:r w:rsidR="009F67DF" w:rsidRPr="002E0836">
        <w:rPr>
          <w:rFonts w:ascii="Arial" w:hAnsi="Arial" w:cs="Arial"/>
        </w:rPr>
        <w:t xml:space="preserve">. </w:t>
      </w:r>
      <w:r w:rsidR="002E0836" w:rsidRPr="002E0836">
        <w:rPr>
          <w:rFonts w:ascii="Arial" w:hAnsi="Arial" w:cs="Arial"/>
        </w:rPr>
        <w:t xml:space="preserve"> </w:t>
      </w:r>
      <w:r w:rsidR="009F67DF" w:rsidRPr="002E0836">
        <w:rPr>
          <w:rFonts w:ascii="Arial" w:hAnsi="Arial" w:cs="Arial"/>
        </w:rPr>
        <w:t>This represent</w:t>
      </w:r>
      <w:r w:rsidR="002E0836" w:rsidRPr="002E0836">
        <w:rPr>
          <w:rFonts w:ascii="Arial" w:hAnsi="Arial" w:cs="Arial"/>
        </w:rPr>
        <w:t>s</w:t>
      </w:r>
      <w:r w:rsidR="009F67DF" w:rsidRPr="002E0836">
        <w:rPr>
          <w:rFonts w:ascii="Arial" w:hAnsi="Arial" w:cs="Arial"/>
        </w:rPr>
        <w:t xml:space="preserve"> the initial recognition of £</w:t>
      </w:r>
      <w:r w:rsidR="00A27A08">
        <w:rPr>
          <w:rFonts w:ascii="Arial" w:hAnsi="Arial" w:cs="Arial"/>
        </w:rPr>
        <w:t>1,116</w:t>
      </w:r>
      <w:r w:rsidR="009F67DF" w:rsidRPr="002E0836">
        <w:rPr>
          <w:rFonts w:ascii="Arial" w:hAnsi="Arial" w:cs="Arial"/>
        </w:rPr>
        <w:t>,</w:t>
      </w:r>
      <w:r w:rsidR="00A27A08">
        <w:rPr>
          <w:rFonts w:ascii="Arial" w:hAnsi="Arial" w:cs="Arial"/>
        </w:rPr>
        <w:t>891</w:t>
      </w:r>
      <w:r w:rsidR="009F67DF" w:rsidRPr="002E0836">
        <w:rPr>
          <w:rFonts w:ascii="Arial" w:hAnsi="Arial" w:cs="Arial"/>
        </w:rPr>
        <w:t xml:space="preserve"> as a finance lease </w:t>
      </w:r>
      <w:r w:rsidR="00734144" w:rsidRPr="002E0836">
        <w:rPr>
          <w:rFonts w:ascii="Arial" w:hAnsi="Arial" w:cs="Arial"/>
        </w:rPr>
        <w:t>liability</w:t>
      </w:r>
      <w:r w:rsidR="009F67DF" w:rsidRPr="002E0836">
        <w:rPr>
          <w:rFonts w:ascii="Arial" w:hAnsi="Arial" w:cs="Arial"/>
        </w:rPr>
        <w:t xml:space="preserve"> under IFRS 16 plus a decrease due to the  </w:t>
      </w:r>
      <w:r w:rsidR="001C0D51" w:rsidRPr="002E0836">
        <w:rPr>
          <w:rFonts w:ascii="Arial" w:hAnsi="Arial" w:cs="Arial"/>
        </w:rPr>
        <w:t>in</w:t>
      </w:r>
      <w:r w:rsidR="00734144" w:rsidRPr="002E0836">
        <w:rPr>
          <w:rFonts w:ascii="Arial" w:hAnsi="Arial" w:cs="Arial"/>
        </w:rPr>
        <w:t>-</w:t>
      </w:r>
      <w:r w:rsidR="001C0D51" w:rsidRPr="002E0836">
        <w:rPr>
          <w:rFonts w:ascii="Arial" w:hAnsi="Arial" w:cs="Arial"/>
        </w:rPr>
        <w:t>year lease payments.</w:t>
      </w:r>
      <w:r w:rsidR="002E0836" w:rsidRPr="002E0836">
        <w:rPr>
          <w:rFonts w:ascii="Arial" w:hAnsi="Arial" w:cs="Arial"/>
        </w:rPr>
        <w:t xml:space="preserve">  </w:t>
      </w:r>
      <w:r w:rsidR="00D35F37" w:rsidRPr="002E0836">
        <w:rPr>
          <w:rFonts w:ascii="Arial" w:hAnsi="Arial" w:cs="Arial"/>
        </w:rPr>
        <w:t>The above figures were estimates calculate</w:t>
      </w:r>
      <w:r w:rsidR="002E0836" w:rsidRPr="002E0836">
        <w:rPr>
          <w:rFonts w:ascii="Arial" w:hAnsi="Arial" w:cs="Arial"/>
        </w:rPr>
        <w:t>d</w:t>
      </w:r>
      <w:r w:rsidR="00D35F37" w:rsidRPr="002E0836">
        <w:rPr>
          <w:rFonts w:ascii="Arial" w:hAnsi="Arial" w:cs="Arial"/>
        </w:rPr>
        <w:t xml:space="preserve"> with information available at </w:t>
      </w:r>
      <w:r w:rsidR="002E0836" w:rsidRPr="002E0836">
        <w:rPr>
          <w:rFonts w:ascii="Arial" w:hAnsi="Arial" w:cs="Arial"/>
        </w:rPr>
        <w:t xml:space="preserve">the </w:t>
      </w:r>
      <w:proofErr w:type="gramStart"/>
      <w:r w:rsidR="00434645">
        <w:rPr>
          <w:rFonts w:ascii="Arial" w:hAnsi="Arial" w:cs="Arial"/>
        </w:rPr>
        <w:t>7</w:t>
      </w:r>
      <w:r w:rsidR="00434645" w:rsidRPr="00434645">
        <w:rPr>
          <w:rFonts w:ascii="Arial" w:hAnsi="Arial" w:cs="Arial"/>
          <w:vertAlign w:val="superscript"/>
        </w:rPr>
        <w:t>th</w:t>
      </w:r>
      <w:proofErr w:type="gramEnd"/>
      <w:r w:rsidR="00434645">
        <w:rPr>
          <w:rFonts w:ascii="Arial" w:hAnsi="Arial" w:cs="Arial"/>
        </w:rPr>
        <w:t xml:space="preserve"> November</w:t>
      </w:r>
      <w:r w:rsidR="00D35F37" w:rsidRPr="002E0836">
        <w:rPr>
          <w:rFonts w:ascii="Arial" w:hAnsi="Arial" w:cs="Arial"/>
        </w:rPr>
        <w:t xml:space="preserve"> 202</w:t>
      </w:r>
      <w:r w:rsidR="00434645">
        <w:rPr>
          <w:rFonts w:ascii="Arial" w:hAnsi="Arial" w:cs="Arial"/>
        </w:rPr>
        <w:t>3</w:t>
      </w:r>
      <w:r w:rsidR="00D35F37" w:rsidRPr="002E0836">
        <w:rPr>
          <w:rFonts w:ascii="Arial" w:hAnsi="Arial" w:cs="Arial"/>
        </w:rPr>
        <w:t xml:space="preserve"> and will </w:t>
      </w:r>
      <w:r w:rsidR="002E0836" w:rsidRPr="002E0836">
        <w:rPr>
          <w:rFonts w:ascii="Arial" w:hAnsi="Arial" w:cs="Arial"/>
        </w:rPr>
        <w:t xml:space="preserve">therefore </w:t>
      </w:r>
      <w:r w:rsidR="00D35F37" w:rsidRPr="002E0836">
        <w:rPr>
          <w:rFonts w:ascii="Arial" w:hAnsi="Arial" w:cs="Arial"/>
        </w:rPr>
        <w:t>be subject to change.</w:t>
      </w:r>
    </w:p>
    <w:p w14:paraId="40127849" w14:textId="77777777" w:rsidR="005D5C3D" w:rsidRDefault="005D5C3D" w:rsidP="005D5C3D">
      <w:pPr>
        <w:pStyle w:val="BodyText"/>
        <w:ind w:left="709" w:hanging="709"/>
        <w:rPr>
          <w:rFonts w:ascii="Arial" w:hAnsi="Arial" w:cs="Arial"/>
        </w:rPr>
      </w:pPr>
    </w:p>
    <w:p w14:paraId="1F9D5925" w14:textId="74A1022D" w:rsidR="00262338" w:rsidRPr="001D4960" w:rsidRDefault="005D5C3D" w:rsidP="005D5C3D">
      <w:pPr>
        <w:pStyle w:val="BodyText"/>
        <w:ind w:left="709" w:hanging="709"/>
        <w:rPr>
          <w:rFonts w:ascii="Arial" w:hAnsi="Arial" w:cs="Arial"/>
        </w:rPr>
      </w:pPr>
      <w:r>
        <w:rPr>
          <w:rFonts w:ascii="Arial" w:hAnsi="Arial" w:cs="Arial"/>
        </w:rPr>
        <w:t>2.4.5</w:t>
      </w:r>
      <w:r>
        <w:rPr>
          <w:rFonts w:ascii="Arial" w:hAnsi="Arial" w:cs="Arial"/>
        </w:rPr>
        <w:tab/>
      </w:r>
      <w:r w:rsidRPr="00434645">
        <w:rPr>
          <w:rFonts w:ascii="Arial" w:hAnsi="Arial" w:cs="Arial"/>
        </w:rPr>
        <w:t>I</w:t>
      </w:r>
      <w:r w:rsidR="00672ED5" w:rsidRPr="00434645">
        <w:rPr>
          <w:rFonts w:ascii="Arial" w:hAnsi="Arial" w:cs="Arial"/>
        </w:rPr>
        <w:t xml:space="preserve">n line with the </w:t>
      </w:r>
      <w:r w:rsidR="006C482E" w:rsidRPr="00434645">
        <w:rPr>
          <w:rFonts w:ascii="Arial" w:hAnsi="Arial" w:cs="Arial"/>
        </w:rPr>
        <w:t>latest</w:t>
      </w:r>
      <w:r w:rsidR="00672ED5" w:rsidRPr="00434645">
        <w:rPr>
          <w:rFonts w:ascii="Arial" w:hAnsi="Arial" w:cs="Arial"/>
        </w:rPr>
        <w:t xml:space="preserve"> MRP guidance</w:t>
      </w:r>
      <w:r w:rsidRPr="00434645">
        <w:rPr>
          <w:rFonts w:ascii="Arial" w:hAnsi="Arial" w:cs="Arial"/>
        </w:rPr>
        <w:t xml:space="preserve">, </w:t>
      </w:r>
      <w:r w:rsidR="00672ED5" w:rsidRPr="00434645">
        <w:rPr>
          <w:rFonts w:ascii="Arial" w:hAnsi="Arial" w:cs="Arial"/>
        </w:rPr>
        <w:t>t</w:t>
      </w:r>
      <w:r w:rsidR="00262338" w:rsidRPr="00434645">
        <w:rPr>
          <w:rFonts w:ascii="Arial" w:hAnsi="Arial" w:cs="Arial"/>
        </w:rPr>
        <w:t xml:space="preserve">he Commissioner will be required to make a MRP </w:t>
      </w:r>
      <w:r w:rsidR="002E0836" w:rsidRPr="00434645">
        <w:rPr>
          <w:rFonts w:ascii="Arial" w:hAnsi="Arial" w:cs="Arial"/>
        </w:rPr>
        <w:t>in</w:t>
      </w:r>
      <w:r w:rsidR="00B264E7" w:rsidRPr="00434645">
        <w:rPr>
          <w:rFonts w:ascii="Arial" w:hAnsi="Arial" w:cs="Arial"/>
        </w:rPr>
        <w:t xml:space="preserve"> 202</w:t>
      </w:r>
      <w:r w:rsidR="00434645" w:rsidRPr="00434645">
        <w:rPr>
          <w:rFonts w:ascii="Arial" w:hAnsi="Arial" w:cs="Arial"/>
        </w:rPr>
        <w:t>5</w:t>
      </w:r>
      <w:r w:rsidR="00B264E7" w:rsidRPr="00434645">
        <w:rPr>
          <w:rFonts w:ascii="Arial" w:hAnsi="Arial" w:cs="Arial"/>
        </w:rPr>
        <w:t>/2</w:t>
      </w:r>
      <w:r w:rsidR="00434645" w:rsidRPr="00434645">
        <w:rPr>
          <w:rFonts w:ascii="Arial" w:hAnsi="Arial" w:cs="Arial"/>
        </w:rPr>
        <w:t>6</w:t>
      </w:r>
      <w:r w:rsidR="002E0836" w:rsidRPr="00434645">
        <w:rPr>
          <w:rFonts w:ascii="Arial" w:hAnsi="Arial" w:cs="Arial"/>
        </w:rPr>
        <w:t>.</w:t>
      </w:r>
      <w:r w:rsidR="002E0836">
        <w:rPr>
          <w:rFonts w:ascii="Arial" w:hAnsi="Arial" w:cs="Arial"/>
        </w:rPr>
        <w:t xml:space="preserve">  The Commissioner’s </w:t>
      </w:r>
      <w:r w:rsidR="00262338">
        <w:rPr>
          <w:rFonts w:ascii="Arial" w:hAnsi="Arial" w:cs="Arial"/>
        </w:rPr>
        <w:t>policy on th</w:t>
      </w:r>
      <w:r w:rsidR="00B264E7">
        <w:rPr>
          <w:rFonts w:ascii="Arial" w:hAnsi="Arial" w:cs="Arial"/>
        </w:rPr>
        <w:t xml:space="preserve">is matter </w:t>
      </w:r>
      <w:r w:rsidR="002E0836">
        <w:rPr>
          <w:rFonts w:ascii="Arial" w:hAnsi="Arial" w:cs="Arial"/>
        </w:rPr>
        <w:t>is therefore at</w:t>
      </w:r>
      <w:r w:rsidR="00B264E7">
        <w:rPr>
          <w:rFonts w:ascii="Arial" w:hAnsi="Arial" w:cs="Arial"/>
        </w:rPr>
        <w:t xml:space="preserve"> section 3 below</w:t>
      </w:r>
      <w:r w:rsidR="00262338">
        <w:rPr>
          <w:rFonts w:ascii="Arial" w:hAnsi="Arial" w:cs="Arial"/>
        </w:rPr>
        <w:t>.</w:t>
      </w:r>
    </w:p>
    <w:p w14:paraId="7271A4FF" w14:textId="1ECD7F78" w:rsidR="005D5C3D" w:rsidRDefault="005D5C3D" w:rsidP="00505EFE">
      <w:pPr>
        <w:pStyle w:val="BodyText"/>
        <w:ind w:left="709" w:firstLine="11"/>
        <w:rPr>
          <w:rFonts w:cs="Arial"/>
          <w:b/>
        </w:rPr>
      </w:pPr>
    </w:p>
    <w:p w14:paraId="4C9FE207" w14:textId="77777777" w:rsidR="003838F9" w:rsidRDefault="003838F9" w:rsidP="00505EFE">
      <w:pPr>
        <w:pStyle w:val="BodyText"/>
        <w:ind w:left="709" w:firstLine="11"/>
        <w:rPr>
          <w:rFonts w:cs="Arial"/>
          <w:b/>
        </w:rPr>
      </w:pPr>
    </w:p>
    <w:p w14:paraId="0CD3D28F" w14:textId="77777777" w:rsidR="000B0254" w:rsidRPr="00AA7297" w:rsidRDefault="0033691C" w:rsidP="00615280">
      <w:pPr>
        <w:rPr>
          <w:rFonts w:ascii="Arial" w:hAnsi="Arial" w:cs="Arial"/>
          <w:b/>
          <w:bCs/>
        </w:rPr>
      </w:pPr>
      <w:r w:rsidRPr="00615280">
        <w:rPr>
          <w:rFonts w:ascii="Arial" w:hAnsi="Arial" w:cs="Arial"/>
          <w:b/>
          <w:bCs/>
        </w:rPr>
        <w:t>3.</w:t>
      </w:r>
      <w:r w:rsidRPr="00615280">
        <w:rPr>
          <w:rFonts w:ascii="Arial" w:hAnsi="Arial" w:cs="Arial"/>
          <w:b/>
          <w:bCs/>
        </w:rPr>
        <w:tab/>
      </w:r>
      <w:r w:rsidRPr="00AA7297">
        <w:rPr>
          <w:rFonts w:ascii="Arial" w:hAnsi="Arial" w:cs="Arial"/>
          <w:b/>
          <w:bCs/>
        </w:rPr>
        <w:t xml:space="preserve">MINIMUM REVENUE PROVISION </w:t>
      </w:r>
      <w:r w:rsidRPr="009B4A35">
        <w:rPr>
          <w:rFonts w:ascii="Arial" w:hAnsi="Arial" w:cs="Arial"/>
          <w:b/>
          <w:bCs/>
        </w:rPr>
        <w:t>POLICY</w:t>
      </w:r>
    </w:p>
    <w:p w14:paraId="35417E9C" w14:textId="77777777" w:rsidR="00862151" w:rsidRPr="00615280" w:rsidRDefault="00862151" w:rsidP="00615280">
      <w:pPr>
        <w:rPr>
          <w:rFonts w:ascii="Arial" w:hAnsi="Arial" w:cs="Arial"/>
          <w:b/>
          <w:bCs/>
        </w:rPr>
      </w:pPr>
    </w:p>
    <w:p w14:paraId="2CA2E52A" w14:textId="1855C806" w:rsidR="00113DFE" w:rsidRPr="0095786D" w:rsidRDefault="0033691C" w:rsidP="00B23601">
      <w:pPr>
        <w:ind w:left="709" w:hanging="709"/>
        <w:jc w:val="both"/>
        <w:rPr>
          <w:rFonts w:ascii="Arial" w:hAnsi="Arial" w:cs="Arial"/>
          <w:bCs/>
        </w:rPr>
      </w:pPr>
      <w:r w:rsidRPr="00AA7297">
        <w:rPr>
          <w:rFonts w:ascii="Arial" w:hAnsi="Arial" w:cs="Arial"/>
          <w:bCs/>
        </w:rPr>
        <w:t>3.1</w:t>
      </w:r>
      <w:r w:rsidRPr="00615280">
        <w:rPr>
          <w:rFonts w:ascii="Arial" w:hAnsi="Arial" w:cs="Arial"/>
          <w:b/>
          <w:bCs/>
        </w:rPr>
        <w:tab/>
      </w:r>
      <w:r w:rsidRPr="00667041">
        <w:rPr>
          <w:rFonts w:ascii="Arial" w:hAnsi="Arial" w:cs="Arial"/>
          <w:bCs/>
        </w:rPr>
        <w:t xml:space="preserve">The </w:t>
      </w:r>
      <w:r w:rsidR="00BF415F" w:rsidRPr="00667041">
        <w:rPr>
          <w:rFonts w:ascii="Arial" w:hAnsi="Arial" w:cs="Arial"/>
          <w:bCs/>
        </w:rPr>
        <w:t>Commissioner</w:t>
      </w:r>
      <w:r w:rsidRPr="0090495A">
        <w:rPr>
          <w:rFonts w:ascii="Arial" w:hAnsi="Arial" w:cs="Arial"/>
          <w:bCs/>
        </w:rPr>
        <w:t xml:space="preserve"> is required to </w:t>
      </w:r>
      <w:r w:rsidR="00B264E7" w:rsidRPr="000E711E">
        <w:rPr>
          <w:rFonts w:ascii="Arial" w:hAnsi="Arial" w:cs="Arial"/>
          <w:bCs/>
        </w:rPr>
        <w:t>recognis</w:t>
      </w:r>
      <w:r w:rsidR="007C2FE3" w:rsidRPr="006849F8">
        <w:rPr>
          <w:rFonts w:ascii="Arial" w:hAnsi="Arial" w:cs="Arial"/>
          <w:bCs/>
        </w:rPr>
        <w:t>e</w:t>
      </w:r>
      <w:r w:rsidRPr="008E09B6">
        <w:rPr>
          <w:rFonts w:ascii="Arial" w:hAnsi="Arial" w:cs="Arial"/>
          <w:bCs/>
        </w:rPr>
        <w:t xml:space="preserve"> an element of outstanding capital borrowing each year through a re</w:t>
      </w:r>
      <w:r w:rsidR="003E64A8">
        <w:rPr>
          <w:rFonts w:ascii="Arial" w:hAnsi="Arial" w:cs="Arial"/>
          <w:bCs/>
        </w:rPr>
        <w:t xml:space="preserve">venue charge known as the MRP.  </w:t>
      </w:r>
      <w:r w:rsidR="00B264E7" w:rsidRPr="00471C3D">
        <w:rPr>
          <w:rFonts w:ascii="Arial" w:hAnsi="Arial" w:cs="Arial"/>
          <w:bCs/>
        </w:rPr>
        <w:t xml:space="preserve">The MRP is calculated to match the repayment of borrowing over the life of </w:t>
      </w:r>
      <w:r w:rsidR="00B264E7" w:rsidRPr="00471C3D">
        <w:rPr>
          <w:rFonts w:ascii="Arial" w:hAnsi="Arial" w:cs="Arial"/>
          <w:bCs/>
        </w:rPr>
        <w:lastRenderedPageBreak/>
        <w:t>the assets, for which debt has been raised</w:t>
      </w:r>
      <w:r w:rsidR="00EC25FF">
        <w:rPr>
          <w:rFonts w:ascii="Arial" w:hAnsi="Arial" w:cs="Arial"/>
          <w:bCs/>
        </w:rPr>
        <w:t xml:space="preserve"> and is </w:t>
      </w:r>
      <w:r w:rsidR="00EC25FF" w:rsidRPr="00542298">
        <w:rPr>
          <w:rFonts w:ascii="Arial" w:hAnsi="Arial" w:cs="Arial"/>
          <w:bCs/>
        </w:rPr>
        <w:t>charged</w:t>
      </w:r>
      <w:r w:rsidR="003838F9">
        <w:rPr>
          <w:rFonts w:ascii="Arial" w:hAnsi="Arial" w:cs="Arial"/>
          <w:bCs/>
        </w:rPr>
        <w:t xml:space="preserve"> in</w:t>
      </w:r>
      <w:r w:rsidR="00EC25FF" w:rsidRPr="00542298">
        <w:rPr>
          <w:rFonts w:ascii="Arial" w:hAnsi="Arial" w:cs="Arial"/>
          <w:bCs/>
        </w:rPr>
        <w:t xml:space="preserve"> the following year after the asset becomes operational</w:t>
      </w:r>
      <w:r w:rsidR="00B264E7" w:rsidRPr="00542298">
        <w:rPr>
          <w:rFonts w:ascii="Arial" w:hAnsi="Arial" w:cs="Arial"/>
          <w:bCs/>
        </w:rPr>
        <w:t>.</w:t>
      </w:r>
      <w:r w:rsidR="003E64A8" w:rsidRPr="00542298">
        <w:rPr>
          <w:rFonts w:ascii="Arial" w:hAnsi="Arial" w:cs="Arial"/>
          <w:bCs/>
        </w:rPr>
        <w:t xml:space="preserve"> </w:t>
      </w:r>
      <w:r w:rsidR="005D5C3D">
        <w:rPr>
          <w:rFonts w:ascii="Arial" w:hAnsi="Arial" w:cs="Arial"/>
          <w:bCs/>
        </w:rPr>
        <w:t xml:space="preserve"> </w:t>
      </w:r>
      <w:r w:rsidRPr="00542298">
        <w:rPr>
          <w:rFonts w:ascii="Arial" w:hAnsi="Arial" w:cs="Arial"/>
          <w:bCs/>
        </w:rPr>
        <w:t xml:space="preserve">It is also permissible to pay </w:t>
      </w:r>
      <w:r w:rsidR="00A46452" w:rsidRPr="00542298">
        <w:rPr>
          <w:rFonts w:ascii="Arial" w:hAnsi="Arial" w:cs="Arial"/>
          <w:bCs/>
        </w:rPr>
        <w:t>an additional amount</w:t>
      </w:r>
      <w:r w:rsidRPr="00542298">
        <w:rPr>
          <w:rFonts w:ascii="Arial" w:hAnsi="Arial" w:cs="Arial"/>
          <w:bCs/>
        </w:rPr>
        <w:t xml:space="preserve"> known as</w:t>
      </w:r>
      <w:r w:rsidR="00A46452" w:rsidRPr="00542298">
        <w:rPr>
          <w:rFonts w:ascii="Arial" w:hAnsi="Arial" w:cs="Arial"/>
          <w:bCs/>
        </w:rPr>
        <w:t xml:space="preserve"> a</w:t>
      </w:r>
      <w:r w:rsidRPr="00542298">
        <w:rPr>
          <w:rFonts w:ascii="Arial" w:hAnsi="Arial" w:cs="Arial"/>
          <w:bCs/>
        </w:rPr>
        <w:t xml:space="preserve"> Voluntary Revenue Provision</w:t>
      </w:r>
      <w:r w:rsidRPr="009719D8">
        <w:rPr>
          <w:rFonts w:ascii="Arial" w:hAnsi="Arial" w:cs="Arial"/>
          <w:bCs/>
        </w:rPr>
        <w:t xml:space="preserve"> (VRP). </w:t>
      </w:r>
      <w:r w:rsidR="003E64A8">
        <w:rPr>
          <w:rFonts w:ascii="Arial" w:hAnsi="Arial" w:cs="Arial"/>
          <w:bCs/>
        </w:rPr>
        <w:t xml:space="preserve"> </w:t>
      </w:r>
      <w:r w:rsidRPr="009719D8">
        <w:rPr>
          <w:rFonts w:ascii="Arial" w:hAnsi="Arial" w:cs="Arial"/>
          <w:bCs/>
        </w:rPr>
        <w:t>Under W</w:t>
      </w:r>
      <w:r w:rsidR="003E2B34" w:rsidRPr="00ED5AD3">
        <w:rPr>
          <w:rFonts w:ascii="Arial" w:hAnsi="Arial" w:cs="Arial"/>
          <w:bCs/>
        </w:rPr>
        <w:t xml:space="preserve">elsh </w:t>
      </w:r>
      <w:r w:rsidRPr="00ED5AD3">
        <w:rPr>
          <w:rFonts w:ascii="Arial" w:hAnsi="Arial" w:cs="Arial"/>
          <w:bCs/>
        </w:rPr>
        <w:t>G</w:t>
      </w:r>
      <w:r w:rsidR="003E2B34" w:rsidRPr="00ED5AD3">
        <w:rPr>
          <w:rFonts w:ascii="Arial" w:hAnsi="Arial" w:cs="Arial"/>
          <w:bCs/>
        </w:rPr>
        <w:t>overnment (WG)</w:t>
      </w:r>
      <w:r w:rsidRPr="00257330">
        <w:rPr>
          <w:rFonts w:ascii="Arial" w:hAnsi="Arial" w:cs="Arial"/>
          <w:bCs/>
        </w:rPr>
        <w:t xml:space="preserve"> Regulations the </w:t>
      </w:r>
      <w:r w:rsidR="00BF415F" w:rsidRPr="00257330">
        <w:rPr>
          <w:rFonts w:ascii="Arial" w:hAnsi="Arial" w:cs="Arial"/>
          <w:bCs/>
        </w:rPr>
        <w:t>Commissioner</w:t>
      </w:r>
      <w:r w:rsidRPr="00257330">
        <w:rPr>
          <w:rFonts w:ascii="Arial" w:hAnsi="Arial" w:cs="Arial"/>
          <w:bCs/>
        </w:rPr>
        <w:t xml:space="preserve"> </w:t>
      </w:r>
      <w:proofErr w:type="gramStart"/>
      <w:r w:rsidRPr="00257330">
        <w:rPr>
          <w:rFonts w:ascii="Arial" w:hAnsi="Arial" w:cs="Arial"/>
          <w:bCs/>
        </w:rPr>
        <w:t>has to</w:t>
      </w:r>
      <w:proofErr w:type="gramEnd"/>
      <w:r w:rsidRPr="00257330">
        <w:rPr>
          <w:rFonts w:ascii="Arial" w:hAnsi="Arial" w:cs="Arial"/>
          <w:bCs/>
        </w:rPr>
        <w:t xml:space="preserve"> approve an MRP St</w:t>
      </w:r>
      <w:r w:rsidRPr="00AA0F52">
        <w:rPr>
          <w:rFonts w:ascii="Arial" w:hAnsi="Arial" w:cs="Arial"/>
          <w:bCs/>
        </w:rPr>
        <w:t>atement in advance of each year.</w:t>
      </w:r>
      <w:r w:rsidR="00B23601">
        <w:rPr>
          <w:rFonts w:ascii="Arial" w:hAnsi="Arial" w:cs="Arial"/>
          <w:bCs/>
        </w:rPr>
        <w:t xml:space="preserve"> </w:t>
      </w:r>
      <w:r w:rsidRPr="00AA0F52">
        <w:rPr>
          <w:rFonts w:ascii="Arial" w:hAnsi="Arial" w:cs="Arial"/>
          <w:bCs/>
        </w:rPr>
        <w:t xml:space="preserve">The </w:t>
      </w:r>
      <w:r w:rsidR="00BF415F" w:rsidRPr="00AA0F52">
        <w:rPr>
          <w:rFonts w:ascii="Arial" w:hAnsi="Arial" w:cs="Arial"/>
          <w:bCs/>
        </w:rPr>
        <w:t>Commissioner</w:t>
      </w:r>
      <w:r w:rsidRPr="00AA0F52">
        <w:rPr>
          <w:rFonts w:ascii="Arial" w:hAnsi="Arial" w:cs="Arial"/>
          <w:bCs/>
        </w:rPr>
        <w:t xml:space="preserve"> is recommended to adopt the following MRP policy for 20</w:t>
      </w:r>
      <w:r w:rsidR="00EC25FF">
        <w:rPr>
          <w:rFonts w:ascii="Arial" w:hAnsi="Arial" w:cs="Arial"/>
          <w:bCs/>
        </w:rPr>
        <w:t>2</w:t>
      </w:r>
      <w:r w:rsidR="00B576F5">
        <w:rPr>
          <w:rFonts w:ascii="Arial" w:hAnsi="Arial" w:cs="Arial"/>
          <w:bCs/>
        </w:rPr>
        <w:t>4</w:t>
      </w:r>
      <w:r w:rsidR="00365BC2" w:rsidRPr="000D6222">
        <w:rPr>
          <w:rFonts w:ascii="Arial" w:hAnsi="Arial" w:cs="Arial"/>
          <w:bCs/>
        </w:rPr>
        <w:t>/2</w:t>
      </w:r>
      <w:r w:rsidR="00B576F5">
        <w:rPr>
          <w:rFonts w:ascii="Arial" w:hAnsi="Arial" w:cs="Arial"/>
          <w:bCs/>
        </w:rPr>
        <w:t>5</w:t>
      </w:r>
      <w:r w:rsidRPr="000D6222">
        <w:rPr>
          <w:rFonts w:ascii="Arial" w:hAnsi="Arial" w:cs="Arial"/>
          <w:bCs/>
        </w:rPr>
        <w:t>:</w:t>
      </w:r>
    </w:p>
    <w:p w14:paraId="003E4278" w14:textId="77777777" w:rsidR="00E970E8" w:rsidRDefault="00E970E8" w:rsidP="00615280">
      <w:pPr>
        <w:pStyle w:val="BodyText"/>
        <w:ind w:left="709" w:hanging="709"/>
        <w:rPr>
          <w:rFonts w:ascii="Arial" w:hAnsi="Arial" w:cs="Arial"/>
        </w:rPr>
      </w:pPr>
    </w:p>
    <w:p w14:paraId="6F88B0A2" w14:textId="77777777" w:rsidR="00113DFE" w:rsidRPr="0033691C" w:rsidRDefault="0033691C" w:rsidP="003A2285">
      <w:pPr>
        <w:pStyle w:val="BodyText"/>
        <w:ind w:left="1418" w:hanging="709"/>
        <w:rPr>
          <w:rFonts w:ascii="Arial" w:hAnsi="Arial" w:cs="Arial"/>
        </w:rPr>
      </w:pPr>
      <w:r w:rsidRPr="0033691C">
        <w:rPr>
          <w:rFonts w:ascii="Arial" w:hAnsi="Arial" w:cs="Arial"/>
        </w:rPr>
        <w:t>(</w:t>
      </w:r>
      <w:proofErr w:type="spellStart"/>
      <w:r w:rsidR="00113DFE">
        <w:rPr>
          <w:rFonts w:ascii="Arial" w:hAnsi="Arial" w:cs="Arial"/>
        </w:rPr>
        <w:t>i</w:t>
      </w:r>
      <w:proofErr w:type="spellEnd"/>
      <w:r w:rsidRPr="0033691C">
        <w:rPr>
          <w:rFonts w:ascii="Arial" w:hAnsi="Arial" w:cs="Arial"/>
        </w:rPr>
        <w:t xml:space="preserve">)  </w:t>
      </w:r>
      <w:r w:rsidR="008B5A01">
        <w:rPr>
          <w:rFonts w:ascii="Arial" w:hAnsi="Arial" w:cs="Arial"/>
        </w:rPr>
        <w:tab/>
      </w:r>
      <w:r w:rsidR="009B4A35">
        <w:rPr>
          <w:rFonts w:ascii="Arial" w:hAnsi="Arial" w:cs="Arial"/>
        </w:rPr>
        <w:t>F</w:t>
      </w:r>
      <w:r w:rsidRPr="0033691C">
        <w:rPr>
          <w:rFonts w:ascii="Arial" w:hAnsi="Arial" w:cs="Arial"/>
        </w:rPr>
        <w:t>or all capital expenditure incurred before 1</w:t>
      </w:r>
      <w:r w:rsidR="003E2B34" w:rsidRPr="00615280">
        <w:rPr>
          <w:rFonts w:ascii="Arial" w:hAnsi="Arial" w:cs="Arial"/>
          <w:vertAlign w:val="superscript"/>
        </w:rPr>
        <w:t>st</w:t>
      </w:r>
      <w:r w:rsidR="003E2B34">
        <w:rPr>
          <w:rFonts w:ascii="Arial" w:hAnsi="Arial" w:cs="Arial"/>
        </w:rPr>
        <w:t xml:space="preserve"> </w:t>
      </w:r>
      <w:r w:rsidRPr="0033691C">
        <w:rPr>
          <w:rFonts w:ascii="Arial" w:hAnsi="Arial" w:cs="Arial"/>
        </w:rPr>
        <w:t xml:space="preserve">April 2008 and all supported capital expenditure incurred since that date or in the future, the MRP policy will be 4% of the </w:t>
      </w:r>
      <w:r w:rsidR="00726BDB">
        <w:rPr>
          <w:rFonts w:ascii="Arial" w:hAnsi="Arial" w:cs="Arial"/>
        </w:rPr>
        <w:t>CFR</w:t>
      </w:r>
      <w:r w:rsidR="00F333F1">
        <w:rPr>
          <w:rFonts w:ascii="Arial" w:hAnsi="Arial" w:cs="Arial"/>
        </w:rPr>
        <w:t xml:space="preserve">.  </w:t>
      </w:r>
      <w:r w:rsidRPr="0033691C">
        <w:rPr>
          <w:rFonts w:ascii="Arial" w:hAnsi="Arial" w:cs="Arial"/>
        </w:rPr>
        <w:t>This is consistent with the practice in place prior to the current regulations; and</w:t>
      </w:r>
    </w:p>
    <w:p w14:paraId="69ED3C26" w14:textId="77777777" w:rsidR="003B609F" w:rsidRDefault="009B4A35" w:rsidP="00615280">
      <w:pPr>
        <w:pStyle w:val="BodyText"/>
        <w:ind w:left="1418" w:hanging="709"/>
        <w:rPr>
          <w:rFonts w:ascii="Arial" w:hAnsi="Arial" w:cs="Arial"/>
        </w:rPr>
      </w:pPr>
      <w:r>
        <w:rPr>
          <w:rFonts w:ascii="Arial" w:hAnsi="Arial" w:cs="Arial"/>
        </w:rPr>
        <w:t>(ii)</w:t>
      </w:r>
      <w:r>
        <w:rPr>
          <w:rFonts w:ascii="Arial" w:hAnsi="Arial" w:cs="Arial"/>
        </w:rPr>
        <w:tab/>
        <w:t>F</w:t>
      </w:r>
      <w:r w:rsidR="0033691C" w:rsidRPr="0033691C">
        <w:rPr>
          <w:rFonts w:ascii="Arial" w:hAnsi="Arial" w:cs="Arial"/>
        </w:rPr>
        <w:t>or all unsupported borrowing since 1</w:t>
      </w:r>
      <w:r w:rsidR="0033691C" w:rsidRPr="0033691C">
        <w:rPr>
          <w:rFonts w:ascii="Arial" w:hAnsi="Arial" w:cs="Arial"/>
          <w:vertAlign w:val="superscript"/>
        </w:rPr>
        <w:t>st</w:t>
      </w:r>
      <w:r w:rsidR="0033691C" w:rsidRPr="0033691C">
        <w:rPr>
          <w:rFonts w:ascii="Arial" w:hAnsi="Arial" w:cs="Arial"/>
        </w:rPr>
        <w:t xml:space="preserve"> April 2008 and in the future, the asset life method will be used, i.e., the amount borrowed will be divided by the life of the asset.</w:t>
      </w:r>
    </w:p>
    <w:p w14:paraId="4D296B6D" w14:textId="7B673EFC" w:rsidR="005D5C3D" w:rsidRDefault="005D5C3D" w:rsidP="00615280">
      <w:pPr>
        <w:pStyle w:val="BodyText"/>
        <w:ind w:left="1418" w:hanging="709"/>
        <w:rPr>
          <w:rFonts w:ascii="Arial" w:hAnsi="Arial" w:cs="Arial"/>
        </w:rPr>
      </w:pPr>
    </w:p>
    <w:p w14:paraId="42E852BE" w14:textId="77777777" w:rsidR="003838F9" w:rsidRDefault="003838F9" w:rsidP="00615280">
      <w:pPr>
        <w:pStyle w:val="BodyText"/>
        <w:ind w:left="1418" w:hanging="709"/>
        <w:rPr>
          <w:rFonts w:ascii="Arial" w:hAnsi="Arial" w:cs="Arial"/>
        </w:rPr>
      </w:pPr>
    </w:p>
    <w:p w14:paraId="490B0479" w14:textId="77777777" w:rsidR="000B0254" w:rsidRDefault="008B68A5" w:rsidP="00615280">
      <w:pPr>
        <w:rPr>
          <w:rFonts w:ascii="Arial" w:hAnsi="Arial" w:cs="Arial"/>
          <w:b/>
          <w:bCs/>
        </w:rPr>
      </w:pPr>
      <w:r>
        <w:rPr>
          <w:rFonts w:ascii="Arial" w:hAnsi="Arial" w:cs="Arial"/>
          <w:b/>
          <w:bCs/>
        </w:rPr>
        <w:t>4.</w:t>
      </w:r>
      <w:r w:rsidRPr="008B68A5">
        <w:rPr>
          <w:rFonts w:ascii="Arial" w:hAnsi="Arial" w:cs="Arial"/>
          <w:b/>
          <w:bCs/>
        </w:rPr>
        <w:tab/>
        <w:t>T</w:t>
      </w:r>
      <w:r w:rsidR="000B0254">
        <w:rPr>
          <w:rFonts w:ascii="Arial" w:hAnsi="Arial" w:cs="Arial"/>
          <w:b/>
          <w:bCs/>
        </w:rPr>
        <w:t xml:space="preserve">HE USE OF THE COMMISSIONER’S RESOURCES AND </w:t>
      </w:r>
      <w:r w:rsidR="000B0254">
        <w:rPr>
          <w:rFonts w:ascii="Arial" w:hAnsi="Arial" w:cs="Arial"/>
          <w:b/>
          <w:bCs/>
        </w:rPr>
        <w:tab/>
        <w:t>INVESTMENT POSITION</w:t>
      </w:r>
    </w:p>
    <w:p w14:paraId="46B7618F" w14:textId="77777777" w:rsidR="00113DFE" w:rsidRDefault="00113DFE" w:rsidP="00615280">
      <w:pPr>
        <w:rPr>
          <w:rFonts w:ascii="Arial" w:hAnsi="Arial" w:cs="Arial"/>
          <w:bCs/>
        </w:rPr>
      </w:pPr>
    </w:p>
    <w:p w14:paraId="04268F5B" w14:textId="77777777" w:rsidR="008B68A5" w:rsidRDefault="008B68A5" w:rsidP="00F33E7F">
      <w:pPr>
        <w:ind w:left="709" w:hanging="709"/>
        <w:jc w:val="both"/>
        <w:rPr>
          <w:rFonts w:ascii="Arial" w:hAnsi="Arial" w:cs="Arial"/>
          <w:bCs/>
        </w:rPr>
      </w:pPr>
      <w:r w:rsidRPr="00615280">
        <w:rPr>
          <w:rFonts w:ascii="Arial" w:hAnsi="Arial" w:cs="Arial"/>
          <w:bCs/>
        </w:rPr>
        <w:t>4</w:t>
      </w:r>
      <w:r w:rsidRPr="00113DFE">
        <w:rPr>
          <w:rFonts w:ascii="Arial" w:hAnsi="Arial" w:cs="Arial"/>
          <w:bCs/>
        </w:rPr>
        <w:t>.1</w:t>
      </w:r>
      <w:r w:rsidRPr="008B68A5">
        <w:rPr>
          <w:rFonts w:ascii="Arial" w:hAnsi="Arial" w:cs="Arial"/>
          <w:bCs/>
        </w:rPr>
        <w:tab/>
        <w:t xml:space="preserve">The application of resources (capital receipts, </w:t>
      </w:r>
      <w:r w:rsidR="00257330">
        <w:rPr>
          <w:rFonts w:ascii="Arial" w:hAnsi="Arial" w:cs="Arial"/>
          <w:bCs/>
        </w:rPr>
        <w:t>committed funds</w:t>
      </w:r>
      <w:r w:rsidR="003E64A8">
        <w:rPr>
          <w:rFonts w:ascii="Arial" w:hAnsi="Arial" w:cs="Arial"/>
          <w:bCs/>
        </w:rPr>
        <w:t xml:space="preserve">, </w:t>
      </w:r>
      <w:r w:rsidRPr="008B68A5">
        <w:rPr>
          <w:rFonts w:ascii="Arial" w:hAnsi="Arial" w:cs="Arial"/>
          <w:bCs/>
        </w:rPr>
        <w:t>etc.) will have an on</w:t>
      </w:r>
      <w:r w:rsidR="004B6797">
        <w:rPr>
          <w:rFonts w:ascii="Arial" w:hAnsi="Arial" w:cs="Arial"/>
          <w:bCs/>
        </w:rPr>
        <w:t>-</w:t>
      </w:r>
      <w:r w:rsidRPr="008B68A5">
        <w:rPr>
          <w:rFonts w:ascii="Arial" w:hAnsi="Arial" w:cs="Arial"/>
          <w:bCs/>
        </w:rPr>
        <w:t xml:space="preserve">going impact on investments.  Detailed below are estimates of the </w:t>
      </w:r>
      <w:r w:rsidR="002E28E8">
        <w:rPr>
          <w:rFonts w:ascii="Arial" w:hAnsi="Arial" w:cs="Arial"/>
          <w:bCs/>
        </w:rPr>
        <w:t>year-</w:t>
      </w:r>
      <w:r w:rsidRPr="008B68A5">
        <w:rPr>
          <w:rFonts w:ascii="Arial" w:hAnsi="Arial" w:cs="Arial"/>
          <w:bCs/>
        </w:rPr>
        <w:t>end balances for each resource and anticipated day to day cash flow balances.</w:t>
      </w:r>
    </w:p>
    <w:p w14:paraId="6026FB13" w14:textId="77777777" w:rsidR="00755B37" w:rsidRDefault="00755B37" w:rsidP="005A6D73">
      <w:pPr>
        <w:ind w:left="1418" w:hanging="709"/>
      </w:pPr>
    </w:p>
    <w:p w14:paraId="527AE856" w14:textId="77777777" w:rsidR="008B68A5" w:rsidRDefault="008B68A5" w:rsidP="00D65E7A">
      <w:pPr>
        <w:pStyle w:val="BodyText"/>
        <w:ind w:left="851" w:hanging="131"/>
        <w:rPr>
          <w:rFonts w:ascii="Arial" w:hAnsi="Arial" w:cs="Arial"/>
          <w:bCs/>
        </w:rPr>
      </w:pPr>
      <w:r w:rsidRPr="008B68A5">
        <w:rPr>
          <w:rFonts w:ascii="Arial" w:hAnsi="Arial" w:cs="Arial"/>
          <w:bCs/>
        </w:rPr>
        <w:t>*</w:t>
      </w:r>
      <w:r w:rsidRPr="009B4A35">
        <w:rPr>
          <w:rFonts w:ascii="Arial" w:hAnsi="Arial" w:cs="Arial"/>
          <w:bCs/>
        </w:rPr>
        <w:t>Working capital balances</w:t>
      </w:r>
      <w:r w:rsidRPr="008B68A5">
        <w:rPr>
          <w:rFonts w:ascii="Arial" w:hAnsi="Arial" w:cs="Arial"/>
          <w:bCs/>
        </w:rPr>
        <w:t xml:space="preserve"> shown are estimated ye</w:t>
      </w:r>
      <w:r w:rsidR="002E28E8">
        <w:rPr>
          <w:rFonts w:ascii="Arial" w:hAnsi="Arial" w:cs="Arial"/>
          <w:bCs/>
        </w:rPr>
        <w:t xml:space="preserve">ar end; these may be </w:t>
      </w:r>
      <w:r w:rsidR="001C0D51">
        <w:rPr>
          <w:rFonts w:ascii="Arial" w:hAnsi="Arial" w:cs="Arial"/>
          <w:bCs/>
        </w:rPr>
        <w:t>h</w:t>
      </w:r>
      <w:r w:rsidR="002E28E8">
        <w:rPr>
          <w:rFonts w:ascii="Arial" w:hAnsi="Arial" w:cs="Arial"/>
          <w:bCs/>
        </w:rPr>
        <w:t>igher mid-</w:t>
      </w:r>
      <w:r w:rsidRPr="008B68A5">
        <w:rPr>
          <w:rFonts w:ascii="Arial" w:hAnsi="Arial" w:cs="Arial"/>
          <w:bCs/>
        </w:rPr>
        <w:t xml:space="preserve">year. </w:t>
      </w:r>
    </w:p>
    <w:p w14:paraId="502FFC50" w14:textId="65BB0CFA" w:rsidR="000B7A3F" w:rsidRDefault="000B7A3F" w:rsidP="00EC79DF">
      <w:pPr>
        <w:pStyle w:val="BodyText"/>
        <w:rPr>
          <w:rFonts w:ascii="Arial" w:hAnsi="Arial" w:cs="Arial"/>
          <w:bCs/>
        </w:rPr>
      </w:pPr>
    </w:p>
    <w:p w14:paraId="5BEF776E" w14:textId="77777777" w:rsidR="008B68A5" w:rsidRDefault="00EC7916" w:rsidP="003A2285">
      <w:pPr>
        <w:pStyle w:val="Heading3"/>
        <w:autoSpaceDE w:val="0"/>
        <w:autoSpaceDN w:val="0"/>
        <w:adjustRightInd w:val="0"/>
        <w:spacing w:before="0" w:after="0"/>
        <w:jc w:val="both"/>
        <w:rPr>
          <w:rFonts w:ascii="Arial" w:hAnsi="Arial" w:cs="Arial"/>
          <w:sz w:val="24"/>
          <w:szCs w:val="24"/>
        </w:rPr>
      </w:pPr>
      <w:r>
        <w:rPr>
          <w:rFonts w:ascii="Arial" w:hAnsi="Arial" w:cs="Arial"/>
          <w:sz w:val="24"/>
          <w:szCs w:val="24"/>
        </w:rPr>
        <w:t>5.</w:t>
      </w:r>
      <w:r w:rsidR="008B68A5" w:rsidRPr="00EC7916">
        <w:rPr>
          <w:rFonts w:ascii="Arial" w:hAnsi="Arial" w:cs="Arial"/>
          <w:sz w:val="24"/>
          <w:szCs w:val="24"/>
        </w:rPr>
        <w:tab/>
        <w:t>A</w:t>
      </w:r>
      <w:r w:rsidR="000B0254">
        <w:rPr>
          <w:rFonts w:ascii="Arial" w:hAnsi="Arial" w:cs="Arial"/>
          <w:sz w:val="24"/>
          <w:szCs w:val="24"/>
        </w:rPr>
        <w:t>FFORDABILITY PRUDENTIAL INDICATORS</w:t>
      </w:r>
    </w:p>
    <w:p w14:paraId="0CC5A628" w14:textId="77777777" w:rsidR="00113DFE" w:rsidRPr="00615280" w:rsidRDefault="00113DFE" w:rsidP="00615280"/>
    <w:p w14:paraId="1584154A" w14:textId="77777777" w:rsidR="008B68A5" w:rsidRDefault="00EC7916" w:rsidP="00615280">
      <w:pPr>
        <w:pStyle w:val="BodyText"/>
        <w:ind w:left="709" w:hanging="709"/>
        <w:rPr>
          <w:rFonts w:ascii="Arial" w:hAnsi="Arial" w:cs="Arial"/>
        </w:rPr>
      </w:pPr>
      <w:r>
        <w:rPr>
          <w:rFonts w:ascii="Arial" w:hAnsi="Arial" w:cs="Arial"/>
        </w:rPr>
        <w:t>5</w:t>
      </w:r>
      <w:r w:rsidR="008B68A5" w:rsidRPr="008B68A5">
        <w:rPr>
          <w:rFonts w:ascii="Arial" w:hAnsi="Arial" w:cs="Arial"/>
        </w:rPr>
        <w:t>.1</w:t>
      </w:r>
      <w:r w:rsidR="008B68A5" w:rsidRPr="008B68A5">
        <w:rPr>
          <w:rFonts w:ascii="Arial" w:hAnsi="Arial" w:cs="Arial"/>
        </w:rPr>
        <w:tab/>
        <w:t xml:space="preserve">The previous sections cover the overall capital and control of borrowing prudential indicators.  Prudential indicators are also required to assess the affordability of the capital investment plans.  The </w:t>
      </w:r>
      <w:r w:rsidR="005532E7">
        <w:rPr>
          <w:rFonts w:ascii="Arial" w:hAnsi="Arial" w:cs="Arial"/>
        </w:rPr>
        <w:t>Commissioner</w:t>
      </w:r>
      <w:r w:rsidR="008B68A5" w:rsidRPr="008B68A5">
        <w:rPr>
          <w:rFonts w:ascii="Arial" w:hAnsi="Arial" w:cs="Arial"/>
        </w:rPr>
        <w:t xml:space="preserve"> is asked to approve the third and fourth prudential indicators, which assess affordability in terms of the impact of the capital investment plans on the </w:t>
      </w:r>
      <w:r w:rsidR="005532E7">
        <w:rPr>
          <w:rFonts w:ascii="Arial" w:hAnsi="Arial" w:cs="Arial"/>
        </w:rPr>
        <w:t>Commissioner</w:t>
      </w:r>
      <w:r w:rsidR="008B68A5" w:rsidRPr="008B68A5">
        <w:rPr>
          <w:rFonts w:ascii="Arial" w:hAnsi="Arial" w:cs="Arial"/>
        </w:rPr>
        <w:t>’s overall finances.</w:t>
      </w:r>
    </w:p>
    <w:p w14:paraId="073179AC" w14:textId="77777777" w:rsidR="00C06AB3" w:rsidRDefault="00C06AB3" w:rsidP="00A76FB2">
      <w:pPr>
        <w:pStyle w:val="BodyText"/>
        <w:ind w:left="709" w:hanging="709"/>
        <w:rPr>
          <w:rFonts w:ascii="Arial" w:hAnsi="Arial" w:cs="Arial"/>
        </w:rPr>
      </w:pPr>
    </w:p>
    <w:p w14:paraId="10158165" w14:textId="61A0AE92" w:rsidR="006A5E71" w:rsidRDefault="00C06AB3" w:rsidP="00D45E68">
      <w:pPr>
        <w:pStyle w:val="BodyText"/>
        <w:ind w:left="709" w:hanging="709"/>
        <w:rPr>
          <w:rFonts w:ascii="Arial" w:hAnsi="Arial" w:cs="Arial"/>
        </w:rPr>
      </w:pPr>
      <w:r>
        <w:rPr>
          <w:rFonts w:ascii="Arial" w:hAnsi="Arial" w:cs="Arial"/>
        </w:rPr>
        <w:t>5</w:t>
      </w:r>
      <w:r w:rsidR="008B68A5" w:rsidRPr="008B68A5">
        <w:rPr>
          <w:rFonts w:ascii="Arial" w:hAnsi="Arial" w:cs="Arial"/>
        </w:rPr>
        <w:t>.2</w:t>
      </w:r>
      <w:r w:rsidR="008B68A5" w:rsidRPr="008B68A5">
        <w:rPr>
          <w:rFonts w:ascii="Arial" w:hAnsi="Arial" w:cs="Arial"/>
        </w:rPr>
        <w:tab/>
        <w:t xml:space="preserve">The third prudential </w:t>
      </w:r>
      <w:r w:rsidR="008B68A5" w:rsidRPr="009B4A35">
        <w:rPr>
          <w:rFonts w:ascii="Arial" w:hAnsi="Arial" w:cs="Arial"/>
        </w:rPr>
        <w:t>indicator is</w:t>
      </w:r>
      <w:r w:rsidR="008B68A5" w:rsidRPr="008B68A5">
        <w:rPr>
          <w:rFonts w:ascii="Arial" w:hAnsi="Arial" w:cs="Arial"/>
        </w:rPr>
        <w:t xml:space="preserve"> the ratio of </w:t>
      </w:r>
      <w:r w:rsidR="00B264E7">
        <w:rPr>
          <w:rFonts w:ascii="Arial" w:hAnsi="Arial" w:cs="Arial"/>
        </w:rPr>
        <w:t xml:space="preserve">net </w:t>
      </w:r>
      <w:r w:rsidR="008B68A5" w:rsidRPr="008B68A5">
        <w:rPr>
          <w:rFonts w:ascii="Arial" w:hAnsi="Arial" w:cs="Arial"/>
          <w:bCs/>
        </w:rPr>
        <w:t>financing costs</w:t>
      </w:r>
      <w:r w:rsidR="00D44B33">
        <w:rPr>
          <w:rFonts w:ascii="Arial" w:hAnsi="Arial" w:cs="Arial"/>
          <w:bCs/>
        </w:rPr>
        <w:t xml:space="preserve"> </w:t>
      </w:r>
      <w:r w:rsidR="00B264E7">
        <w:rPr>
          <w:rFonts w:ascii="Arial" w:hAnsi="Arial" w:cs="Arial"/>
          <w:bCs/>
        </w:rPr>
        <w:t>(financing income less finance interest expense)</w:t>
      </w:r>
      <w:r w:rsidR="008B68A5" w:rsidRPr="008B68A5">
        <w:rPr>
          <w:rFonts w:ascii="Arial" w:hAnsi="Arial" w:cs="Arial"/>
          <w:bCs/>
        </w:rPr>
        <w:t xml:space="preserve"> to net revenue stream.</w:t>
      </w:r>
      <w:r w:rsidR="008B68A5" w:rsidRPr="008B68A5">
        <w:rPr>
          <w:rFonts w:ascii="Arial" w:hAnsi="Arial" w:cs="Arial"/>
        </w:rPr>
        <w:t xml:space="preserve">  This indicator identifies the trend in the cost of capital (borrowing and other long term obligation costs net of investment income) against the net revenue stream.</w:t>
      </w:r>
    </w:p>
    <w:p w14:paraId="2411C53A" w14:textId="77777777" w:rsidR="00172AB0" w:rsidRDefault="00172AB0" w:rsidP="00D45E68">
      <w:pPr>
        <w:pStyle w:val="BodyText"/>
        <w:ind w:left="709" w:hanging="709"/>
        <w:rPr>
          <w:rFonts w:ascii="Arial" w:hAnsi="Arial" w:cs="Arial"/>
        </w:rPr>
      </w:pPr>
    </w:p>
    <w:tbl>
      <w:tblPr>
        <w:tblW w:w="8746" w:type="dxa"/>
        <w:tblInd w:w="-5" w:type="dxa"/>
        <w:tblLook w:val="04A0" w:firstRow="1" w:lastRow="0" w:firstColumn="1" w:lastColumn="0" w:noHBand="0" w:noVBand="1"/>
      </w:tblPr>
      <w:tblGrid>
        <w:gridCol w:w="2835"/>
        <w:gridCol w:w="1123"/>
        <w:gridCol w:w="1137"/>
        <w:gridCol w:w="1217"/>
        <w:gridCol w:w="1217"/>
        <w:gridCol w:w="1217"/>
      </w:tblGrid>
      <w:tr w:rsidR="001C0D51" w14:paraId="0D5FA84A" w14:textId="77777777" w:rsidTr="005B2804">
        <w:trPr>
          <w:trHeight w:val="70"/>
        </w:trPr>
        <w:tc>
          <w:tcPr>
            <w:tcW w:w="8746"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8C80B20" w14:textId="77777777" w:rsidR="001C0D51" w:rsidRPr="00281C5F" w:rsidRDefault="001C0D51">
            <w:pPr>
              <w:jc w:val="center"/>
              <w:rPr>
                <w:rFonts w:ascii="Arial" w:hAnsi="Arial" w:cs="Arial"/>
                <w:b/>
                <w:bCs/>
                <w:color w:val="000000"/>
                <w:sz w:val="22"/>
                <w:szCs w:val="22"/>
              </w:rPr>
            </w:pPr>
            <w:r w:rsidRPr="00281C5F">
              <w:rPr>
                <w:rFonts w:ascii="Arial" w:hAnsi="Arial" w:cs="Arial"/>
                <w:b/>
                <w:bCs/>
                <w:color w:val="000000"/>
                <w:sz w:val="22"/>
                <w:szCs w:val="22"/>
              </w:rPr>
              <w:t>Third Prudential Indicator - Ratio of Financing Costs to Net Revenue Stream</w:t>
            </w:r>
          </w:p>
        </w:tc>
      </w:tr>
      <w:tr w:rsidR="00281C5F" w14:paraId="38752773" w14:textId="77777777" w:rsidTr="005B2804">
        <w:trPr>
          <w:trHeight w:val="32"/>
        </w:trPr>
        <w:tc>
          <w:tcPr>
            <w:tcW w:w="2835" w:type="dxa"/>
            <w:tcBorders>
              <w:top w:val="nil"/>
              <w:left w:val="single" w:sz="4" w:space="0" w:color="auto"/>
              <w:bottom w:val="nil"/>
              <w:right w:val="single" w:sz="4" w:space="0" w:color="auto"/>
            </w:tcBorders>
            <w:shd w:val="clear" w:color="auto" w:fill="auto"/>
            <w:noWrap/>
            <w:vAlign w:val="bottom"/>
            <w:hideMark/>
          </w:tcPr>
          <w:p w14:paraId="29C7D44F" w14:textId="77777777" w:rsidR="00281C5F" w:rsidRPr="001F5113" w:rsidRDefault="00281C5F" w:rsidP="00281C5F">
            <w:pPr>
              <w:rPr>
                <w:rFonts w:ascii="Arial" w:hAnsi="Arial" w:cs="Arial"/>
                <w:color w:val="000000"/>
                <w:sz w:val="22"/>
                <w:szCs w:val="22"/>
              </w:rPr>
            </w:pPr>
            <w:r w:rsidRPr="001F5113">
              <w:rPr>
                <w:rFonts w:ascii="Arial" w:hAnsi="Arial" w:cs="Arial"/>
                <w:color w:val="000000"/>
                <w:sz w:val="22"/>
                <w:szCs w:val="22"/>
              </w:rPr>
              <w:t> </w:t>
            </w:r>
          </w:p>
        </w:tc>
        <w:tc>
          <w:tcPr>
            <w:tcW w:w="1123" w:type="dxa"/>
            <w:tcBorders>
              <w:top w:val="single" w:sz="4" w:space="0" w:color="auto"/>
              <w:left w:val="single" w:sz="4" w:space="0" w:color="auto"/>
              <w:bottom w:val="nil"/>
              <w:right w:val="single" w:sz="4" w:space="0" w:color="auto"/>
            </w:tcBorders>
            <w:shd w:val="clear" w:color="auto" w:fill="auto"/>
            <w:noWrap/>
            <w:hideMark/>
          </w:tcPr>
          <w:p w14:paraId="7228A1BA" w14:textId="2ACB68B8" w:rsidR="00281C5F" w:rsidRPr="005B2804" w:rsidRDefault="00281C5F" w:rsidP="00281C5F">
            <w:pPr>
              <w:rPr>
                <w:rFonts w:ascii="Arial" w:hAnsi="Arial" w:cs="Arial"/>
                <w:b/>
                <w:bCs/>
                <w:color w:val="000000"/>
              </w:rPr>
            </w:pPr>
            <w:r w:rsidRPr="005B2804">
              <w:rPr>
                <w:rFonts w:ascii="Arial" w:hAnsi="Arial" w:cs="Arial"/>
                <w:b/>
                <w:bCs/>
                <w:color w:val="000000"/>
              </w:rPr>
              <w:t>2023/24</w:t>
            </w:r>
          </w:p>
        </w:tc>
        <w:tc>
          <w:tcPr>
            <w:tcW w:w="1137" w:type="dxa"/>
            <w:tcBorders>
              <w:top w:val="single" w:sz="4" w:space="0" w:color="auto"/>
              <w:left w:val="nil"/>
              <w:bottom w:val="nil"/>
              <w:right w:val="single" w:sz="4" w:space="0" w:color="auto"/>
            </w:tcBorders>
            <w:shd w:val="clear" w:color="auto" w:fill="auto"/>
            <w:noWrap/>
            <w:hideMark/>
          </w:tcPr>
          <w:p w14:paraId="1BD16445" w14:textId="52307F3A" w:rsidR="00281C5F" w:rsidRPr="005B2804" w:rsidRDefault="00281C5F" w:rsidP="00281C5F">
            <w:pPr>
              <w:rPr>
                <w:rFonts w:ascii="Arial" w:hAnsi="Arial" w:cs="Arial"/>
                <w:b/>
                <w:bCs/>
                <w:color w:val="000000"/>
              </w:rPr>
            </w:pPr>
            <w:r w:rsidRPr="005B2804">
              <w:rPr>
                <w:rFonts w:ascii="Arial" w:hAnsi="Arial" w:cs="Arial"/>
                <w:b/>
                <w:bCs/>
                <w:color w:val="000000"/>
              </w:rPr>
              <w:t>2023/24</w:t>
            </w:r>
          </w:p>
        </w:tc>
        <w:tc>
          <w:tcPr>
            <w:tcW w:w="1217" w:type="dxa"/>
            <w:tcBorders>
              <w:top w:val="single" w:sz="4" w:space="0" w:color="auto"/>
              <w:left w:val="nil"/>
              <w:bottom w:val="nil"/>
              <w:right w:val="single" w:sz="4" w:space="0" w:color="auto"/>
            </w:tcBorders>
            <w:shd w:val="clear" w:color="auto" w:fill="auto"/>
            <w:noWrap/>
            <w:vAlign w:val="bottom"/>
            <w:hideMark/>
          </w:tcPr>
          <w:p w14:paraId="4B005CBE" w14:textId="4B9F14C8" w:rsidR="00281C5F" w:rsidRPr="005B2804" w:rsidRDefault="00281C5F" w:rsidP="00281C5F">
            <w:pPr>
              <w:rPr>
                <w:rFonts w:ascii="Arial" w:hAnsi="Arial" w:cs="Arial"/>
                <w:b/>
                <w:bCs/>
                <w:color w:val="000000"/>
                <w:sz w:val="22"/>
                <w:szCs w:val="22"/>
              </w:rPr>
            </w:pPr>
            <w:r w:rsidRPr="005B2804">
              <w:rPr>
                <w:rFonts w:ascii="Arial" w:hAnsi="Arial" w:cs="Arial"/>
                <w:b/>
                <w:bCs/>
                <w:color w:val="000000"/>
              </w:rPr>
              <w:t>2024/25</w:t>
            </w:r>
          </w:p>
        </w:tc>
        <w:tc>
          <w:tcPr>
            <w:tcW w:w="1217" w:type="dxa"/>
            <w:tcBorders>
              <w:top w:val="single" w:sz="4" w:space="0" w:color="auto"/>
              <w:left w:val="nil"/>
              <w:bottom w:val="nil"/>
              <w:right w:val="single" w:sz="4" w:space="0" w:color="auto"/>
            </w:tcBorders>
            <w:shd w:val="clear" w:color="auto" w:fill="auto"/>
            <w:noWrap/>
            <w:vAlign w:val="bottom"/>
            <w:hideMark/>
          </w:tcPr>
          <w:p w14:paraId="67F2CF45" w14:textId="72661A67" w:rsidR="00281C5F" w:rsidRPr="005B2804" w:rsidRDefault="00281C5F" w:rsidP="00281C5F">
            <w:pPr>
              <w:rPr>
                <w:rFonts w:ascii="Arial" w:hAnsi="Arial" w:cs="Arial"/>
                <w:b/>
                <w:bCs/>
                <w:color w:val="000000"/>
                <w:sz w:val="22"/>
                <w:szCs w:val="22"/>
              </w:rPr>
            </w:pPr>
            <w:r w:rsidRPr="005B2804">
              <w:rPr>
                <w:rFonts w:ascii="Arial" w:hAnsi="Arial" w:cs="Arial"/>
                <w:b/>
                <w:bCs/>
                <w:color w:val="000000"/>
              </w:rPr>
              <w:t>2025/26</w:t>
            </w:r>
          </w:p>
        </w:tc>
        <w:tc>
          <w:tcPr>
            <w:tcW w:w="1217" w:type="dxa"/>
            <w:tcBorders>
              <w:top w:val="single" w:sz="4" w:space="0" w:color="auto"/>
              <w:left w:val="nil"/>
              <w:bottom w:val="nil"/>
              <w:right w:val="single" w:sz="4" w:space="0" w:color="auto"/>
            </w:tcBorders>
            <w:shd w:val="clear" w:color="auto" w:fill="auto"/>
            <w:noWrap/>
            <w:vAlign w:val="bottom"/>
            <w:hideMark/>
          </w:tcPr>
          <w:p w14:paraId="690679A2" w14:textId="79F99B61" w:rsidR="00281C5F" w:rsidRPr="005B2804" w:rsidRDefault="00281C5F" w:rsidP="00281C5F">
            <w:pPr>
              <w:rPr>
                <w:rFonts w:ascii="Arial" w:hAnsi="Arial" w:cs="Arial"/>
                <w:b/>
                <w:bCs/>
                <w:color w:val="000000"/>
                <w:sz w:val="22"/>
                <w:szCs w:val="22"/>
              </w:rPr>
            </w:pPr>
            <w:r w:rsidRPr="005B2804">
              <w:rPr>
                <w:rFonts w:ascii="Arial" w:hAnsi="Arial" w:cs="Arial"/>
                <w:b/>
                <w:bCs/>
                <w:color w:val="000000"/>
              </w:rPr>
              <w:t>2026/27</w:t>
            </w:r>
          </w:p>
        </w:tc>
      </w:tr>
      <w:tr w:rsidR="003A484E" w14:paraId="44DB99B9" w14:textId="77777777" w:rsidTr="005B2804">
        <w:trPr>
          <w:trHeight w:val="32"/>
        </w:trPr>
        <w:tc>
          <w:tcPr>
            <w:tcW w:w="2835" w:type="dxa"/>
            <w:tcBorders>
              <w:top w:val="nil"/>
              <w:left w:val="single" w:sz="4" w:space="0" w:color="auto"/>
              <w:bottom w:val="nil"/>
              <w:right w:val="single" w:sz="4" w:space="0" w:color="auto"/>
            </w:tcBorders>
            <w:shd w:val="clear" w:color="auto" w:fill="auto"/>
            <w:noWrap/>
            <w:vAlign w:val="bottom"/>
            <w:hideMark/>
          </w:tcPr>
          <w:p w14:paraId="01773A54" w14:textId="77777777" w:rsidR="003A484E" w:rsidRPr="001F5113" w:rsidRDefault="003A484E" w:rsidP="003A484E">
            <w:pPr>
              <w:rPr>
                <w:rFonts w:ascii="Arial" w:hAnsi="Arial" w:cs="Arial"/>
                <w:color w:val="000000"/>
                <w:sz w:val="22"/>
                <w:szCs w:val="22"/>
              </w:rPr>
            </w:pPr>
            <w:r w:rsidRPr="001F5113">
              <w:rPr>
                <w:rFonts w:ascii="Arial" w:hAnsi="Arial" w:cs="Arial"/>
                <w:color w:val="000000"/>
                <w:sz w:val="22"/>
                <w:szCs w:val="22"/>
              </w:rPr>
              <w:t> </w:t>
            </w:r>
          </w:p>
        </w:tc>
        <w:tc>
          <w:tcPr>
            <w:tcW w:w="1123" w:type="dxa"/>
            <w:tcBorders>
              <w:top w:val="nil"/>
              <w:left w:val="single" w:sz="4" w:space="0" w:color="auto"/>
              <w:bottom w:val="nil"/>
              <w:right w:val="single" w:sz="4" w:space="0" w:color="auto"/>
            </w:tcBorders>
            <w:shd w:val="clear" w:color="auto" w:fill="auto"/>
            <w:noWrap/>
            <w:vAlign w:val="bottom"/>
            <w:hideMark/>
          </w:tcPr>
          <w:p w14:paraId="560549EF" w14:textId="3FDB3AEA" w:rsidR="003A484E" w:rsidRPr="005B2804" w:rsidRDefault="003A484E" w:rsidP="003A484E">
            <w:pPr>
              <w:rPr>
                <w:rFonts w:ascii="Arial" w:hAnsi="Arial" w:cs="Arial"/>
                <w:b/>
                <w:bCs/>
                <w:color w:val="000000"/>
                <w:sz w:val="22"/>
                <w:szCs w:val="22"/>
              </w:rPr>
            </w:pPr>
            <w:r w:rsidRPr="005B2804">
              <w:rPr>
                <w:rFonts w:ascii="Arial" w:hAnsi="Arial" w:cs="Arial"/>
                <w:b/>
                <w:bCs/>
                <w:color w:val="000000"/>
              </w:rPr>
              <w:t>Original</w:t>
            </w:r>
          </w:p>
        </w:tc>
        <w:tc>
          <w:tcPr>
            <w:tcW w:w="1137" w:type="dxa"/>
            <w:tcBorders>
              <w:top w:val="nil"/>
              <w:left w:val="nil"/>
              <w:bottom w:val="nil"/>
              <w:right w:val="nil"/>
            </w:tcBorders>
            <w:shd w:val="clear" w:color="auto" w:fill="auto"/>
            <w:noWrap/>
            <w:vAlign w:val="bottom"/>
            <w:hideMark/>
          </w:tcPr>
          <w:p w14:paraId="23F2301E" w14:textId="5D9407DC" w:rsidR="003A484E" w:rsidRPr="005B2804" w:rsidRDefault="003A484E" w:rsidP="003A484E">
            <w:pPr>
              <w:rPr>
                <w:rFonts w:ascii="Arial" w:hAnsi="Arial" w:cs="Arial"/>
                <w:b/>
                <w:bCs/>
                <w:color w:val="000000"/>
                <w:sz w:val="22"/>
                <w:szCs w:val="22"/>
              </w:rPr>
            </w:pPr>
            <w:r w:rsidRPr="005B2804">
              <w:rPr>
                <w:rFonts w:ascii="Arial" w:hAnsi="Arial" w:cs="Arial"/>
                <w:b/>
                <w:bCs/>
                <w:color w:val="000000"/>
              </w:rPr>
              <w:t>Revised</w:t>
            </w:r>
          </w:p>
        </w:tc>
        <w:tc>
          <w:tcPr>
            <w:tcW w:w="1217" w:type="dxa"/>
            <w:tcBorders>
              <w:top w:val="nil"/>
              <w:left w:val="single" w:sz="4" w:space="0" w:color="auto"/>
              <w:bottom w:val="nil"/>
              <w:right w:val="single" w:sz="4" w:space="0" w:color="auto"/>
            </w:tcBorders>
            <w:shd w:val="clear" w:color="auto" w:fill="auto"/>
            <w:noWrap/>
            <w:vAlign w:val="bottom"/>
            <w:hideMark/>
          </w:tcPr>
          <w:p w14:paraId="1D2CA91F" w14:textId="482A3D9C" w:rsidR="003A484E" w:rsidRPr="005B2804" w:rsidRDefault="003A484E" w:rsidP="003A484E">
            <w:pPr>
              <w:rPr>
                <w:rFonts w:ascii="Arial" w:hAnsi="Arial" w:cs="Arial"/>
                <w:b/>
                <w:bCs/>
                <w:color w:val="000000"/>
                <w:sz w:val="22"/>
                <w:szCs w:val="22"/>
              </w:rPr>
            </w:pPr>
            <w:r w:rsidRPr="005B2804">
              <w:rPr>
                <w:rFonts w:ascii="Arial" w:hAnsi="Arial" w:cs="Arial"/>
                <w:b/>
                <w:bCs/>
                <w:color w:val="000000"/>
              </w:rPr>
              <w:t>Estimate</w:t>
            </w:r>
          </w:p>
        </w:tc>
        <w:tc>
          <w:tcPr>
            <w:tcW w:w="1217" w:type="dxa"/>
            <w:tcBorders>
              <w:top w:val="nil"/>
              <w:left w:val="nil"/>
              <w:bottom w:val="nil"/>
              <w:right w:val="single" w:sz="4" w:space="0" w:color="auto"/>
            </w:tcBorders>
            <w:shd w:val="clear" w:color="auto" w:fill="auto"/>
            <w:noWrap/>
            <w:vAlign w:val="bottom"/>
            <w:hideMark/>
          </w:tcPr>
          <w:p w14:paraId="5560C2E8" w14:textId="31803CA1" w:rsidR="003A484E" w:rsidRPr="005B2804" w:rsidRDefault="003A484E" w:rsidP="003A484E">
            <w:pPr>
              <w:rPr>
                <w:rFonts w:ascii="Arial" w:hAnsi="Arial" w:cs="Arial"/>
                <w:b/>
                <w:bCs/>
                <w:color w:val="000000"/>
                <w:sz w:val="22"/>
                <w:szCs w:val="22"/>
              </w:rPr>
            </w:pPr>
            <w:r w:rsidRPr="005B2804">
              <w:rPr>
                <w:rFonts w:ascii="Arial" w:hAnsi="Arial" w:cs="Arial"/>
                <w:b/>
                <w:bCs/>
                <w:color w:val="000000"/>
              </w:rPr>
              <w:t>Estimate</w:t>
            </w:r>
          </w:p>
        </w:tc>
        <w:tc>
          <w:tcPr>
            <w:tcW w:w="1217" w:type="dxa"/>
            <w:tcBorders>
              <w:top w:val="nil"/>
              <w:left w:val="nil"/>
              <w:bottom w:val="nil"/>
              <w:right w:val="single" w:sz="4" w:space="0" w:color="auto"/>
            </w:tcBorders>
            <w:shd w:val="clear" w:color="auto" w:fill="auto"/>
            <w:noWrap/>
            <w:vAlign w:val="bottom"/>
            <w:hideMark/>
          </w:tcPr>
          <w:p w14:paraId="7C222468" w14:textId="3E44085E" w:rsidR="003A484E" w:rsidRPr="005B2804" w:rsidRDefault="003A484E" w:rsidP="003A484E">
            <w:pPr>
              <w:rPr>
                <w:rFonts w:ascii="Arial" w:hAnsi="Arial" w:cs="Arial"/>
                <w:b/>
                <w:bCs/>
                <w:color w:val="000000"/>
                <w:sz w:val="22"/>
                <w:szCs w:val="22"/>
              </w:rPr>
            </w:pPr>
            <w:r w:rsidRPr="005B2804">
              <w:rPr>
                <w:rFonts w:ascii="Arial" w:hAnsi="Arial" w:cs="Arial"/>
                <w:b/>
                <w:bCs/>
                <w:color w:val="000000"/>
              </w:rPr>
              <w:t>Estimate</w:t>
            </w:r>
          </w:p>
        </w:tc>
      </w:tr>
      <w:tr w:rsidR="003A484E" w14:paraId="794CAEF1" w14:textId="77777777" w:rsidTr="005B2804">
        <w:trPr>
          <w:trHeight w:val="32"/>
        </w:trPr>
        <w:tc>
          <w:tcPr>
            <w:tcW w:w="2835" w:type="dxa"/>
            <w:tcBorders>
              <w:top w:val="nil"/>
              <w:left w:val="single" w:sz="4" w:space="0" w:color="auto"/>
              <w:bottom w:val="nil"/>
              <w:right w:val="single" w:sz="4" w:space="0" w:color="auto"/>
            </w:tcBorders>
            <w:shd w:val="clear" w:color="auto" w:fill="auto"/>
            <w:noWrap/>
            <w:vAlign w:val="bottom"/>
            <w:hideMark/>
          </w:tcPr>
          <w:p w14:paraId="37A5366F" w14:textId="77777777" w:rsidR="003A484E" w:rsidRPr="001F5113" w:rsidRDefault="003A484E" w:rsidP="003A484E">
            <w:pPr>
              <w:rPr>
                <w:rFonts w:ascii="Arial" w:hAnsi="Arial" w:cs="Arial"/>
                <w:color w:val="000000"/>
                <w:sz w:val="22"/>
                <w:szCs w:val="22"/>
              </w:rPr>
            </w:pPr>
            <w:r w:rsidRPr="001F5113">
              <w:rPr>
                <w:rFonts w:ascii="Arial" w:hAnsi="Arial" w:cs="Arial"/>
                <w:color w:val="000000"/>
                <w:sz w:val="22"/>
                <w:szCs w:val="22"/>
              </w:rPr>
              <w:t> </w:t>
            </w:r>
          </w:p>
        </w:tc>
        <w:tc>
          <w:tcPr>
            <w:tcW w:w="1123" w:type="dxa"/>
            <w:tcBorders>
              <w:top w:val="nil"/>
              <w:left w:val="single" w:sz="4" w:space="0" w:color="auto"/>
              <w:bottom w:val="single" w:sz="4" w:space="0" w:color="auto"/>
              <w:right w:val="single" w:sz="4" w:space="0" w:color="auto"/>
            </w:tcBorders>
            <w:shd w:val="clear" w:color="auto" w:fill="auto"/>
            <w:noWrap/>
            <w:vAlign w:val="bottom"/>
            <w:hideMark/>
          </w:tcPr>
          <w:p w14:paraId="58260D33" w14:textId="06DF2C92" w:rsidR="003A484E" w:rsidRPr="005B2804" w:rsidRDefault="003A484E" w:rsidP="003A484E">
            <w:pPr>
              <w:jc w:val="center"/>
              <w:rPr>
                <w:rFonts w:ascii="Arial" w:hAnsi="Arial" w:cs="Arial"/>
                <w:b/>
                <w:bCs/>
                <w:color w:val="000000"/>
                <w:sz w:val="22"/>
                <w:szCs w:val="22"/>
              </w:rPr>
            </w:pPr>
            <w:r w:rsidRPr="005B2804">
              <w:rPr>
                <w:rFonts w:ascii="Arial" w:hAnsi="Arial" w:cs="Arial"/>
                <w:b/>
                <w:bCs/>
                <w:color w:val="000000"/>
              </w:rPr>
              <w:t>%</w:t>
            </w:r>
          </w:p>
        </w:tc>
        <w:tc>
          <w:tcPr>
            <w:tcW w:w="1137" w:type="dxa"/>
            <w:tcBorders>
              <w:top w:val="nil"/>
              <w:left w:val="nil"/>
              <w:bottom w:val="single" w:sz="4" w:space="0" w:color="auto"/>
              <w:right w:val="nil"/>
            </w:tcBorders>
            <w:shd w:val="clear" w:color="auto" w:fill="auto"/>
            <w:noWrap/>
            <w:vAlign w:val="bottom"/>
            <w:hideMark/>
          </w:tcPr>
          <w:p w14:paraId="46D5454E" w14:textId="16CDD913" w:rsidR="003A484E" w:rsidRPr="005B2804" w:rsidRDefault="003A484E" w:rsidP="003A484E">
            <w:pPr>
              <w:jc w:val="center"/>
              <w:rPr>
                <w:rFonts w:ascii="Arial" w:hAnsi="Arial" w:cs="Arial"/>
                <w:b/>
                <w:bCs/>
                <w:color w:val="000000"/>
                <w:sz w:val="22"/>
                <w:szCs w:val="22"/>
              </w:rPr>
            </w:pPr>
            <w:r w:rsidRPr="005B2804">
              <w:rPr>
                <w:rFonts w:ascii="Arial" w:hAnsi="Arial" w:cs="Arial"/>
                <w:b/>
                <w:bCs/>
                <w:color w:val="000000"/>
              </w:rPr>
              <w:t>%</w:t>
            </w:r>
          </w:p>
        </w:tc>
        <w:tc>
          <w:tcPr>
            <w:tcW w:w="1217" w:type="dxa"/>
            <w:tcBorders>
              <w:top w:val="nil"/>
              <w:left w:val="single" w:sz="4" w:space="0" w:color="auto"/>
              <w:bottom w:val="single" w:sz="4" w:space="0" w:color="auto"/>
              <w:right w:val="single" w:sz="4" w:space="0" w:color="auto"/>
            </w:tcBorders>
            <w:shd w:val="clear" w:color="auto" w:fill="auto"/>
            <w:noWrap/>
            <w:vAlign w:val="bottom"/>
            <w:hideMark/>
          </w:tcPr>
          <w:p w14:paraId="7ED08AC3" w14:textId="07BC4823" w:rsidR="003A484E" w:rsidRPr="005B2804" w:rsidRDefault="003A484E" w:rsidP="003A484E">
            <w:pPr>
              <w:jc w:val="center"/>
              <w:rPr>
                <w:rFonts w:ascii="Arial" w:hAnsi="Arial" w:cs="Arial"/>
                <w:b/>
                <w:bCs/>
                <w:color w:val="000000"/>
                <w:sz w:val="22"/>
                <w:szCs w:val="22"/>
              </w:rPr>
            </w:pPr>
            <w:r w:rsidRPr="005B2804">
              <w:rPr>
                <w:rFonts w:ascii="Arial" w:hAnsi="Arial" w:cs="Arial"/>
                <w:b/>
                <w:bCs/>
                <w:color w:val="000000"/>
              </w:rPr>
              <w:t>%</w:t>
            </w:r>
          </w:p>
        </w:tc>
        <w:tc>
          <w:tcPr>
            <w:tcW w:w="1217" w:type="dxa"/>
            <w:tcBorders>
              <w:top w:val="nil"/>
              <w:left w:val="nil"/>
              <w:bottom w:val="single" w:sz="4" w:space="0" w:color="auto"/>
              <w:right w:val="single" w:sz="4" w:space="0" w:color="auto"/>
            </w:tcBorders>
            <w:shd w:val="clear" w:color="auto" w:fill="auto"/>
            <w:noWrap/>
            <w:vAlign w:val="bottom"/>
            <w:hideMark/>
          </w:tcPr>
          <w:p w14:paraId="21685B58" w14:textId="65D5233B" w:rsidR="003A484E" w:rsidRPr="005B2804" w:rsidRDefault="003A484E" w:rsidP="003A484E">
            <w:pPr>
              <w:jc w:val="center"/>
              <w:rPr>
                <w:rFonts w:ascii="Arial" w:hAnsi="Arial" w:cs="Arial"/>
                <w:b/>
                <w:bCs/>
                <w:color w:val="000000"/>
                <w:sz w:val="22"/>
                <w:szCs w:val="22"/>
              </w:rPr>
            </w:pPr>
            <w:r w:rsidRPr="005B2804">
              <w:rPr>
                <w:rFonts w:ascii="Arial" w:hAnsi="Arial" w:cs="Arial"/>
                <w:b/>
                <w:bCs/>
                <w:color w:val="000000"/>
              </w:rPr>
              <w:t>%</w:t>
            </w:r>
          </w:p>
        </w:tc>
        <w:tc>
          <w:tcPr>
            <w:tcW w:w="1217" w:type="dxa"/>
            <w:tcBorders>
              <w:top w:val="nil"/>
              <w:left w:val="nil"/>
              <w:bottom w:val="single" w:sz="4" w:space="0" w:color="auto"/>
              <w:right w:val="single" w:sz="4" w:space="0" w:color="auto"/>
            </w:tcBorders>
            <w:shd w:val="clear" w:color="auto" w:fill="auto"/>
            <w:noWrap/>
            <w:vAlign w:val="bottom"/>
            <w:hideMark/>
          </w:tcPr>
          <w:p w14:paraId="3B85063A" w14:textId="18EC3A65" w:rsidR="003A484E" w:rsidRPr="005B2804" w:rsidRDefault="003A484E" w:rsidP="003A484E">
            <w:pPr>
              <w:jc w:val="center"/>
              <w:rPr>
                <w:rFonts w:ascii="Arial" w:hAnsi="Arial" w:cs="Arial"/>
                <w:b/>
                <w:bCs/>
                <w:color w:val="000000"/>
                <w:sz w:val="22"/>
                <w:szCs w:val="22"/>
              </w:rPr>
            </w:pPr>
            <w:r w:rsidRPr="005B2804">
              <w:rPr>
                <w:rFonts w:ascii="Arial" w:hAnsi="Arial" w:cs="Arial"/>
                <w:b/>
                <w:bCs/>
                <w:color w:val="000000"/>
              </w:rPr>
              <w:t>%</w:t>
            </w:r>
          </w:p>
        </w:tc>
      </w:tr>
      <w:tr w:rsidR="003A484E" w14:paraId="09126B66" w14:textId="77777777" w:rsidTr="005B2804">
        <w:trPr>
          <w:trHeight w:val="77"/>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0DE04585" w14:textId="77777777" w:rsidR="003A484E" w:rsidRPr="005B2804" w:rsidRDefault="003A484E" w:rsidP="003A484E">
            <w:pPr>
              <w:rPr>
                <w:rFonts w:ascii="Arial" w:hAnsi="Arial" w:cs="Arial"/>
                <w:color w:val="000000"/>
                <w:sz w:val="22"/>
                <w:szCs w:val="22"/>
              </w:rPr>
            </w:pPr>
            <w:r w:rsidRPr="005B2804">
              <w:rPr>
                <w:rFonts w:ascii="Arial" w:hAnsi="Arial" w:cs="Arial"/>
                <w:color w:val="000000"/>
                <w:sz w:val="22"/>
                <w:szCs w:val="22"/>
              </w:rPr>
              <w:t>Ratio</w:t>
            </w:r>
          </w:p>
        </w:tc>
        <w:tc>
          <w:tcPr>
            <w:tcW w:w="1123" w:type="dxa"/>
            <w:tcBorders>
              <w:top w:val="nil"/>
              <w:left w:val="single" w:sz="4" w:space="0" w:color="auto"/>
              <w:bottom w:val="single" w:sz="4" w:space="0" w:color="auto"/>
              <w:right w:val="single" w:sz="4" w:space="0" w:color="auto"/>
            </w:tcBorders>
            <w:shd w:val="clear" w:color="auto" w:fill="auto"/>
            <w:noWrap/>
            <w:vAlign w:val="bottom"/>
            <w:hideMark/>
          </w:tcPr>
          <w:p w14:paraId="6FD7BD6E" w14:textId="459EBF32" w:rsidR="003A484E" w:rsidRPr="005B2804" w:rsidRDefault="003A484E" w:rsidP="003A484E">
            <w:pPr>
              <w:jc w:val="right"/>
              <w:rPr>
                <w:rFonts w:ascii="Arial" w:hAnsi="Arial" w:cs="Arial"/>
                <w:color w:val="000000"/>
                <w:sz w:val="22"/>
                <w:szCs w:val="22"/>
              </w:rPr>
            </w:pPr>
            <w:r w:rsidRPr="005B2804">
              <w:rPr>
                <w:rFonts w:ascii="Arial" w:hAnsi="Arial" w:cs="Arial"/>
                <w:color w:val="000000"/>
              </w:rPr>
              <w:t>0.</w:t>
            </w:r>
            <w:r w:rsidR="00281C5F" w:rsidRPr="005B2804">
              <w:rPr>
                <w:rFonts w:ascii="Arial" w:hAnsi="Arial" w:cs="Arial"/>
                <w:color w:val="000000"/>
              </w:rPr>
              <w:t>43</w:t>
            </w:r>
            <w:r w:rsidRPr="005B2804">
              <w:rPr>
                <w:rFonts w:ascii="Arial" w:hAnsi="Arial" w:cs="Arial"/>
                <w:color w:val="000000"/>
              </w:rPr>
              <w:t>%</w:t>
            </w:r>
          </w:p>
        </w:tc>
        <w:tc>
          <w:tcPr>
            <w:tcW w:w="1137" w:type="dxa"/>
            <w:tcBorders>
              <w:top w:val="nil"/>
              <w:left w:val="nil"/>
              <w:bottom w:val="single" w:sz="4" w:space="0" w:color="auto"/>
              <w:right w:val="nil"/>
            </w:tcBorders>
            <w:shd w:val="clear" w:color="auto" w:fill="auto"/>
            <w:noWrap/>
            <w:vAlign w:val="bottom"/>
            <w:hideMark/>
          </w:tcPr>
          <w:p w14:paraId="428B150E" w14:textId="3822EB0A" w:rsidR="003A484E" w:rsidRPr="005B2804" w:rsidRDefault="003A484E" w:rsidP="003A484E">
            <w:pPr>
              <w:jc w:val="right"/>
              <w:rPr>
                <w:rFonts w:ascii="Arial" w:hAnsi="Arial" w:cs="Arial"/>
                <w:color w:val="000000"/>
                <w:sz w:val="22"/>
                <w:szCs w:val="22"/>
              </w:rPr>
            </w:pPr>
            <w:r w:rsidRPr="005B2804">
              <w:rPr>
                <w:rFonts w:ascii="Arial" w:hAnsi="Arial" w:cs="Arial"/>
                <w:color w:val="000000"/>
              </w:rPr>
              <w:t>0.00%</w:t>
            </w:r>
          </w:p>
        </w:tc>
        <w:tc>
          <w:tcPr>
            <w:tcW w:w="1217" w:type="dxa"/>
            <w:tcBorders>
              <w:top w:val="nil"/>
              <w:left w:val="single" w:sz="4" w:space="0" w:color="auto"/>
              <w:bottom w:val="single" w:sz="4" w:space="0" w:color="auto"/>
              <w:right w:val="single" w:sz="4" w:space="0" w:color="auto"/>
            </w:tcBorders>
            <w:shd w:val="clear" w:color="auto" w:fill="auto"/>
            <w:noWrap/>
            <w:vAlign w:val="bottom"/>
            <w:hideMark/>
          </w:tcPr>
          <w:p w14:paraId="6CB389BB" w14:textId="0B081E91" w:rsidR="003A484E" w:rsidRPr="005B2804" w:rsidRDefault="00281C5F" w:rsidP="003A484E">
            <w:pPr>
              <w:jc w:val="right"/>
              <w:rPr>
                <w:rFonts w:ascii="Arial" w:hAnsi="Arial" w:cs="Arial"/>
                <w:color w:val="000000"/>
                <w:sz w:val="22"/>
                <w:szCs w:val="22"/>
              </w:rPr>
            </w:pPr>
            <w:r w:rsidRPr="005B2804">
              <w:rPr>
                <w:rFonts w:ascii="Arial" w:hAnsi="Arial" w:cs="Arial"/>
                <w:color w:val="000000"/>
              </w:rPr>
              <w:t>(</w:t>
            </w:r>
            <w:r w:rsidR="003A484E" w:rsidRPr="005B2804">
              <w:rPr>
                <w:rFonts w:ascii="Arial" w:hAnsi="Arial" w:cs="Arial"/>
                <w:color w:val="000000"/>
              </w:rPr>
              <w:t>0.</w:t>
            </w:r>
            <w:r w:rsidRPr="005B2804">
              <w:rPr>
                <w:rFonts w:ascii="Arial" w:hAnsi="Arial" w:cs="Arial"/>
                <w:color w:val="000000"/>
              </w:rPr>
              <w:t>05</w:t>
            </w:r>
            <w:r w:rsidR="003A484E" w:rsidRPr="005B2804">
              <w:rPr>
                <w:rFonts w:ascii="Arial" w:hAnsi="Arial" w:cs="Arial"/>
                <w:color w:val="000000"/>
              </w:rPr>
              <w:t>%</w:t>
            </w:r>
            <w:r w:rsidRPr="005B2804">
              <w:rPr>
                <w:rFonts w:ascii="Arial" w:hAnsi="Arial" w:cs="Arial"/>
                <w:color w:val="000000"/>
              </w:rPr>
              <w:t>)</w:t>
            </w:r>
          </w:p>
        </w:tc>
        <w:tc>
          <w:tcPr>
            <w:tcW w:w="1217" w:type="dxa"/>
            <w:tcBorders>
              <w:top w:val="nil"/>
              <w:left w:val="nil"/>
              <w:bottom w:val="single" w:sz="4" w:space="0" w:color="auto"/>
              <w:right w:val="single" w:sz="4" w:space="0" w:color="auto"/>
            </w:tcBorders>
            <w:shd w:val="clear" w:color="auto" w:fill="auto"/>
            <w:noWrap/>
            <w:vAlign w:val="bottom"/>
            <w:hideMark/>
          </w:tcPr>
          <w:p w14:paraId="3EB7CE5C" w14:textId="30DCC17A" w:rsidR="003A484E" w:rsidRPr="005B2804" w:rsidRDefault="00281C5F" w:rsidP="003A484E">
            <w:pPr>
              <w:jc w:val="right"/>
              <w:rPr>
                <w:rFonts w:ascii="Arial" w:hAnsi="Arial" w:cs="Arial"/>
                <w:color w:val="000000"/>
                <w:sz w:val="22"/>
                <w:szCs w:val="22"/>
              </w:rPr>
            </w:pPr>
            <w:r w:rsidRPr="005B2804">
              <w:rPr>
                <w:rFonts w:ascii="Arial" w:hAnsi="Arial" w:cs="Arial"/>
                <w:color w:val="000000"/>
              </w:rPr>
              <w:t>0</w:t>
            </w:r>
            <w:r w:rsidR="003A484E" w:rsidRPr="005B2804">
              <w:rPr>
                <w:rFonts w:ascii="Arial" w:hAnsi="Arial" w:cs="Arial"/>
                <w:color w:val="000000"/>
              </w:rPr>
              <w:t>.</w:t>
            </w:r>
            <w:r w:rsidRPr="005B2804">
              <w:rPr>
                <w:rFonts w:ascii="Arial" w:hAnsi="Arial" w:cs="Arial"/>
                <w:color w:val="000000"/>
              </w:rPr>
              <w:t>49</w:t>
            </w:r>
            <w:r w:rsidR="003A484E" w:rsidRPr="005B2804">
              <w:rPr>
                <w:rFonts w:ascii="Arial" w:hAnsi="Arial" w:cs="Arial"/>
                <w:color w:val="000000"/>
              </w:rPr>
              <w:t>%</w:t>
            </w:r>
          </w:p>
        </w:tc>
        <w:tc>
          <w:tcPr>
            <w:tcW w:w="1217" w:type="dxa"/>
            <w:tcBorders>
              <w:top w:val="nil"/>
              <w:left w:val="nil"/>
              <w:bottom w:val="single" w:sz="4" w:space="0" w:color="auto"/>
              <w:right w:val="single" w:sz="4" w:space="0" w:color="auto"/>
            </w:tcBorders>
            <w:shd w:val="clear" w:color="auto" w:fill="auto"/>
            <w:noWrap/>
            <w:vAlign w:val="bottom"/>
            <w:hideMark/>
          </w:tcPr>
          <w:p w14:paraId="2C7469FA" w14:textId="61DB9506" w:rsidR="003A484E" w:rsidRPr="005B2804" w:rsidRDefault="00281C5F" w:rsidP="003A484E">
            <w:pPr>
              <w:jc w:val="right"/>
              <w:rPr>
                <w:rFonts w:ascii="Arial" w:hAnsi="Arial" w:cs="Arial"/>
                <w:color w:val="000000"/>
                <w:sz w:val="22"/>
                <w:szCs w:val="22"/>
              </w:rPr>
            </w:pPr>
            <w:r w:rsidRPr="005B2804">
              <w:rPr>
                <w:rFonts w:ascii="Arial" w:hAnsi="Arial" w:cs="Arial"/>
                <w:color w:val="000000"/>
              </w:rPr>
              <w:t>0</w:t>
            </w:r>
            <w:r w:rsidR="003A484E" w:rsidRPr="005B2804">
              <w:rPr>
                <w:rFonts w:ascii="Arial" w:hAnsi="Arial" w:cs="Arial"/>
                <w:color w:val="000000"/>
              </w:rPr>
              <w:t>.</w:t>
            </w:r>
            <w:r w:rsidRPr="005B2804">
              <w:rPr>
                <w:rFonts w:ascii="Arial" w:hAnsi="Arial" w:cs="Arial"/>
                <w:color w:val="000000"/>
              </w:rPr>
              <w:t>74</w:t>
            </w:r>
            <w:r w:rsidR="003A484E" w:rsidRPr="005B2804">
              <w:rPr>
                <w:rFonts w:ascii="Arial" w:hAnsi="Arial" w:cs="Arial"/>
                <w:color w:val="000000"/>
              </w:rPr>
              <w:t>%</w:t>
            </w:r>
          </w:p>
        </w:tc>
      </w:tr>
    </w:tbl>
    <w:p w14:paraId="22AED7C9" w14:textId="77777777" w:rsidR="00B25C01" w:rsidRPr="008B68A5" w:rsidRDefault="00B25C01" w:rsidP="008B68A5">
      <w:pPr>
        <w:tabs>
          <w:tab w:val="left" w:pos="1308"/>
        </w:tabs>
        <w:ind w:left="720" w:hanging="720"/>
        <w:rPr>
          <w:rFonts w:ascii="Arial" w:hAnsi="Arial" w:cs="Arial"/>
        </w:rPr>
      </w:pPr>
    </w:p>
    <w:p w14:paraId="2899088C" w14:textId="5BBDEEC8" w:rsidR="008B68A5" w:rsidRPr="00F05697" w:rsidRDefault="008B68A5" w:rsidP="00924212">
      <w:pPr>
        <w:pStyle w:val="BodyText"/>
        <w:numPr>
          <w:ilvl w:val="1"/>
          <w:numId w:val="9"/>
        </w:numPr>
        <w:ind w:left="709" w:hanging="709"/>
        <w:rPr>
          <w:rFonts w:ascii="Arial" w:hAnsi="Arial" w:cs="Arial"/>
        </w:rPr>
      </w:pPr>
      <w:r w:rsidRPr="00F05697">
        <w:rPr>
          <w:rFonts w:ascii="Arial" w:hAnsi="Arial" w:cs="Arial"/>
        </w:rPr>
        <w:t>The estimates of financing costs include current commitments and the proposals in the budget report.</w:t>
      </w:r>
      <w:r w:rsidR="00F37E82">
        <w:rPr>
          <w:rFonts w:ascii="Arial" w:hAnsi="Arial" w:cs="Arial"/>
        </w:rPr>
        <w:t xml:space="preserve">  </w:t>
      </w:r>
      <w:r w:rsidR="00F37E82" w:rsidRPr="00D20CC6">
        <w:rPr>
          <w:rFonts w:ascii="Arial" w:hAnsi="Arial" w:cs="Arial"/>
        </w:rPr>
        <w:t>The ratio turns positive in 20</w:t>
      </w:r>
      <w:r w:rsidR="0025747D">
        <w:rPr>
          <w:rFonts w:ascii="Arial" w:hAnsi="Arial" w:cs="Arial"/>
        </w:rPr>
        <w:t>2</w:t>
      </w:r>
      <w:r w:rsidR="00281C5F">
        <w:rPr>
          <w:rFonts w:ascii="Arial" w:hAnsi="Arial" w:cs="Arial"/>
        </w:rPr>
        <w:t>5</w:t>
      </w:r>
      <w:r w:rsidR="0025747D">
        <w:rPr>
          <w:rFonts w:ascii="Arial" w:hAnsi="Arial" w:cs="Arial"/>
        </w:rPr>
        <w:t>/2</w:t>
      </w:r>
      <w:r w:rsidR="00281C5F">
        <w:rPr>
          <w:rFonts w:ascii="Arial" w:hAnsi="Arial" w:cs="Arial"/>
        </w:rPr>
        <w:t>6</w:t>
      </w:r>
      <w:r w:rsidR="00D20CC6">
        <w:rPr>
          <w:rFonts w:ascii="Arial" w:hAnsi="Arial" w:cs="Arial"/>
        </w:rPr>
        <w:t xml:space="preserve"> </w:t>
      </w:r>
      <w:r w:rsidR="00F37E82">
        <w:rPr>
          <w:rFonts w:ascii="Arial" w:hAnsi="Arial" w:cs="Arial"/>
        </w:rPr>
        <w:t xml:space="preserve">as </w:t>
      </w:r>
      <w:r w:rsidR="00123207">
        <w:rPr>
          <w:rFonts w:ascii="Arial" w:hAnsi="Arial" w:cs="Arial"/>
        </w:rPr>
        <w:t xml:space="preserve">interest expense will be payable on newly borrowed debt, at this point forecast interest expense will be greater than interest income. </w:t>
      </w:r>
    </w:p>
    <w:p w14:paraId="11E9A420" w14:textId="77777777" w:rsidR="008B68A5" w:rsidRDefault="008B68A5" w:rsidP="008B68A5">
      <w:pPr>
        <w:autoSpaceDE w:val="0"/>
        <w:autoSpaceDN w:val="0"/>
        <w:adjustRightInd w:val="0"/>
        <w:rPr>
          <w:rFonts w:ascii="Arial" w:hAnsi="Arial" w:cs="Arial"/>
          <w:bCs/>
        </w:rPr>
      </w:pPr>
    </w:p>
    <w:p w14:paraId="4B4A1B1E" w14:textId="77777777" w:rsidR="009E249F" w:rsidRDefault="008B68A5" w:rsidP="00924212">
      <w:pPr>
        <w:numPr>
          <w:ilvl w:val="1"/>
          <w:numId w:val="9"/>
        </w:numPr>
        <w:autoSpaceDE w:val="0"/>
        <w:autoSpaceDN w:val="0"/>
        <w:adjustRightInd w:val="0"/>
        <w:ind w:left="709" w:hanging="709"/>
        <w:jc w:val="both"/>
        <w:rPr>
          <w:rFonts w:ascii="Arial" w:hAnsi="Arial" w:cs="Arial"/>
        </w:rPr>
      </w:pPr>
      <w:r w:rsidRPr="009E249F">
        <w:rPr>
          <w:rFonts w:ascii="Arial" w:hAnsi="Arial" w:cs="Arial"/>
          <w:bCs/>
        </w:rPr>
        <w:t xml:space="preserve">The fourth prudential indicator </w:t>
      </w:r>
      <w:r w:rsidRPr="009E249F">
        <w:rPr>
          <w:rFonts w:ascii="Arial" w:hAnsi="Arial" w:cs="Arial"/>
        </w:rPr>
        <w:t xml:space="preserve">identifies the </w:t>
      </w:r>
      <w:r w:rsidR="004622EF" w:rsidRPr="009E249F">
        <w:rPr>
          <w:rFonts w:ascii="Arial" w:hAnsi="Arial" w:cs="Arial"/>
        </w:rPr>
        <w:t xml:space="preserve">increased </w:t>
      </w:r>
      <w:r w:rsidRPr="009E249F">
        <w:rPr>
          <w:rFonts w:ascii="Arial" w:hAnsi="Arial" w:cs="Arial"/>
        </w:rPr>
        <w:t xml:space="preserve">revenue costs associated with </w:t>
      </w:r>
      <w:r w:rsidR="004622EF" w:rsidRPr="009E249F">
        <w:rPr>
          <w:rFonts w:ascii="Arial" w:hAnsi="Arial" w:cs="Arial"/>
        </w:rPr>
        <w:t xml:space="preserve">the approved </w:t>
      </w:r>
      <w:r w:rsidR="00257330">
        <w:rPr>
          <w:rFonts w:ascii="Arial" w:hAnsi="Arial" w:cs="Arial"/>
        </w:rPr>
        <w:t>three year C</w:t>
      </w:r>
      <w:r w:rsidRPr="009E249F">
        <w:rPr>
          <w:rFonts w:ascii="Arial" w:hAnsi="Arial" w:cs="Arial"/>
        </w:rPr>
        <w:t xml:space="preserve">apital </w:t>
      </w:r>
      <w:r w:rsidR="00257330">
        <w:rPr>
          <w:rFonts w:ascii="Arial" w:hAnsi="Arial" w:cs="Arial"/>
        </w:rPr>
        <w:t>P</w:t>
      </w:r>
      <w:r w:rsidRPr="009E249F">
        <w:rPr>
          <w:rFonts w:ascii="Arial" w:hAnsi="Arial" w:cs="Arial"/>
        </w:rPr>
        <w:t>rogramme</w:t>
      </w:r>
      <w:r w:rsidR="004622EF" w:rsidRPr="009E249F">
        <w:rPr>
          <w:rFonts w:ascii="Arial" w:hAnsi="Arial" w:cs="Arial"/>
        </w:rPr>
        <w:t xml:space="preserve"> and expresses these in terms of the increase in Band D </w:t>
      </w:r>
      <w:r w:rsidR="00D45E68">
        <w:rPr>
          <w:rFonts w:ascii="Arial" w:hAnsi="Arial" w:cs="Arial"/>
        </w:rPr>
        <w:t>C</w:t>
      </w:r>
      <w:r w:rsidR="004622EF" w:rsidRPr="009E249F">
        <w:rPr>
          <w:rFonts w:ascii="Arial" w:hAnsi="Arial" w:cs="Arial"/>
        </w:rPr>
        <w:t xml:space="preserve">ouncil </w:t>
      </w:r>
      <w:r w:rsidR="00D45E68">
        <w:rPr>
          <w:rFonts w:ascii="Arial" w:hAnsi="Arial" w:cs="Arial"/>
        </w:rPr>
        <w:t>T</w:t>
      </w:r>
      <w:r w:rsidR="004622EF" w:rsidRPr="009E249F">
        <w:rPr>
          <w:rFonts w:ascii="Arial" w:hAnsi="Arial" w:cs="Arial"/>
        </w:rPr>
        <w:t>ax</w:t>
      </w:r>
      <w:r w:rsidR="00D45E68">
        <w:rPr>
          <w:rFonts w:ascii="Arial" w:hAnsi="Arial" w:cs="Arial"/>
        </w:rPr>
        <w:t xml:space="preserve"> Precept</w:t>
      </w:r>
      <w:r w:rsidRPr="009E249F">
        <w:rPr>
          <w:rFonts w:ascii="Arial" w:hAnsi="Arial" w:cs="Arial"/>
        </w:rPr>
        <w:t>.  The assumptions are based on the budget, but will invariably include some estimates, such as the level of Government sup</w:t>
      </w:r>
      <w:r w:rsidR="00D5217F" w:rsidRPr="009E249F">
        <w:rPr>
          <w:rFonts w:ascii="Arial" w:hAnsi="Arial" w:cs="Arial"/>
        </w:rPr>
        <w:t>port, which is</w:t>
      </w:r>
      <w:r w:rsidRPr="009E249F">
        <w:rPr>
          <w:rFonts w:ascii="Arial" w:hAnsi="Arial" w:cs="Arial"/>
        </w:rPr>
        <w:t xml:space="preserve"> not published over a three year period.</w:t>
      </w:r>
    </w:p>
    <w:p w14:paraId="74FF3047" w14:textId="77777777" w:rsidR="009E249F" w:rsidRDefault="009E249F" w:rsidP="009E249F">
      <w:pPr>
        <w:pStyle w:val="ListParagraph"/>
        <w:rPr>
          <w:rFonts w:ascii="Arial" w:hAnsi="Arial" w:cs="Arial"/>
        </w:rPr>
      </w:pPr>
    </w:p>
    <w:tbl>
      <w:tblPr>
        <w:tblW w:w="5965" w:type="dxa"/>
        <w:tblInd w:w="745" w:type="dxa"/>
        <w:tblLook w:val="04A0" w:firstRow="1" w:lastRow="0" w:firstColumn="1" w:lastColumn="0" w:noHBand="0" w:noVBand="1"/>
      </w:tblPr>
      <w:tblGrid>
        <w:gridCol w:w="2353"/>
        <w:gridCol w:w="1217"/>
        <w:gridCol w:w="1276"/>
        <w:gridCol w:w="1217"/>
      </w:tblGrid>
      <w:tr w:rsidR="00281C5F" w:rsidRPr="00281C5F" w14:paraId="56351386" w14:textId="77777777" w:rsidTr="005B2804">
        <w:trPr>
          <w:trHeight w:val="443"/>
        </w:trPr>
        <w:tc>
          <w:tcPr>
            <w:tcW w:w="5965"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944F9EF" w14:textId="77777777" w:rsidR="00281C5F" w:rsidRPr="00281C5F" w:rsidRDefault="00281C5F">
            <w:pPr>
              <w:jc w:val="center"/>
              <w:rPr>
                <w:rFonts w:ascii="Arial" w:hAnsi="Arial" w:cs="Arial"/>
                <w:b/>
                <w:bCs/>
                <w:color w:val="000000"/>
              </w:rPr>
            </w:pPr>
            <w:r w:rsidRPr="00281C5F">
              <w:rPr>
                <w:rFonts w:ascii="Arial" w:hAnsi="Arial" w:cs="Arial"/>
                <w:b/>
                <w:bCs/>
                <w:color w:val="000000"/>
              </w:rPr>
              <w:t>Fourth Prudential Indicator - Incremental Increase in Council Tax Precept</w:t>
            </w:r>
          </w:p>
        </w:tc>
      </w:tr>
      <w:tr w:rsidR="00281C5F" w14:paraId="0EA0C68C" w14:textId="77777777" w:rsidTr="005B2804">
        <w:trPr>
          <w:trHeight w:val="300"/>
        </w:trPr>
        <w:tc>
          <w:tcPr>
            <w:tcW w:w="2353" w:type="dxa"/>
            <w:tcBorders>
              <w:top w:val="nil"/>
              <w:left w:val="single" w:sz="4" w:space="0" w:color="auto"/>
              <w:bottom w:val="nil"/>
              <w:right w:val="single" w:sz="4" w:space="0" w:color="auto"/>
            </w:tcBorders>
            <w:shd w:val="clear" w:color="auto" w:fill="auto"/>
            <w:noWrap/>
            <w:vAlign w:val="bottom"/>
            <w:hideMark/>
          </w:tcPr>
          <w:p w14:paraId="4D3AE361" w14:textId="77777777" w:rsidR="00281C5F" w:rsidRDefault="00281C5F">
            <w:pPr>
              <w:rPr>
                <w:rFonts w:ascii="Arial" w:hAnsi="Arial" w:cs="Arial"/>
                <w:color w:val="000000"/>
              </w:rPr>
            </w:pPr>
            <w:r>
              <w:rPr>
                <w:rFonts w:ascii="Arial" w:hAnsi="Arial" w:cs="Arial"/>
                <w:color w:val="000000"/>
              </w:rPr>
              <w:t> </w:t>
            </w:r>
          </w:p>
        </w:tc>
        <w:tc>
          <w:tcPr>
            <w:tcW w:w="1186" w:type="dxa"/>
            <w:tcBorders>
              <w:top w:val="nil"/>
              <w:left w:val="nil"/>
              <w:bottom w:val="nil"/>
              <w:right w:val="single" w:sz="4" w:space="0" w:color="auto"/>
            </w:tcBorders>
            <w:shd w:val="clear" w:color="auto" w:fill="auto"/>
            <w:noWrap/>
            <w:vAlign w:val="bottom"/>
            <w:hideMark/>
          </w:tcPr>
          <w:p w14:paraId="6731E910" w14:textId="77777777" w:rsidR="00281C5F" w:rsidRPr="005B2804" w:rsidRDefault="00281C5F">
            <w:pPr>
              <w:rPr>
                <w:rFonts w:ascii="Arial" w:hAnsi="Arial" w:cs="Arial"/>
                <w:b/>
                <w:bCs/>
                <w:color w:val="000000"/>
              </w:rPr>
            </w:pPr>
            <w:r w:rsidRPr="005B2804">
              <w:rPr>
                <w:rFonts w:ascii="Arial" w:hAnsi="Arial" w:cs="Arial"/>
                <w:b/>
                <w:bCs/>
                <w:color w:val="000000"/>
              </w:rPr>
              <w:t>2024/25</w:t>
            </w:r>
          </w:p>
        </w:tc>
        <w:tc>
          <w:tcPr>
            <w:tcW w:w="1276" w:type="dxa"/>
            <w:tcBorders>
              <w:top w:val="nil"/>
              <w:left w:val="nil"/>
              <w:bottom w:val="nil"/>
              <w:right w:val="single" w:sz="4" w:space="0" w:color="auto"/>
            </w:tcBorders>
            <w:shd w:val="clear" w:color="auto" w:fill="auto"/>
            <w:noWrap/>
            <w:vAlign w:val="bottom"/>
            <w:hideMark/>
          </w:tcPr>
          <w:p w14:paraId="00C6E914" w14:textId="77777777" w:rsidR="00281C5F" w:rsidRPr="005B2804" w:rsidRDefault="00281C5F">
            <w:pPr>
              <w:rPr>
                <w:rFonts w:ascii="Arial" w:hAnsi="Arial" w:cs="Arial"/>
                <w:b/>
                <w:bCs/>
                <w:color w:val="000000"/>
              </w:rPr>
            </w:pPr>
            <w:r w:rsidRPr="005B2804">
              <w:rPr>
                <w:rFonts w:ascii="Arial" w:hAnsi="Arial" w:cs="Arial"/>
                <w:b/>
                <w:bCs/>
                <w:color w:val="000000"/>
              </w:rPr>
              <w:t>2025/26</w:t>
            </w:r>
          </w:p>
        </w:tc>
        <w:tc>
          <w:tcPr>
            <w:tcW w:w="1150" w:type="dxa"/>
            <w:tcBorders>
              <w:top w:val="nil"/>
              <w:left w:val="nil"/>
              <w:bottom w:val="nil"/>
              <w:right w:val="single" w:sz="4" w:space="0" w:color="auto"/>
            </w:tcBorders>
            <w:shd w:val="clear" w:color="auto" w:fill="auto"/>
            <w:noWrap/>
            <w:vAlign w:val="bottom"/>
            <w:hideMark/>
          </w:tcPr>
          <w:p w14:paraId="69E844B5" w14:textId="77777777" w:rsidR="00281C5F" w:rsidRPr="005B2804" w:rsidRDefault="00281C5F">
            <w:pPr>
              <w:rPr>
                <w:rFonts w:ascii="Arial" w:hAnsi="Arial" w:cs="Arial"/>
                <w:b/>
                <w:bCs/>
                <w:color w:val="000000"/>
              </w:rPr>
            </w:pPr>
            <w:r w:rsidRPr="005B2804">
              <w:rPr>
                <w:rFonts w:ascii="Arial" w:hAnsi="Arial" w:cs="Arial"/>
                <w:b/>
                <w:bCs/>
                <w:color w:val="000000"/>
              </w:rPr>
              <w:t>2026/27</w:t>
            </w:r>
          </w:p>
        </w:tc>
      </w:tr>
      <w:tr w:rsidR="00281C5F" w14:paraId="200E0A07" w14:textId="77777777" w:rsidTr="005B2804">
        <w:trPr>
          <w:trHeight w:val="300"/>
        </w:trPr>
        <w:tc>
          <w:tcPr>
            <w:tcW w:w="2353" w:type="dxa"/>
            <w:tcBorders>
              <w:top w:val="nil"/>
              <w:left w:val="single" w:sz="4" w:space="0" w:color="auto"/>
              <w:bottom w:val="nil"/>
              <w:right w:val="single" w:sz="4" w:space="0" w:color="auto"/>
            </w:tcBorders>
            <w:shd w:val="clear" w:color="auto" w:fill="auto"/>
            <w:noWrap/>
            <w:vAlign w:val="bottom"/>
            <w:hideMark/>
          </w:tcPr>
          <w:p w14:paraId="48EDB24A" w14:textId="77777777" w:rsidR="00281C5F" w:rsidRDefault="00281C5F">
            <w:pPr>
              <w:rPr>
                <w:rFonts w:ascii="Arial" w:hAnsi="Arial" w:cs="Arial"/>
                <w:color w:val="000000"/>
              </w:rPr>
            </w:pPr>
            <w:r>
              <w:rPr>
                <w:rFonts w:ascii="Arial" w:hAnsi="Arial" w:cs="Arial"/>
                <w:color w:val="000000"/>
              </w:rPr>
              <w:t> </w:t>
            </w:r>
          </w:p>
        </w:tc>
        <w:tc>
          <w:tcPr>
            <w:tcW w:w="1186" w:type="dxa"/>
            <w:tcBorders>
              <w:top w:val="nil"/>
              <w:left w:val="nil"/>
              <w:bottom w:val="nil"/>
              <w:right w:val="single" w:sz="4" w:space="0" w:color="auto"/>
            </w:tcBorders>
            <w:shd w:val="clear" w:color="auto" w:fill="auto"/>
            <w:noWrap/>
            <w:vAlign w:val="bottom"/>
            <w:hideMark/>
          </w:tcPr>
          <w:p w14:paraId="61DD9B05" w14:textId="77777777" w:rsidR="00281C5F" w:rsidRPr="005B2804" w:rsidRDefault="00281C5F">
            <w:pPr>
              <w:rPr>
                <w:rFonts w:ascii="Arial" w:hAnsi="Arial" w:cs="Arial"/>
                <w:b/>
                <w:bCs/>
                <w:color w:val="000000"/>
              </w:rPr>
            </w:pPr>
            <w:r w:rsidRPr="005B2804">
              <w:rPr>
                <w:rFonts w:ascii="Arial" w:hAnsi="Arial" w:cs="Arial"/>
                <w:b/>
                <w:bCs/>
                <w:color w:val="000000"/>
              </w:rPr>
              <w:t>Estimate</w:t>
            </w:r>
          </w:p>
        </w:tc>
        <w:tc>
          <w:tcPr>
            <w:tcW w:w="1276" w:type="dxa"/>
            <w:tcBorders>
              <w:top w:val="nil"/>
              <w:left w:val="nil"/>
              <w:bottom w:val="nil"/>
              <w:right w:val="single" w:sz="4" w:space="0" w:color="auto"/>
            </w:tcBorders>
            <w:shd w:val="clear" w:color="auto" w:fill="auto"/>
            <w:noWrap/>
            <w:vAlign w:val="bottom"/>
            <w:hideMark/>
          </w:tcPr>
          <w:p w14:paraId="0D90FC5D" w14:textId="77777777" w:rsidR="00281C5F" w:rsidRPr="005B2804" w:rsidRDefault="00281C5F">
            <w:pPr>
              <w:rPr>
                <w:rFonts w:ascii="Arial" w:hAnsi="Arial" w:cs="Arial"/>
                <w:b/>
                <w:bCs/>
                <w:color w:val="000000"/>
              </w:rPr>
            </w:pPr>
            <w:r w:rsidRPr="005B2804">
              <w:rPr>
                <w:rFonts w:ascii="Arial" w:hAnsi="Arial" w:cs="Arial"/>
                <w:b/>
                <w:bCs/>
                <w:color w:val="000000"/>
              </w:rPr>
              <w:t>Estimate</w:t>
            </w:r>
          </w:p>
        </w:tc>
        <w:tc>
          <w:tcPr>
            <w:tcW w:w="1150" w:type="dxa"/>
            <w:tcBorders>
              <w:top w:val="nil"/>
              <w:left w:val="nil"/>
              <w:bottom w:val="nil"/>
              <w:right w:val="single" w:sz="4" w:space="0" w:color="auto"/>
            </w:tcBorders>
            <w:shd w:val="clear" w:color="auto" w:fill="auto"/>
            <w:noWrap/>
            <w:vAlign w:val="bottom"/>
            <w:hideMark/>
          </w:tcPr>
          <w:p w14:paraId="0E2E44B2" w14:textId="77777777" w:rsidR="00281C5F" w:rsidRPr="005B2804" w:rsidRDefault="00281C5F">
            <w:pPr>
              <w:rPr>
                <w:rFonts w:ascii="Arial" w:hAnsi="Arial" w:cs="Arial"/>
                <w:b/>
                <w:bCs/>
                <w:color w:val="000000"/>
              </w:rPr>
            </w:pPr>
            <w:r w:rsidRPr="005B2804">
              <w:rPr>
                <w:rFonts w:ascii="Arial" w:hAnsi="Arial" w:cs="Arial"/>
                <w:b/>
                <w:bCs/>
                <w:color w:val="000000"/>
              </w:rPr>
              <w:t>Estimate</w:t>
            </w:r>
          </w:p>
        </w:tc>
      </w:tr>
      <w:tr w:rsidR="00281C5F" w14:paraId="07BCA1D7" w14:textId="77777777" w:rsidTr="005B2804">
        <w:trPr>
          <w:trHeight w:val="300"/>
        </w:trPr>
        <w:tc>
          <w:tcPr>
            <w:tcW w:w="2353" w:type="dxa"/>
            <w:tcBorders>
              <w:top w:val="nil"/>
              <w:left w:val="single" w:sz="4" w:space="0" w:color="auto"/>
              <w:bottom w:val="nil"/>
              <w:right w:val="single" w:sz="4" w:space="0" w:color="auto"/>
            </w:tcBorders>
            <w:shd w:val="clear" w:color="auto" w:fill="auto"/>
            <w:noWrap/>
            <w:vAlign w:val="bottom"/>
            <w:hideMark/>
          </w:tcPr>
          <w:p w14:paraId="55A36C35" w14:textId="77777777" w:rsidR="00281C5F" w:rsidRDefault="00281C5F">
            <w:pPr>
              <w:rPr>
                <w:rFonts w:ascii="Arial" w:hAnsi="Arial" w:cs="Arial"/>
                <w:color w:val="000000"/>
              </w:rPr>
            </w:pPr>
            <w:r>
              <w:rPr>
                <w:rFonts w:ascii="Arial" w:hAnsi="Arial" w:cs="Arial"/>
                <w:color w:val="000000"/>
              </w:rPr>
              <w:t> </w:t>
            </w:r>
          </w:p>
        </w:tc>
        <w:tc>
          <w:tcPr>
            <w:tcW w:w="1186" w:type="dxa"/>
            <w:tcBorders>
              <w:top w:val="nil"/>
              <w:left w:val="nil"/>
              <w:bottom w:val="single" w:sz="4" w:space="0" w:color="auto"/>
              <w:right w:val="single" w:sz="4" w:space="0" w:color="auto"/>
            </w:tcBorders>
            <w:shd w:val="clear" w:color="auto" w:fill="auto"/>
            <w:noWrap/>
            <w:vAlign w:val="bottom"/>
            <w:hideMark/>
          </w:tcPr>
          <w:p w14:paraId="797B19E6" w14:textId="77777777" w:rsidR="00281C5F" w:rsidRPr="005B2804" w:rsidRDefault="00281C5F">
            <w:pPr>
              <w:jc w:val="center"/>
              <w:rPr>
                <w:rFonts w:ascii="Arial" w:hAnsi="Arial" w:cs="Arial"/>
                <w:b/>
                <w:bCs/>
                <w:color w:val="000000"/>
              </w:rPr>
            </w:pPr>
            <w:r w:rsidRPr="005B2804">
              <w:rPr>
                <w:rFonts w:ascii="Arial" w:hAnsi="Arial" w:cs="Arial"/>
                <w:b/>
                <w:bCs/>
                <w:color w:val="000000"/>
              </w:rPr>
              <w:t>£</w:t>
            </w:r>
          </w:p>
        </w:tc>
        <w:tc>
          <w:tcPr>
            <w:tcW w:w="1276" w:type="dxa"/>
            <w:tcBorders>
              <w:top w:val="nil"/>
              <w:left w:val="nil"/>
              <w:bottom w:val="single" w:sz="4" w:space="0" w:color="auto"/>
              <w:right w:val="single" w:sz="4" w:space="0" w:color="auto"/>
            </w:tcBorders>
            <w:shd w:val="clear" w:color="auto" w:fill="auto"/>
            <w:noWrap/>
            <w:vAlign w:val="bottom"/>
            <w:hideMark/>
          </w:tcPr>
          <w:p w14:paraId="029D74EF" w14:textId="77777777" w:rsidR="00281C5F" w:rsidRPr="005B2804" w:rsidRDefault="00281C5F">
            <w:pPr>
              <w:jc w:val="center"/>
              <w:rPr>
                <w:rFonts w:ascii="Arial" w:hAnsi="Arial" w:cs="Arial"/>
                <w:b/>
                <w:bCs/>
                <w:color w:val="000000"/>
              </w:rPr>
            </w:pPr>
            <w:r w:rsidRPr="005B2804">
              <w:rPr>
                <w:rFonts w:ascii="Arial" w:hAnsi="Arial" w:cs="Arial"/>
                <w:b/>
                <w:bCs/>
                <w:color w:val="000000"/>
              </w:rPr>
              <w:t>£</w:t>
            </w:r>
          </w:p>
        </w:tc>
        <w:tc>
          <w:tcPr>
            <w:tcW w:w="1150" w:type="dxa"/>
            <w:tcBorders>
              <w:top w:val="nil"/>
              <w:left w:val="nil"/>
              <w:bottom w:val="single" w:sz="4" w:space="0" w:color="auto"/>
              <w:right w:val="single" w:sz="4" w:space="0" w:color="auto"/>
            </w:tcBorders>
            <w:shd w:val="clear" w:color="auto" w:fill="auto"/>
            <w:noWrap/>
            <w:vAlign w:val="bottom"/>
            <w:hideMark/>
          </w:tcPr>
          <w:p w14:paraId="6D9BA959" w14:textId="77777777" w:rsidR="00281C5F" w:rsidRPr="005B2804" w:rsidRDefault="00281C5F">
            <w:pPr>
              <w:jc w:val="center"/>
              <w:rPr>
                <w:rFonts w:ascii="Arial" w:hAnsi="Arial" w:cs="Arial"/>
                <w:b/>
                <w:bCs/>
                <w:color w:val="000000"/>
              </w:rPr>
            </w:pPr>
            <w:r w:rsidRPr="005B2804">
              <w:rPr>
                <w:rFonts w:ascii="Arial" w:hAnsi="Arial" w:cs="Arial"/>
                <w:b/>
                <w:bCs/>
                <w:color w:val="000000"/>
              </w:rPr>
              <w:t>£</w:t>
            </w:r>
          </w:p>
        </w:tc>
      </w:tr>
      <w:tr w:rsidR="00281C5F" w14:paraId="596BA794" w14:textId="77777777" w:rsidTr="005B2804">
        <w:trPr>
          <w:trHeight w:val="315"/>
        </w:trPr>
        <w:tc>
          <w:tcPr>
            <w:tcW w:w="2353" w:type="dxa"/>
            <w:tcBorders>
              <w:top w:val="nil"/>
              <w:left w:val="single" w:sz="4" w:space="0" w:color="auto"/>
              <w:bottom w:val="single" w:sz="4" w:space="0" w:color="auto"/>
              <w:right w:val="single" w:sz="4" w:space="0" w:color="auto"/>
            </w:tcBorders>
            <w:shd w:val="clear" w:color="auto" w:fill="auto"/>
            <w:noWrap/>
            <w:vAlign w:val="bottom"/>
            <w:hideMark/>
          </w:tcPr>
          <w:p w14:paraId="6A996BE0" w14:textId="77777777" w:rsidR="00281C5F" w:rsidRPr="005B2804" w:rsidRDefault="00281C5F">
            <w:pPr>
              <w:rPr>
                <w:rFonts w:ascii="Arial" w:hAnsi="Arial" w:cs="Arial"/>
                <w:color w:val="000000"/>
              </w:rPr>
            </w:pPr>
            <w:r w:rsidRPr="005B2804">
              <w:rPr>
                <w:rFonts w:ascii="Arial" w:hAnsi="Arial" w:cs="Arial"/>
                <w:color w:val="000000"/>
              </w:rPr>
              <w:t>Increase</w:t>
            </w:r>
          </w:p>
        </w:tc>
        <w:tc>
          <w:tcPr>
            <w:tcW w:w="1186" w:type="dxa"/>
            <w:tcBorders>
              <w:top w:val="nil"/>
              <w:left w:val="nil"/>
              <w:bottom w:val="single" w:sz="4" w:space="0" w:color="auto"/>
              <w:right w:val="single" w:sz="4" w:space="0" w:color="auto"/>
            </w:tcBorders>
            <w:shd w:val="clear" w:color="auto" w:fill="auto"/>
            <w:noWrap/>
            <w:vAlign w:val="bottom"/>
            <w:hideMark/>
          </w:tcPr>
          <w:p w14:paraId="1ACC681D" w14:textId="77777777" w:rsidR="00281C5F" w:rsidRPr="005B2804" w:rsidRDefault="00281C5F">
            <w:pPr>
              <w:jc w:val="right"/>
              <w:rPr>
                <w:rFonts w:ascii="Arial" w:hAnsi="Arial" w:cs="Arial"/>
                <w:color w:val="000000"/>
              </w:rPr>
            </w:pPr>
            <w:r w:rsidRPr="005B2804">
              <w:rPr>
                <w:rFonts w:ascii="Arial" w:hAnsi="Arial" w:cs="Arial"/>
                <w:color w:val="000000"/>
              </w:rPr>
              <w:t>2.95</w:t>
            </w:r>
          </w:p>
        </w:tc>
        <w:tc>
          <w:tcPr>
            <w:tcW w:w="1276" w:type="dxa"/>
            <w:tcBorders>
              <w:top w:val="nil"/>
              <w:left w:val="nil"/>
              <w:bottom w:val="single" w:sz="4" w:space="0" w:color="auto"/>
              <w:right w:val="single" w:sz="4" w:space="0" w:color="auto"/>
            </w:tcBorders>
            <w:shd w:val="clear" w:color="auto" w:fill="auto"/>
            <w:noWrap/>
            <w:vAlign w:val="bottom"/>
            <w:hideMark/>
          </w:tcPr>
          <w:p w14:paraId="2EC2DE0D" w14:textId="77777777" w:rsidR="00281C5F" w:rsidRPr="005B2804" w:rsidRDefault="00281C5F">
            <w:pPr>
              <w:jc w:val="right"/>
              <w:rPr>
                <w:rFonts w:ascii="Arial" w:hAnsi="Arial" w:cs="Arial"/>
                <w:color w:val="000000"/>
              </w:rPr>
            </w:pPr>
            <w:r w:rsidRPr="005B2804">
              <w:rPr>
                <w:rFonts w:ascii="Arial" w:hAnsi="Arial" w:cs="Arial"/>
                <w:color w:val="000000"/>
              </w:rPr>
              <w:t>2.88</w:t>
            </w:r>
          </w:p>
        </w:tc>
        <w:tc>
          <w:tcPr>
            <w:tcW w:w="1150" w:type="dxa"/>
            <w:tcBorders>
              <w:top w:val="nil"/>
              <w:left w:val="nil"/>
              <w:bottom w:val="single" w:sz="4" w:space="0" w:color="auto"/>
              <w:right w:val="single" w:sz="4" w:space="0" w:color="auto"/>
            </w:tcBorders>
            <w:shd w:val="clear" w:color="auto" w:fill="auto"/>
            <w:noWrap/>
            <w:vAlign w:val="bottom"/>
            <w:hideMark/>
          </w:tcPr>
          <w:p w14:paraId="04CD7770" w14:textId="77777777" w:rsidR="00281C5F" w:rsidRPr="005B2804" w:rsidRDefault="00281C5F">
            <w:pPr>
              <w:jc w:val="right"/>
              <w:rPr>
                <w:rFonts w:ascii="Arial" w:hAnsi="Arial" w:cs="Arial"/>
                <w:color w:val="000000"/>
              </w:rPr>
            </w:pPr>
            <w:r w:rsidRPr="005B2804">
              <w:rPr>
                <w:rFonts w:ascii="Arial" w:hAnsi="Arial" w:cs="Arial"/>
                <w:color w:val="000000"/>
              </w:rPr>
              <w:t>2.12</w:t>
            </w:r>
          </w:p>
        </w:tc>
      </w:tr>
    </w:tbl>
    <w:p w14:paraId="6A320CEB" w14:textId="7CCDE856" w:rsidR="006A5E71" w:rsidRDefault="006A5E71" w:rsidP="009E249F">
      <w:pPr>
        <w:pStyle w:val="ListParagraph"/>
        <w:rPr>
          <w:rFonts w:ascii="Arial" w:hAnsi="Arial" w:cs="Arial"/>
        </w:rPr>
      </w:pPr>
    </w:p>
    <w:p w14:paraId="1D2686C3" w14:textId="77777777" w:rsidR="00EF2181" w:rsidRDefault="00EF2181" w:rsidP="00615280">
      <w:pPr>
        <w:autoSpaceDE w:val="0"/>
        <w:autoSpaceDN w:val="0"/>
        <w:adjustRightInd w:val="0"/>
        <w:jc w:val="both"/>
        <w:rPr>
          <w:rFonts w:ascii="Arial" w:hAnsi="Arial" w:cs="Arial"/>
          <w:b/>
          <w:bCs/>
          <w:noProof/>
        </w:rPr>
      </w:pPr>
      <w:r>
        <w:rPr>
          <w:rFonts w:ascii="Arial" w:hAnsi="Arial" w:cs="Arial"/>
          <w:b/>
          <w:bCs/>
          <w:noProof/>
        </w:rPr>
        <w:t>6</w:t>
      </w:r>
      <w:r w:rsidRPr="00EF2181">
        <w:rPr>
          <w:rFonts w:ascii="Arial" w:hAnsi="Arial" w:cs="Arial"/>
          <w:b/>
          <w:bCs/>
          <w:noProof/>
        </w:rPr>
        <w:t xml:space="preserve">.   </w:t>
      </w:r>
      <w:r w:rsidR="00E25F68">
        <w:rPr>
          <w:rFonts w:ascii="Arial" w:hAnsi="Arial" w:cs="Arial"/>
          <w:b/>
          <w:bCs/>
          <w:noProof/>
        </w:rPr>
        <w:tab/>
      </w:r>
      <w:r w:rsidR="00705838">
        <w:rPr>
          <w:rFonts w:ascii="Arial" w:hAnsi="Arial" w:cs="Arial"/>
          <w:b/>
          <w:bCs/>
          <w:noProof/>
        </w:rPr>
        <w:t>BORROWING</w:t>
      </w:r>
    </w:p>
    <w:p w14:paraId="6A0CB630" w14:textId="77777777" w:rsidR="00B575F0" w:rsidRDefault="00B575F0" w:rsidP="00615280">
      <w:pPr>
        <w:numPr>
          <w:ilvl w:val="12"/>
          <w:numId w:val="0"/>
        </w:numPr>
        <w:ind w:left="709" w:hanging="709"/>
        <w:rPr>
          <w:rFonts w:ascii="Arial" w:hAnsi="Arial" w:cs="Arial"/>
          <w:b/>
          <w:bCs/>
          <w:noProof/>
        </w:rPr>
      </w:pPr>
    </w:p>
    <w:p w14:paraId="04B636FE" w14:textId="77777777" w:rsidR="00705838" w:rsidRPr="00705838" w:rsidRDefault="00705838" w:rsidP="00705838">
      <w:pPr>
        <w:numPr>
          <w:ilvl w:val="12"/>
          <w:numId w:val="0"/>
        </w:numPr>
        <w:ind w:left="709" w:hanging="709"/>
        <w:jc w:val="both"/>
        <w:rPr>
          <w:rFonts w:ascii="Arial" w:hAnsi="Arial" w:cs="Arial"/>
          <w:noProof/>
        </w:rPr>
      </w:pPr>
      <w:r>
        <w:rPr>
          <w:rFonts w:ascii="Arial" w:hAnsi="Arial" w:cs="Arial"/>
          <w:noProof/>
        </w:rPr>
        <w:t>6.1</w:t>
      </w:r>
      <w:r>
        <w:rPr>
          <w:rFonts w:ascii="Arial" w:hAnsi="Arial" w:cs="Arial"/>
          <w:noProof/>
        </w:rPr>
        <w:tab/>
      </w:r>
      <w:r w:rsidRPr="00705838">
        <w:rPr>
          <w:rFonts w:ascii="Arial" w:hAnsi="Arial" w:cs="Arial"/>
          <w:noProof/>
        </w:rPr>
        <w:t xml:space="preserve">The capital expenditure plans </w:t>
      </w:r>
      <w:r w:rsidR="001556C1">
        <w:rPr>
          <w:rFonts w:ascii="Arial" w:hAnsi="Arial" w:cs="Arial"/>
          <w:noProof/>
        </w:rPr>
        <w:t xml:space="preserve">are </w:t>
      </w:r>
      <w:r w:rsidRPr="00705838">
        <w:rPr>
          <w:rFonts w:ascii="Arial" w:hAnsi="Arial" w:cs="Arial"/>
          <w:noProof/>
        </w:rPr>
        <w:t>set out in Section</w:t>
      </w:r>
      <w:r w:rsidR="000A70A9">
        <w:rPr>
          <w:rFonts w:ascii="Arial" w:hAnsi="Arial" w:cs="Arial"/>
          <w:noProof/>
        </w:rPr>
        <w:t xml:space="preserve"> 2.3.6</w:t>
      </w:r>
      <w:r w:rsidRPr="00705838">
        <w:rPr>
          <w:rFonts w:ascii="Arial" w:hAnsi="Arial" w:cs="Arial"/>
          <w:noProof/>
        </w:rPr>
        <w:t>.  The treasury management func</w:t>
      </w:r>
      <w:r w:rsidR="001556C1">
        <w:rPr>
          <w:rFonts w:ascii="Arial" w:hAnsi="Arial" w:cs="Arial"/>
          <w:noProof/>
        </w:rPr>
        <w:t xml:space="preserve">tion ensures that the </w:t>
      </w:r>
      <w:r w:rsidRPr="00705838">
        <w:rPr>
          <w:rFonts w:ascii="Arial" w:hAnsi="Arial" w:cs="Arial"/>
          <w:noProof/>
        </w:rPr>
        <w:t xml:space="preserve">cash is organised in accordance with the relevant </w:t>
      </w:r>
      <w:r w:rsidRPr="004E3D0E">
        <w:rPr>
          <w:rFonts w:ascii="Arial" w:hAnsi="Arial" w:cs="Arial"/>
          <w:noProof/>
        </w:rPr>
        <w:t xml:space="preserve">professional codes, so that sufficient cash </w:t>
      </w:r>
      <w:r w:rsidR="001556C1">
        <w:rPr>
          <w:rFonts w:ascii="Arial" w:hAnsi="Arial" w:cs="Arial"/>
          <w:noProof/>
        </w:rPr>
        <w:t>is available to meet the capital expenditure requirements</w:t>
      </w:r>
      <w:r w:rsidRPr="00705838">
        <w:rPr>
          <w:rFonts w:ascii="Arial" w:hAnsi="Arial" w:cs="Arial"/>
          <w:noProof/>
        </w:rPr>
        <w:t>.  This will involve both the organisation of the cash flow and, where capital plans require, the organisation of approporiate borrowing facilities.  The strateg</w:t>
      </w:r>
      <w:r w:rsidR="001556C1">
        <w:rPr>
          <w:rFonts w:ascii="Arial" w:hAnsi="Arial" w:cs="Arial"/>
          <w:noProof/>
        </w:rPr>
        <w:t>y covers the relevant treasury</w:t>
      </w:r>
      <w:r w:rsidRPr="00705838">
        <w:rPr>
          <w:rFonts w:ascii="Arial" w:hAnsi="Arial" w:cs="Arial"/>
          <w:noProof/>
        </w:rPr>
        <w:t xml:space="preserve"> prudential indicators, the current and projected debt positions and the annual investment strategy.</w:t>
      </w:r>
    </w:p>
    <w:p w14:paraId="5D6862CC" w14:textId="77777777" w:rsidR="00705838" w:rsidRDefault="00705838" w:rsidP="00705838">
      <w:pPr>
        <w:numPr>
          <w:ilvl w:val="12"/>
          <w:numId w:val="0"/>
        </w:numPr>
        <w:jc w:val="both"/>
        <w:rPr>
          <w:rFonts w:ascii="Arial" w:hAnsi="Arial" w:cs="Arial"/>
          <w:noProof/>
        </w:rPr>
      </w:pPr>
    </w:p>
    <w:p w14:paraId="08A3129D" w14:textId="77777777" w:rsidR="00705838" w:rsidRDefault="00705838" w:rsidP="00924212">
      <w:pPr>
        <w:pStyle w:val="subhead"/>
        <w:numPr>
          <w:ilvl w:val="1"/>
          <w:numId w:val="18"/>
        </w:numPr>
        <w:spacing w:before="0" w:after="0"/>
        <w:ind w:hanging="720"/>
        <w:rPr>
          <w:sz w:val="24"/>
          <w:szCs w:val="24"/>
        </w:rPr>
      </w:pPr>
      <w:bookmarkStart w:id="0" w:name="_Toc339459876"/>
      <w:r w:rsidRPr="00705838">
        <w:rPr>
          <w:sz w:val="24"/>
          <w:szCs w:val="24"/>
        </w:rPr>
        <w:t xml:space="preserve">Current </w:t>
      </w:r>
      <w:r w:rsidR="0049221B">
        <w:rPr>
          <w:sz w:val="24"/>
          <w:szCs w:val="24"/>
        </w:rPr>
        <w:t xml:space="preserve">borrowing </w:t>
      </w:r>
      <w:r w:rsidRPr="00705838">
        <w:rPr>
          <w:sz w:val="24"/>
          <w:szCs w:val="24"/>
        </w:rPr>
        <w:t>portfolio position</w:t>
      </w:r>
      <w:bookmarkEnd w:id="0"/>
    </w:p>
    <w:p w14:paraId="706E25E9" w14:textId="77777777" w:rsidR="001F5113" w:rsidRDefault="001F5113" w:rsidP="0049221B">
      <w:pPr>
        <w:widowControl w:val="0"/>
        <w:numPr>
          <w:ilvl w:val="12"/>
          <w:numId w:val="0"/>
        </w:numPr>
        <w:ind w:left="720"/>
        <w:jc w:val="both"/>
        <w:rPr>
          <w:rFonts w:ascii="Arial" w:hAnsi="Arial" w:cs="Arial"/>
          <w:bCs/>
          <w:noProof/>
        </w:rPr>
      </w:pPr>
    </w:p>
    <w:p w14:paraId="5ED0B028" w14:textId="7A362526" w:rsidR="00CE7830" w:rsidRDefault="001556C1" w:rsidP="00915D20">
      <w:pPr>
        <w:widowControl w:val="0"/>
        <w:numPr>
          <w:ilvl w:val="12"/>
          <w:numId w:val="0"/>
        </w:numPr>
        <w:ind w:left="720"/>
        <w:jc w:val="both"/>
        <w:rPr>
          <w:rFonts w:ascii="Arial" w:hAnsi="Arial" w:cs="Arial"/>
          <w:bCs/>
          <w:noProof/>
        </w:rPr>
      </w:pPr>
      <w:r>
        <w:rPr>
          <w:rFonts w:ascii="Arial" w:hAnsi="Arial" w:cs="Arial"/>
          <w:bCs/>
          <w:noProof/>
        </w:rPr>
        <w:t xml:space="preserve">The </w:t>
      </w:r>
      <w:r w:rsidR="0049221B">
        <w:rPr>
          <w:rFonts w:ascii="Arial" w:hAnsi="Arial" w:cs="Arial"/>
          <w:bCs/>
          <w:noProof/>
        </w:rPr>
        <w:t xml:space="preserve">current </w:t>
      </w:r>
      <w:r w:rsidR="00705838" w:rsidRPr="00705838">
        <w:rPr>
          <w:rFonts w:ascii="Arial" w:hAnsi="Arial" w:cs="Arial"/>
          <w:bCs/>
          <w:noProof/>
        </w:rPr>
        <w:t xml:space="preserve">treasury </w:t>
      </w:r>
      <w:r w:rsidR="0049221B">
        <w:rPr>
          <w:rFonts w:ascii="Arial" w:hAnsi="Arial" w:cs="Arial"/>
          <w:bCs/>
          <w:noProof/>
        </w:rPr>
        <w:t>borrowing</w:t>
      </w:r>
      <w:r w:rsidR="00705838" w:rsidRPr="00705838">
        <w:rPr>
          <w:rFonts w:ascii="Arial" w:hAnsi="Arial" w:cs="Arial"/>
          <w:bCs/>
          <w:noProof/>
        </w:rPr>
        <w:t xml:space="preserve"> position at </w:t>
      </w:r>
      <w:r w:rsidR="007F118E">
        <w:rPr>
          <w:rFonts w:ascii="Arial" w:hAnsi="Arial" w:cs="Arial"/>
          <w:bCs/>
          <w:noProof/>
        </w:rPr>
        <w:t>31</w:t>
      </w:r>
      <w:r w:rsidR="007F118E" w:rsidRPr="007F118E">
        <w:rPr>
          <w:rFonts w:ascii="Arial" w:hAnsi="Arial" w:cs="Arial"/>
          <w:bCs/>
          <w:noProof/>
          <w:vertAlign w:val="superscript"/>
        </w:rPr>
        <w:t>st</w:t>
      </w:r>
      <w:r w:rsidR="007F118E">
        <w:rPr>
          <w:rFonts w:ascii="Arial" w:hAnsi="Arial" w:cs="Arial"/>
          <w:bCs/>
          <w:noProof/>
        </w:rPr>
        <w:t xml:space="preserve"> October 2023</w:t>
      </w:r>
      <w:r w:rsidR="00705838" w:rsidRPr="00705838">
        <w:rPr>
          <w:rFonts w:ascii="Arial" w:hAnsi="Arial" w:cs="Arial"/>
          <w:bCs/>
          <w:noProof/>
        </w:rPr>
        <w:t>, with forward projections</w:t>
      </w:r>
      <w:r>
        <w:rPr>
          <w:rFonts w:ascii="Arial" w:hAnsi="Arial" w:cs="Arial"/>
          <w:bCs/>
          <w:noProof/>
        </w:rPr>
        <w:t>,</w:t>
      </w:r>
      <w:r w:rsidR="00705838" w:rsidRPr="00705838">
        <w:rPr>
          <w:rFonts w:ascii="Arial" w:hAnsi="Arial" w:cs="Arial"/>
          <w:bCs/>
          <w:noProof/>
        </w:rPr>
        <w:t xml:space="preserve"> are summarised below.</w:t>
      </w:r>
      <w:r w:rsidR="0049221B">
        <w:rPr>
          <w:rFonts w:ascii="Arial" w:hAnsi="Arial" w:cs="Arial"/>
          <w:bCs/>
          <w:noProof/>
        </w:rPr>
        <w:t xml:space="preserve"> </w:t>
      </w:r>
      <w:r w:rsidR="00705838" w:rsidRPr="00705838">
        <w:rPr>
          <w:rFonts w:ascii="Arial" w:hAnsi="Arial" w:cs="Arial"/>
          <w:bCs/>
          <w:noProof/>
        </w:rPr>
        <w:t xml:space="preserve">The </w:t>
      </w:r>
      <w:r w:rsidR="000F5930">
        <w:rPr>
          <w:rFonts w:ascii="Arial" w:hAnsi="Arial" w:cs="Arial"/>
          <w:bCs/>
          <w:noProof/>
        </w:rPr>
        <w:t xml:space="preserve">below </w:t>
      </w:r>
      <w:r w:rsidR="00705838" w:rsidRPr="006871D0">
        <w:rPr>
          <w:rFonts w:ascii="Arial" w:hAnsi="Arial" w:cs="Arial"/>
          <w:bCs/>
          <w:noProof/>
        </w:rPr>
        <w:t>table</w:t>
      </w:r>
      <w:r w:rsidR="00705838" w:rsidRPr="00705838">
        <w:rPr>
          <w:rFonts w:ascii="Arial" w:hAnsi="Arial" w:cs="Arial"/>
          <w:bCs/>
          <w:noProof/>
        </w:rPr>
        <w:t xml:space="preserve"> shows the actual </w:t>
      </w:r>
      <w:r w:rsidR="008F0227">
        <w:rPr>
          <w:rFonts w:ascii="Arial" w:hAnsi="Arial" w:cs="Arial"/>
          <w:bCs/>
          <w:noProof/>
        </w:rPr>
        <w:t xml:space="preserve">and forecasted </w:t>
      </w:r>
      <w:r w:rsidR="00705838" w:rsidRPr="00705838">
        <w:rPr>
          <w:rFonts w:ascii="Arial" w:hAnsi="Arial" w:cs="Arial"/>
          <w:bCs/>
          <w:noProof/>
        </w:rPr>
        <w:t xml:space="preserve">external debt (the treasury management operations), against the </w:t>
      </w:r>
      <w:r w:rsidR="008F0227">
        <w:rPr>
          <w:rFonts w:ascii="Arial" w:hAnsi="Arial" w:cs="Arial"/>
          <w:bCs/>
          <w:noProof/>
        </w:rPr>
        <w:t xml:space="preserve">future </w:t>
      </w:r>
      <w:r w:rsidR="00705838" w:rsidRPr="00705838">
        <w:rPr>
          <w:rFonts w:ascii="Arial" w:hAnsi="Arial" w:cs="Arial"/>
          <w:bCs/>
          <w:noProof/>
        </w:rPr>
        <w:t>underlying capital borrowing need (the CFR), highlighting any over or under borrowing.</w:t>
      </w:r>
    </w:p>
    <w:p w14:paraId="625ED726" w14:textId="73C84C2D" w:rsidR="007E3946" w:rsidRDefault="007E3946" w:rsidP="007E3946">
      <w:pPr>
        <w:widowControl w:val="0"/>
        <w:numPr>
          <w:ilvl w:val="12"/>
          <w:numId w:val="0"/>
        </w:numPr>
        <w:jc w:val="both"/>
        <w:rPr>
          <w:rFonts w:ascii="Arial" w:hAnsi="Arial" w:cs="Arial"/>
          <w:bCs/>
          <w:noProof/>
        </w:rPr>
      </w:pPr>
    </w:p>
    <w:tbl>
      <w:tblPr>
        <w:tblStyle w:val="TableGrid"/>
        <w:tblW w:w="9705" w:type="dxa"/>
        <w:tblLook w:val="04A0" w:firstRow="1" w:lastRow="0" w:firstColumn="1" w:lastColumn="0" w:noHBand="0" w:noVBand="1"/>
      </w:tblPr>
      <w:tblGrid>
        <w:gridCol w:w="4195"/>
        <w:gridCol w:w="1048"/>
        <w:gridCol w:w="1060"/>
        <w:gridCol w:w="1134"/>
        <w:gridCol w:w="1134"/>
        <w:gridCol w:w="1134"/>
      </w:tblGrid>
      <w:tr w:rsidR="004C0913" w:rsidRPr="004C0913" w14:paraId="639A655D" w14:textId="77777777" w:rsidTr="005B2804">
        <w:trPr>
          <w:trHeight w:val="311"/>
        </w:trPr>
        <w:tc>
          <w:tcPr>
            <w:tcW w:w="9705" w:type="dxa"/>
            <w:gridSpan w:val="6"/>
            <w:noWrap/>
            <w:hideMark/>
          </w:tcPr>
          <w:p w14:paraId="6B5CD669" w14:textId="77777777" w:rsidR="004C0913" w:rsidRPr="004C0913" w:rsidRDefault="004C0913" w:rsidP="005B2804">
            <w:pPr>
              <w:jc w:val="center"/>
              <w:rPr>
                <w:rFonts w:ascii="Arial" w:hAnsi="Arial" w:cs="Arial"/>
                <w:b/>
                <w:noProof/>
                <w:sz w:val="22"/>
                <w:szCs w:val="22"/>
              </w:rPr>
            </w:pPr>
            <w:r w:rsidRPr="005B2804">
              <w:rPr>
                <w:rFonts w:ascii="Arial" w:hAnsi="Arial" w:cs="Arial"/>
                <w:b/>
                <w:bCs/>
                <w:color w:val="000000"/>
              </w:rPr>
              <w:t>Borrowing Position</w:t>
            </w:r>
          </w:p>
        </w:tc>
      </w:tr>
      <w:tr w:rsidR="004C0913" w:rsidRPr="004C0913" w14:paraId="04199B99" w14:textId="77777777" w:rsidTr="005B2804">
        <w:trPr>
          <w:trHeight w:val="311"/>
        </w:trPr>
        <w:tc>
          <w:tcPr>
            <w:tcW w:w="4195" w:type="dxa"/>
            <w:tcBorders>
              <w:top w:val="nil"/>
              <w:bottom w:val="nil"/>
            </w:tcBorders>
            <w:noWrap/>
            <w:hideMark/>
          </w:tcPr>
          <w:p w14:paraId="352F9E4B" w14:textId="77777777" w:rsidR="004C0913" w:rsidRPr="004C0913" w:rsidRDefault="004C0913" w:rsidP="004C0913">
            <w:pPr>
              <w:widowControl w:val="0"/>
              <w:numPr>
                <w:ilvl w:val="12"/>
                <w:numId w:val="0"/>
              </w:numPr>
              <w:jc w:val="both"/>
              <w:rPr>
                <w:rFonts w:ascii="Arial" w:hAnsi="Arial" w:cs="Arial"/>
                <w:bCs/>
                <w:noProof/>
                <w:sz w:val="22"/>
                <w:szCs w:val="22"/>
              </w:rPr>
            </w:pPr>
            <w:r w:rsidRPr="004C0913">
              <w:rPr>
                <w:rFonts w:ascii="Arial" w:hAnsi="Arial" w:cs="Arial"/>
                <w:bCs/>
                <w:noProof/>
                <w:sz w:val="22"/>
                <w:szCs w:val="22"/>
              </w:rPr>
              <w:t> </w:t>
            </w:r>
          </w:p>
        </w:tc>
        <w:tc>
          <w:tcPr>
            <w:tcW w:w="1048" w:type="dxa"/>
            <w:tcBorders>
              <w:top w:val="nil"/>
              <w:bottom w:val="nil"/>
            </w:tcBorders>
            <w:noWrap/>
            <w:hideMark/>
          </w:tcPr>
          <w:p w14:paraId="7ED8603C" w14:textId="77777777" w:rsidR="004C0913" w:rsidRPr="004C0913" w:rsidRDefault="004C0913" w:rsidP="004C0913">
            <w:pPr>
              <w:widowControl w:val="0"/>
              <w:numPr>
                <w:ilvl w:val="12"/>
                <w:numId w:val="0"/>
              </w:numPr>
              <w:jc w:val="right"/>
              <w:rPr>
                <w:rFonts w:ascii="Arial" w:hAnsi="Arial" w:cs="Arial"/>
                <w:b/>
                <w:noProof/>
                <w:sz w:val="22"/>
                <w:szCs w:val="22"/>
              </w:rPr>
            </w:pPr>
            <w:r w:rsidRPr="004C0913">
              <w:rPr>
                <w:rFonts w:ascii="Arial" w:hAnsi="Arial" w:cs="Arial"/>
                <w:b/>
                <w:noProof/>
                <w:sz w:val="22"/>
                <w:szCs w:val="22"/>
              </w:rPr>
              <w:t>2023/24</w:t>
            </w:r>
          </w:p>
        </w:tc>
        <w:tc>
          <w:tcPr>
            <w:tcW w:w="1060" w:type="dxa"/>
            <w:tcBorders>
              <w:top w:val="nil"/>
              <w:bottom w:val="nil"/>
            </w:tcBorders>
            <w:noWrap/>
            <w:hideMark/>
          </w:tcPr>
          <w:p w14:paraId="4DF0D874" w14:textId="77777777" w:rsidR="004C0913" w:rsidRPr="004C0913" w:rsidRDefault="004C0913" w:rsidP="004C0913">
            <w:pPr>
              <w:widowControl w:val="0"/>
              <w:numPr>
                <w:ilvl w:val="12"/>
                <w:numId w:val="0"/>
              </w:numPr>
              <w:jc w:val="right"/>
              <w:rPr>
                <w:rFonts w:ascii="Arial" w:hAnsi="Arial" w:cs="Arial"/>
                <w:b/>
                <w:noProof/>
                <w:sz w:val="22"/>
                <w:szCs w:val="22"/>
              </w:rPr>
            </w:pPr>
            <w:r w:rsidRPr="004C0913">
              <w:rPr>
                <w:rFonts w:ascii="Arial" w:hAnsi="Arial" w:cs="Arial"/>
                <w:b/>
                <w:noProof/>
                <w:sz w:val="22"/>
                <w:szCs w:val="22"/>
              </w:rPr>
              <w:t>2023/24</w:t>
            </w:r>
          </w:p>
        </w:tc>
        <w:tc>
          <w:tcPr>
            <w:tcW w:w="1134" w:type="dxa"/>
            <w:tcBorders>
              <w:top w:val="nil"/>
              <w:bottom w:val="nil"/>
            </w:tcBorders>
            <w:noWrap/>
            <w:hideMark/>
          </w:tcPr>
          <w:p w14:paraId="2BACC152" w14:textId="77777777" w:rsidR="004C0913" w:rsidRPr="004C0913" w:rsidRDefault="004C0913" w:rsidP="004C0913">
            <w:pPr>
              <w:widowControl w:val="0"/>
              <w:numPr>
                <w:ilvl w:val="12"/>
                <w:numId w:val="0"/>
              </w:numPr>
              <w:jc w:val="right"/>
              <w:rPr>
                <w:rFonts w:ascii="Arial" w:hAnsi="Arial" w:cs="Arial"/>
                <w:b/>
                <w:noProof/>
                <w:sz w:val="22"/>
                <w:szCs w:val="22"/>
              </w:rPr>
            </w:pPr>
            <w:r w:rsidRPr="004C0913">
              <w:rPr>
                <w:rFonts w:ascii="Arial" w:hAnsi="Arial" w:cs="Arial"/>
                <w:b/>
                <w:noProof/>
                <w:sz w:val="22"/>
                <w:szCs w:val="22"/>
              </w:rPr>
              <w:t>2024/25</w:t>
            </w:r>
          </w:p>
        </w:tc>
        <w:tc>
          <w:tcPr>
            <w:tcW w:w="1134" w:type="dxa"/>
            <w:tcBorders>
              <w:top w:val="nil"/>
              <w:bottom w:val="nil"/>
            </w:tcBorders>
            <w:noWrap/>
            <w:hideMark/>
          </w:tcPr>
          <w:p w14:paraId="1D811ED6" w14:textId="77777777" w:rsidR="004C0913" w:rsidRPr="004C0913" w:rsidRDefault="004C0913" w:rsidP="004C0913">
            <w:pPr>
              <w:widowControl w:val="0"/>
              <w:numPr>
                <w:ilvl w:val="12"/>
                <w:numId w:val="0"/>
              </w:numPr>
              <w:jc w:val="right"/>
              <w:rPr>
                <w:rFonts w:ascii="Arial" w:hAnsi="Arial" w:cs="Arial"/>
                <w:b/>
                <w:noProof/>
                <w:sz w:val="22"/>
                <w:szCs w:val="22"/>
              </w:rPr>
            </w:pPr>
            <w:r w:rsidRPr="004C0913">
              <w:rPr>
                <w:rFonts w:ascii="Arial" w:hAnsi="Arial" w:cs="Arial"/>
                <w:b/>
                <w:noProof/>
                <w:sz w:val="22"/>
                <w:szCs w:val="22"/>
              </w:rPr>
              <w:t>2025/26</w:t>
            </w:r>
          </w:p>
        </w:tc>
        <w:tc>
          <w:tcPr>
            <w:tcW w:w="1134" w:type="dxa"/>
            <w:tcBorders>
              <w:top w:val="nil"/>
              <w:bottom w:val="nil"/>
            </w:tcBorders>
            <w:noWrap/>
            <w:hideMark/>
          </w:tcPr>
          <w:p w14:paraId="7D88CC7C" w14:textId="77777777" w:rsidR="004C0913" w:rsidRPr="004C0913" w:rsidRDefault="004C0913" w:rsidP="004C0913">
            <w:pPr>
              <w:widowControl w:val="0"/>
              <w:numPr>
                <w:ilvl w:val="12"/>
                <w:numId w:val="0"/>
              </w:numPr>
              <w:jc w:val="right"/>
              <w:rPr>
                <w:rFonts w:ascii="Arial" w:hAnsi="Arial" w:cs="Arial"/>
                <w:b/>
                <w:noProof/>
                <w:sz w:val="22"/>
                <w:szCs w:val="22"/>
              </w:rPr>
            </w:pPr>
            <w:r w:rsidRPr="004C0913">
              <w:rPr>
                <w:rFonts w:ascii="Arial" w:hAnsi="Arial" w:cs="Arial"/>
                <w:b/>
                <w:noProof/>
                <w:sz w:val="22"/>
                <w:szCs w:val="22"/>
              </w:rPr>
              <w:t>2026/27</w:t>
            </w:r>
          </w:p>
        </w:tc>
      </w:tr>
      <w:tr w:rsidR="004C0913" w:rsidRPr="004C0913" w14:paraId="3735C130" w14:textId="77777777" w:rsidTr="005B2804">
        <w:trPr>
          <w:trHeight w:val="311"/>
        </w:trPr>
        <w:tc>
          <w:tcPr>
            <w:tcW w:w="4195" w:type="dxa"/>
            <w:tcBorders>
              <w:top w:val="nil"/>
              <w:bottom w:val="nil"/>
            </w:tcBorders>
            <w:noWrap/>
            <w:hideMark/>
          </w:tcPr>
          <w:p w14:paraId="6572FB72" w14:textId="77777777" w:rsidR="004C0913" w:rsidRPr="004C0913" w:rsidRDefault="004C0913" w:rsidP="004C0913">
            <w:pPr>
              <w:widowControl w:val="0"/>
              <w:numPr>
                <w:ilvl w:val="12"/>
                <w:numId w:val="0"/>
              </w:numPr>
              <w:jc w:val="both"/>
              <w:rPr>
                <w:rFonts w:ascii="Arial" w:hAnsi="Arial" w:cs="Arial"/>
                <w:bCs/>
                <w:noProof/>
                <w:sz w:val="22"/>
                <w:szCs w:val="22"/>
              </w:rPr>
            </w:pPr>
            <w:r w:rsidRPr="004C0913">
              <w:rPr>
                <w:rFonts w:ascii="Arial" w:hAnsi="Arial" w:cs="Arial"/>
                <w:bCs/>
                <w:noProof/>
                <w:sz w:val="22"/>
                <w:szCs w:val="22"/>
              </w:rPr>
              <w:t> </w:t>
            </w:r>
          </w:p>
        </w:tc>
        <w:tc>
          <w:tcPr>
            <w:tcW w:w="1048" w:type="dxa"/>
            <w:tcBorders>
              <w:top w:val="nil"/>
              <w:bottom w:val="nil"/>
            </w:tcBorders>
            <w:noWrap/>
            <w:hideMark/>
          </w:tcPr>
          <w:p w14:paraId="07252D78" w14:textId="77777777" w:rsidR="004C0913" w:rsidRPr="004C0913" w:rsidRDefault="004C0913" w:rsidP="004C0913">
            <w:pPr>
              <w:widowControl w:val="0"/>
              <w:numPr>
                <w:ilvl w:val="12"/>
                <w:numId w:val="0"/>
              </w:numPr>
              <w:jc w:val="right"/>
              <w:rPr>
                <w:rFonts w:ascii="Arial" w:hAnsi="Arial" w:cs="Arial"/>
                <w:b/>
                <w:noProof/>
                <w:sz w:val="22"/>
                <w:szCs w:val="22"/>
              </w:rPr>
            </w:pPr>
            <w:r w:rsidRPr="004C0913">
              <w:rPr>
                <w:rFonts w:ascii="Arial" w:hAnsi="Arial" w:cs="Arial"/>
                <w:b/>
                <w:noProof/>
                <w:sz w:val="22"/>
                <w:szCs w:val="22"/>
              </w:rPr>
              <w:t>Original</w:t>
            </w:r>
          </w:p>
        </w:tc>
        <w:tc>
          <w:tcPr>
            <w:tcW w:w="1060" w:type="dxa"/>
            <w:tcBorders>
              <w:top w:val="nil"/>
              <w:bottom w:val="nil"/>
            </w:tcBorders>
            <w:noWrap/>
            <w:hideMark/>
          </w:tcPr>
          <w:p w14:paraId="384DFB08" w14:textId="77777777" w:rsidR="004C0913" w:rsidRPr="004C0913" w:rsidRDefault="004C0913" w:rsidP="004C0913">
            <w:pPr>
              <w:widowControl w:val="0"/>
              <w:numPr>
                <w:ilvl w:val="12"/>
                <w:numId w:val="0"/>
              </w:numPr>
              <w:jc w:val="right"/>
              <w:rPr>
                <w:rFonts w:ascii="Arial" w:hAnsi="Arial" w:cs="Arial"/>
                <w:b/>
                <w:noProof/>
                <w:sz w:val="22"/>
                <w:szCs w:val="22"/>
              </w:rPr>
            </w:pPr>
            <w:r w:rsidRPr="004C0913">
              <w:rPr>
                <w:rFonts w:ascii="Arial" w:hAnsi="Arial" w:cs="Arial"/>
                <w:b/>
                <w:noProof/>
                <w:sz w:val="22"/>
                <w:szCs w:val="22"/>
              </w:rPr>
              <w:t>Revised</w:t>
            </w:r>
          </w:p>
        </w:tc>
        <w:tc>
          <w:tcPr>
            <w:tcW w:w="1134" w:type="dxa"/>
            <w:tcBorders>
              <w:top w:val="nil"/>
              <w:bottom w:val="nil"/>
            </w:tcBorders>
            <w:noWrap/>
            <w:hideMark/>
          </w:tcPr>
          <w:p w14:paraId="22A442B7" w14:textId="77777777" w:rsidR="004C0913" w:rsidRPr="004C0913" w:rsidRDefault="004C0913" w:rsidP="004C0913">
            <w:pPr>
              <w:widowControl w:val="0"/>
              <w:numPr>
                <w:ilvl w:val="12"/>
                <w:numId w:val="0"/>
              </w:numPr>
              <w:jc w:val="right"/>
              <w:rPr>
                <w:rFonts w:ascii="Arial" w:hAnsi="Arial" w:cs="Arial"/>
                <w:b/>
                <w:noProof/>
                <w:sz w:val="22"/>
                <w:szCs w:val="22"/>
              </w:rPr>
            </w:pPr>
            <w:r w:rsidRPr="004C0913">
              <w:rPr>
                <w:rFonts w:ascii="Arial" w:hAnsi="Arial" w:cs="Arial"/>
                <w:b/>
                <w:noProof/>
                <w:sz w:val="22"/>
                <w:szCs w:val="22"/>
              </w:rPr>
              <w:t>Estimate</w:t>
            </w:r>
          </w:p>
        </w:tc>
        <w:tc>
          <w:tcPr>
            <w:tcW w:w="1134" w:type="dxa"/>
            <w:tcBorders>
              <w:top w:val="nil"/>
              <w:bottom w:val="nil"/>
            </w:tcBorders>
            <w:noWrap/>
            <w:hideMark/>
          </w:tcPr>
          <w:p w14:paraId="12A03409" w14:textId="77777777" w:rsidR="004C0913" w:rsidRPr="004C0913" w:rsidRDefault="004C0913" w:rsidP="004C0913">
            <w:pPr>
              <w:widowControl w:val="0"/>
              <w:numPr>
                <w:ilvl w:val="12"/>
                <w:numId w:val="0"/>
              </w:numPr>
              <w:jc w:val="right"/>
              <w:rPr>
                <w:rFonts w:ascii="Arial" w:hAnsi="Arial" w:cs="Arial"/>
                <w:b/>
                <w:noProof/>
                <w:sz w:val="22"/>
                <w:szCs w:val="22"/>
              </w:rPr>
            </w:pPr>
            <w:r w:rsidRPr="004C0913">
              <w:rPr>
                <w:rFonts w:ascii="Arial" w:hAnsi="Arial" w:cs="Arial"/>
                <w:b/>
                <w:noProof/>
                <w:sz w:val="22"/>
                <w:szCs w:val="22"/>
              </w:rPr>
              <w:t>Estimate</w:t>
            </w:r>
          </w:p>
        </w:tc>
        <w:tc>
          <w:tcPr>
            <w:tcW w:w="1134" w:type="dxa"/>
            <w:tcBorders>
              <w:top w:val="nil"/>
              <w:bottom w:val="nil"/>
            </w:tcBorders>
            <w:noWrap/>
            <w:hideMark/>
          </w:tcPr>
          <w:p w14:paraId="26F8F0AC" w14:textId="77777777" w:rsidR="004C0913" w:rsidRPr="004C0913" w:rsidRDefault="004C0913" w:rsidP="004C0913">
            <w:pPr>
              <w:widowControl w:val="0"/>
              <w:numPr>
                <w:ilvl w:val="12"/>
                <w:numId w:val="0"/>
              </w:numPr>
              <w:jc w:val="right"/>
              <w:rPr>
                <w:rFonts w:ascii="Arial" w:hAnsi="Arial" w:cs="Arial"/>
                <w:b/>
                <w:noProof/>
                <w:sz w:val="22"/>
                <w:szCs w:val="22"/>
              </w:rPr>
            </w:pPr>
            <w:r w:rsidRPr="004C0913">
              <w:rPr>
                <w:rFonts w:ascii="Arial" w:hAnsi="Arial" w:cs="Arial"/>
                <w:b/>
                <w:noProof/>
                <w:sz w:val="22"/>
                <w:szCs w:val="22"/>
              </w:rPr>
              <w:t>Estimate</w:t>
            </w:r>
          </w:p>
        </w:tc>
      </w:tr>
      <w:tr w:rsidR="004C0913" w:rsidRPr="004C0913" w14:paraId="2BA4790C" w14:textId="77777777" w:rsidTr="005B2804">
        <w:trPr>
          <w:trHeight w:val="311"/>
        </w:trPr>
        <w:tc>
          <w:tcPr>
            <w:tcW w:w="4195" w:type="dxa"/>
            <w:tcBorders>
              <w:top w:val="nil"/>
              <w:bottom w:val="nil"/>
            </w:tcBorders>
            <w:noWrap/>
            <w:hideMark/>
          </w:tcPr>
          <w:p w14:paraId="24412BF3" w14:textId="77777777" w:rsidR="004C0913" w:rsidRPr="004C0913" w:rsidRDefault="004C0913" w:rsidP="004C0913">
            <w:pPr>
              <w:widowControl w:val="0"/>
              <w:numPr>
                <w:ilvl w:val="12"/>
                <w:numId w:val="0"/>
              </w:numPr>
              <w:jc w:val="both"/>
              <w:rPr>
                <w:rFonts w:ascii="Arial" w:hAnsi="Arial" w:cs="Arial"/>
                <w:bCs/>
                <w:noProof/>
                <w:sz w:val="22"/>
                <w:szCs w:val="22"/>
              </w:rPr>
            </w:pPr>
            <w:r w:rsidRPr="004C0913">
              <w:rPr>
                <w:rFonts w:ascii="Arial" w:hAnsi="Arial" w:cs="Arial"/>
                <w:bCs/>
                <w:noProof/>
                <w:sz w:val="22"/>
                <w:szCs w:val="22"/>
              </w:rPr>
              <w:t> </w:t>
            </w:r>
          </w:p>
        </w:tc>
        <w:tc>
          <w:tcPr>
            <w:tcW w:w="1048" w:type="dxa"/>
            <w:tcBorders>
              <w:top w:val="nil"/>
              <w:bottom w:val="nil"/>
            </w:tcBorders>
            <w:noWrap/>
            <w:hideMark/>
          </w:tcPr>
          <w:p w14:paraId="733FD720" w14:textId="77777777" w:rsidR="004C0913" w:rsidRPr="004C0913" w:rsidRDefault="004C0913" w:rsidP="004C0913">
            <w:pPr>
              <w:widowControl w:val="0"/>
              <w:numPr>
                <w:ilvl w:val="12"/>
                <w:numId w:val="0"/>
              </w:numPr>
              <w:jc w:val="right"/>
              <w:rPr>
                <w:rFonts w:ascii="Arial" w:hAnsi="Arial" w:cs="Arial"/>
                <w:b/>
                <w:noProof/>
                <w:sz w:val="22"/>
                <w:szCs w:val="22"/>
              </w:rPr>
            </w:pPr>
            <w:r w:rsidRPr="004C0913">
              <w:rPr>
                <w:rFonts w:ascii="Arial" w:hAnsi="Arial" w:cs="Arial"/>
                <w:b/>
                <w:noProof/>
                <w:sz w:val="22"/>
                <w:szCs w:val="22"/>
              </w:rPr>
              <w:t>£000's</w:t>
            </w:r>
          </w:p>
        </w:tc>
        <w:tc>
          <w:tcPr>
            <w:tcW w:w="1060" w:type="dxa"/>
            <w:tcBorders>
              <w:top w:val="nil"/>
              <w:bottom w:val="nil"/>
            </w:tcBorders>
            <w:noWrap/>
            <w:hideMark/>
          </w:tcPr>
          <w:p w14:paraId="732CDC42" w14:textId="77777777" w:rsidR="004C0913" w:rsidRPr="004C0913" w:rsidRDefault="004C0913" w:rsidP="004C0913">
            <w:pPr>
              <w:widowControl w:val="0"/>
              <w:numPr>
                <w:ilvl w:val="12"/>
                <w:numId w:val="0"/>
              </w:numPr>
              <w:jc w:val="right"/>
              <w:rPr>
                <w:rFonts w:ascii="Arial" w:hAnsi="Arial" w:cs="Arial"/>
                <w:b/>
                <w:noProof/>
                <w:sz w:val="22"/>
                <w:szCs w:val="22"/>
              </w:rPr>
            </w:pPr>
            <w:r w:rsidRPr="004C0913">
              <w:rPr>
                <w:rFonts w:ascii="Arial" w:hAnsi="Arial" w:cs="Arial"/>
                <w:b/>
                <w:noProof/>
                <w:sz w:val="22"/>
                <w:szCs w:val="22"/>
              </w:rPr>
              <w:t>£000's</w:t>
            </w:r>
          </w:p>
        </w:tc>
        <w:tc>
          <w:tcPr>
            <w:tcW w:w="1134" w:type="dxa"/>
            <w:tcBorders>
              <w:top w:val="nil"/>
              <w:bottom w:val="nil"/>
            </w:tcBorders>
            <w:noWrap/>
            <w:hideMark/>
          </w:tcPr>
          <w:p w14:paraId="1B0AD713" w14:textId="77777777" w:rsidR="004C0913" w:rsidRPr="004C0913" w:rsidRDefault="004C0913" w:rsidP="004C0913">
            <w:pPr>
              <w:widowControl w:val="0"/>
              <w:numPr>
                <w:ilvl w:val="12"/>
                <w:numId w:val="0"/>
              </w:numPr>
              <w:jc w:val="right"/>
              <w:rPr>
                <w:rFonts w:ascii="Arial" w:hAnsi="Arial" w:cs="Arial"/>
                <w:b/>
                <w:noProof/>
                <w:sz w:val="22"/>
                <w:szCs w:val="22"/>
              </w:rPr>
            </w:pPr>
            <w:r w:rsidRPr="004C0913">
              <w:rPr>
                <w:rFonts w:ascii="Arial" w:hAnsi="Arial" w:cs="Arial"/>
                <w:b/>
                <w:noProof/>
                <w:sz w:val="22"/>
                <w:szCs w:val="22"/>
              </w:rPr>
              <w:t>£000's</w:t>
            </w:r>
          </w:p>
        </w:tc>
        <w:tc>
          <w:tcPr>
            <w:tcW w:w="1134" w:type="dxa"/>
            <w:tcBorders>
              <w:top w:val="nil"/>
              <w:bottom w:val="nil"/>
            </w:tcBorders>
            <w:noWrap/>
            <w:hideMark/>
          </w:tcPr>
          <w:p w14:paraId="09E9BA90" w14:textId="77777777" w:rsidR="004C0913" w:rsidRPr="004C0913" w:rsidRDefault="004C0913" w:rsidP="004C0913">
            <w:pPr>
              <w:widowControl w:val="0"/>
              <w:numPr>
                <w:ilvl w:val="12"/>
                <w:numId w:val="0"/>
              </w:numPr>
              <w:jc w:val="right"/>
              <w:rPr>
                <w:rFonts w:ascii="Arial" w:hAnsi="Arial" w:cs="Arial"/>
                <w:b/>
                <w:noProof/>
                <w:sz w:val="22"/>
                <w:szCs w:val="22"/>
              </w:rPr>
            </w:pPr>
            <w:r w:rsidRPr="004C0913">
              <w:rPr>
                <w:rFonts w:ascii="Arial" w:hAnsi="Arial" w:cs="Arial"/>
                <w:b/>
                <w:noProof/>
                <w:sz w:val="22"/>
                <w:szCs w:val="22"/>
              </w:rPr>
              <w:t>£000's</w:t>
            </w:r>
          </w:p>
        </w:tc>
        <w:tc>
          <w:tcPr>
            <w:tcW w:w="1134" w:type="dxa"/>
            <w:tcBorders>
              <w:top w:val="nil"/>
              <w:bottom w:val="nil"/>
            </w:tcBorders>
            <w:noWrap/>
            <w:hideMark/>
          </w:tcPr>
          <w:p w14:paraId="66A6E4CD" w14:textId="77777777" w:rsidR="004C0913" w:rsidRPr="004C0913" w:rsidRDefault="004C0913" w:rsidP="004C0913">
            <w:pPr>
              <w:widowControl w:val="0"/>
              <w:numPr>
                <w:ilvl w:val="12"/>
                <w:numId w:val="0"/>
              </w:numPr>
              <w:jc w:val="right"/>
              <w:rPr>
                <w:rFonts w:ascii="Arial" w:hAnsi="Arial" w:cs="Arial"/>
                <w:b/>
                <w:noProof/>
                <w:sz w:val="22"/>
                <w:szCs w:val="22"/>
              </w:rPr>
            </w:pPr>
            <w:r w:rsidRPr="004C0913">
              <w:rPr>
                <w:rFonts w:ascii="Arial" w:hAnsi="Arial" w:cs="Arial"/>
                <w:b/>
                <w:noProof/>
                <w:sz w:val="22"/>
                <w:szCs w:val="22"/>
              </w:rPr>
              <w:t>£000's</w:t>
            </w:r>
          </w:p>
        </w:tc>
      </w:tr>
      <w:tr w:rsidR="004C0913" w:rsidRPr="004C0913" w14:paraId="7B0EC426" w14:textId="77777777" w:rsidTr="005B2804">
        <w:trPr>
          <w:trHeight w:val="326"/>
        </w:trPr>
        <w:tc>
          <w:tcPr>
            <w:tcW w:w="4195" w:type="dxa"/>
            <w:tcBorders>
              <w:top w:val="nil"/>
              <w:bottom w:val="nil"/>
            </w:tcBorders>
            <w:noWrap/>
            <w:hideMark/>
          </w:tcPr>
          <w:p w14:paraId="26975666" w14:textId="77777777" w:rsidR="004C0913" w:rsidRPr="005B2804" w:rsidRDefault="004C0913" w:rsidP="004C0913">
            <w:pPr>
              <w:widowControl w:val="0"/>
              <w:numPr>
                <w:ilvl w:val="12"/>
                <w:numId w:val="0"/>
              </w:numPr>
              <w:jc w:val="both"/>
              <w:rPr>
                <w:rFonts w:ascii="Arial" w:hAnsi="Arial" w:cs="Arial"/>
                <w:b/>
                <w:bCs/>
                <w:noProof/>
                <w:sz w:val="22"/>
                <w:szCs w:val="22"/>
              </w:rPr>
            </w:pPr>
            <w:r w:rsidRPr="005B2804">
              <w:rPr>
                <w:rFonts w:ascii="Arial" w:hAnsi="Arial" w:cs="Arial"/>
                <w:b/>
                <w:bCs/>
                <w:noProof/>
                <w:sz w:val="22"/>
                <w:szCs w:val="22"/>
              </w:rPr>
              <w:t>External Debt</w:t>
            </w:r>
          </w:p>
        </w:tc>
        <w:tc>
          <w:tcPr>
            <w:tcW w:w="1048" w:type="dxa"/>
            <w:tcBorders>
              <w:top w:val="nil"/>
              <w:bottom w:val="nil"/>
            </w:tcBorders>
            <w:noWrap/>
            <w:hideMark/>
          </w:tcPr>
          <w:p w14:paraId="16DA4FF6" w14:textId="77777777" w:rsidR="004C0913" w:rsidRPr="005B2804" w:rsidRDefault="004C0913" w:rsidP="004C0913">
            <w:pPr>
              <w:widowControl w:val="0"/>
              <w:numPr>
                <w:ilvl w:val="12"/>
                <w:numId w:val="0"/>
              </w:numPr>
              <w:jc w:val="both"/>
              <w:rPr>
                <w:rFonts w:ascii="Arial" w:hAnsi="Arial" w:cs="Arial"/>
                <w:bCs/>
                <w:noProof/>
                <w:sz w:val="22"/>
                <w:szCs w:val="22"/>
              </w:rPr>
            </w:pPr>
            <w:r w:rsidRPr="005B2804">
              <w:rPr>
                <w:rFonts w:ascii="Arial" w:hAnsi="Arial" w:cs="Arial"/>
                <w:bCs/>
                <w:noProof/>
                <w:sz w:val="22"/>
                <w:szCs w:val="22"/>
              </w:rPr>
              <w:t> </w:t>
            </w:r>
          </w:p>
        </w:tc>
        <w:tc>
          <w:tcPr>
            <w:tcW w:w="1060" w:type="dxa"/>
            <w:tcBorders>
              <w:top w:val="nil"/>
              <w:bottom w:val="nil"/>
            </w:tcBorders>
            <w:noWrap/>
            <w:hideMark/>
          </w:tcPr>
          <w:p w14:paraId="503A6017" w14:textId="77777777" w:rsidR="004C0913" w:rsidRPr="005B2804" w:rsidRDefault="004C0913" w:rsidP="004C0913">
            <w:pPr>
              <w:widowControl w:val="0"/>
              <w:numPr>
                <w:ilvl w:val="12"/>
                <w:numId w:val="0"/>
              </w:numPr>
              <w:jc w:val="both"/>
              <w:rPr>
                <w:rFonts w:ascii="Arial" w:hAnsi="Arial" w:cs="Arial"/>
                <w:bCs/>
                <w:noProof/>
                <w:sz w:val="22"/>
                <w:szCs w:val="22"/>
              </w:rPr>
            </w:pPr>
            <w:r w:rsidRPr="005B2804">
              <w:rPr>
                <w:rFonts w:ascii="Arial" w:hAnsi="Arial" w:cs="Arial"/>
                <w:bCs/>
                <w:noProof/>
                <w:sz w:val="22"/>
                <w:szCs w:val="22"/>
              </w:rPr>
              <w:t> </w:t>
            </w:r>
          </w:p>
        </w:tc>
        <w:tc>
          <w:tcPr>
            <w:tcW w:w="1134" w:type="dxa"/>
            <w:tcBorders>
              <w:top w:val="nil"/>
              <w:bottom w:val="nil"/>
            </w:tcBorders>
            <w:noWrap/>
            <w:hideMark/>
          </w:tcPr>
          <w:p w14:paraId="6A853662" w14:textId="77777777" w:rsidR="004C0913" w:rsidRPr="005B2804" w:rsidRDefault="004C0913" w:rsidP="004C0913">
            <w:pPr>
              <w:widowControl w:val="0"/>
              <w:numPr>
                <w:ilvl w:val="12"/>
                <w:numId w:val="0"/>
              </w:numPr>
              <w:jc w:val="both"/>
              <w:rPr>
                <w:rFonts w:ascii="Arial" w:hAnsi="Arial" w:cs="Arial"/>
                <w:bCs/>
                <w:noProof/>
                <w:sz w:val="22"/>
                <w:szCs w:val="22"/>
              </w:rPr>
            </w:pPr>
            <w:r w:rsidRPr="005B2804">
              <w:rPr>
                <w:rFonts w:ascii="Arial" w:hAnsi="Arial" w:cs="Arial"/>
                <w:bCs/>
                <w:noProof/>
                <w:sz w:val="22"/>
                <w:szCs w:val="22"/>
              </w:rPr>
              <w:t> </w:t>
            </w:r>
          </w:p>
        </w:tc>
        <w:tc>
          <w:tcPr>
            <w:tcW w:w="1134" w:type="dxa"/>
            <w:tcBorders>
              <w:top w:val="nil"/>
              <w:bottom w:val="nil"/>
            </w:tcBorders>
            <w:noWrap/>
            <w:hideMark/>
          </w:tcPr>
          <w:p w14:paraId="13843A40" w14:textId="77777777" w:rsidR="004C0913" w:rsidRPr="005B2804" w:rsidRDefault="004C0913" w:rsidP="004C0913">
            <w:pPr>
              <w:widowControl w:val="0"/>
              <w:numPr>
                <w:ilvl w:val="12"/>
                <w:numId w:val="0"/>
              </w:numPr>
              <w:jc w:val="both"/>
              <w:rPr>
                <w:rFonts w:ascii="Arial" w:hAnsi="Arial" w:cs="Arial"/>
                <w:bCs/>
                <w:noProof/>
                <w:sz w:val="22"/>
                <w:szCs w:val="22"/>
              </w:rPr>
            </w:pPr>
            <w:r w:rsidRPr="005B2804">
              <w:rPr>
                <w:rFonts w:ascii="Arial" w:hAnsi="Arial" w:cs="Arial"/>
                <w:bCs/>
                <w:noProof/>
                <w:sz w:val="22"/>
                <w:szCs w:val="22"/>
              </w:rPr>
              <w:t> </w:t>
            </w:r>
          </w:p>
        </w:tc>
        <w:tc>
          <w:tcPr>
            <w:tcW w:w="1134" w:type="dxa"/>
            <w:tcBorders>
              <w:top w:val="nil"/>
              <w:bottom w:val="nil"/>
            </w:tcBorders>
            <w:noWrap/>
            <w:hideMark/>
          </w:tcPr>
          <w:p w14:paraId="52BB6B43" w14:textId="77777777" w:rsidR="004C0913" w:rsidRPr="005B2804" w:rsidRDefault="004C0913" w:rsidP="004C0913">
            <w:pPr>
              <w:widowControl w:val="0"/>
              <w:numPr>
                <w:ilvl w:val="12"/>
                <w:numId w:val="0"/>
              </w:numPr>
              <w:jc w:val="both"/>
              <w:rPr>
                <w:rFonts w:ascii="Arial" w:hAnsi="Arial" w:cs="Arial"/>
                <w:bCs/>
                <w:noProof/>
                <w:sz w:val="22"/>
                <w:szCs w:val="22"/>
              </w:rPr>
            </w:pPr>
            <w:r w:rsidRPr="005B2804">
              <w:rPr>
                <w:rFonts w:ascii="Arial" w:hAnsi="Arial" w:cs="Arial"/>
                <w:bCs/>
                <w:noProof/>
                <w:sz w:val="22"/>
                <w:szCs w:val="22"/>
              </w:rPr>
              <w:t> </w:t>
            </w:r>
          </w:p>
        </w:tc>
      </w:tr>
      <w:tr w:rsidR="004C0913" w:rsidRPr="004C0913" w14:paraId="77C21633" w14:textId="77777777" w:rsidTr="005B2804">
        <w:trPr>
          <w:trHeight w:val="311"/>
        </w:trPr>
        <w:tc>
          <w:tcPr>
            <w:tcW w:w="4195" w:type="dxa"/>
            <w:tcBorders>
              <w:top w:val="nil"/>
              <w:bottom w:val="nil"/>
            </w:tcBorders>
            <w:noWrap/>
            <w:hideMark/>
          </w:tcPr>
          <w:p w14:paraId="0087EBB5" w14:textId="77777777" w:rsidR="004C0913" w:rsidRPr="005B2804" w:rsidRDefault="004C0913" w:rsidP="004C0913">
            <w:pPr>
              <w:widowControl w:val="0"/>
              <w:numPr>
                <w:ilvl w:val="12"/>
                <w:numId w:val="0"/>
              </w:numPr>
              <w:jc w:val="both"/>
              <w:rPr>
                <w:rFonts w:ascii="Arial" w:hAnsi="Arial" w:cs="Arial"/>
                <w:bCs/>
                <w:noProof/>
                <w:sz w:val="22"/>
                <w:szCs w:val="22"/>
              </w:rPr>
            </w:pPr>
            <w:r w:rsidRPr="005B2804">
              <w:rPr>
                <w:rFonts w:ascii="Arial" w:hAnsi="Arial" w:cs="Arial"/>
                <w:bCs/>
                <w:noProof/>
                <w:sz w:val="22"/>
                <w:szCs w:val="22"/>
              </w:rPr>
              <w:t>Debt at 1st April</w:t>
            </w:r>
          </w:p>
        </w:tc>
        <w:tc>
          <w:tcPr>
            <w:tcW w:w="1048" w:type="dxa"/>
            <w:tcBorders>
              <w:top w:val="nil"/>
              <w:bottom w:val="nil"/>
            </w:tcBorders>
            <w:noWrap/>
            <w:hideMark/>
          </w:tcPr>
          <w:p w14:paraId="796A22A4" w14:textId="77777777" w:rsidR="004C0913" w:rsidRPr="005B2804" w:rsidRDefault="004C0913" w:rsidP="004C0913">
            <w:pPr>
              <w:widowControl w:val="0"/>
              <w:numPr>
                <w:ilvl w:val="12"/>
                <w:numId w:val="0"/>
              </w:numPr>
              <w:jc w:val="right"/>
              <w:rPr>
                <w:rFonts w:ascii="Arial" w:hAnsi="Arial" w:cs="Arial"/>
                <w:bCs/>
                <w:noProof/>
                <w:sz w:val="22"/>
                <w:szCs w:val="22"/>
              </w:rPr>
            </w:pPr>
            <w:r w:rsidRPr="005B2804">
              <w:rPr>
                <w:rFonts w:ascii="Arial" w:hAnsi="Arial" w:cs="Arial"/>
                <w:bCs/>
                <w:noProof/>
                <w:sz w:val="22"/>
                <w:szCs w:val="22"/>
              </w:rPr>
              <w:t>0</w:t>
            </w:r>
          </w:p>
        </w:tc>
        <w:tc>
          <w:tcPr>
            <w:tcW w:w="1060" w:type="dxa"/>
            <w:tcBorders>
              <w:top w:val="nil"/>
              <w:bottom w:val="nil"/>
            </w:tcBorders>
            <w:noWrap/>
            <w:hideMark/>
          </w:tcPr>
          <w:p w14:paraId="77BFEE01" w14:textId="77777777" w:rsidR="004C0913" w:rsidRPr="005B2804" w:rsidRDefault="004C0913" w:rsidP="004C0913">
            <w:pPr>
              <w:widowControl w:val="0"/>
              <w:numPr>
                <w:ilvl w:val="12"/>
                <w:numId w:val="0"/>
              </w:numPr>
              <w:jc w:val="right"/>
              <w:rPr>
                <w:rFonts w:ascii="Arial" w:hAnsi="Arial" w:cs="Arial"/>
                <w:bCs/>
                <w:noProof/>
                <w:sz w:val="22"/>
                <w:szCs w:val="22"/>
              </w:rPr>
            </w:pPr>
            <w:r w:rsidRPr="005B2804">
              <w:rPr>
                <w:rFonts w:ascii="Arial" w:hAnsi="Arial" w:cs="Arial"/>
                <w:bCs/>
                <w:noProof/>
                <w:sz w:val="22"/>
                <w:szCs w:val="22"/>
              </w:rPr>
              <w:t>0</w:t>
            </w:r>
          </w:p>
        </w:tc>
        <w:tc>
          <w:tcPr>
            <w:tcW w:w="1134" w:type="dxa"/>
            <w:tcBorders>
              <w:top w:val="nil"/>
              <w:bottom w:val="nil"/>
            </w:tcBorders>
            <w:noWrap/>
            <w:hideMark/>
          </w:tcPr>
          <w:p w14:paraId="191A8E7B" w14:textId="77777777" w:rsidR="004C0913" w:rsidRPr="005B2804" w:rsidRDefault="004C0913" w:rsidP="004C0913">
            <w:pPr>
              <w:widowControl w:val="0"/>
              <w:numPr>
                <w:ilvl w:val="12"/>
                <w:numId w:val="0"/>
              </w:numPr>
              <w:jc w:val="right"/>
              <w:rPr>
                <w:rFonts w:ascii="Arial" w:hAnsi="Arial" w:cs="Arial"/>
                <w:bCs/>
                <w:noProof/>
                <w:sz w:val="22"/>
                <w:szCs w:val="22"/>
              </w:rPr>
            </w:pPr>
            <w:r w:rsidRPr="005B2804">
              <w:rPr>
                <w:rFonts w:ascii="Arial" w:hAnsi="Arial" w:cs="Arial"/>
                <w:bCs/>
                <w:noProof/>
                <w:sz w:val="22"/>
                <w:szCs w:val="22"/>
              </w:rPr>
              <w:t>0</w:t>
            </w:r>
          </w:p>
        </w:tc>
        <w:tc>
          <w:tcPr>
            <w:tcW w:w="1134" w:type="dxa"/>
            <w:tcBorders>
              <w:top w:val="nil"/>
              <w:bottom w:val="nil"/>
            </w:tcBorders>
            <w:noWrap/>
            <w:hideMark/>
          </w:tcPr>
          <w:p w14:paraId="2AD8D0BD" w14:textId="77777777" w:rsidR="004C0913" w:rsidRPr="005B2804" w:rsidRDefault="004C0913" w:rsidP="004C0913">
            <w:pPr>
              <w:widowControl w:val="0"/>
              <w:numPr>
                <w:ilvl w:val="12"/>
                <w:numId w:val="0"/>
              </w:numPr>
              <w:jc w:val="right"/>
              <w:rPr>
                <w:rFonts w:ascii="Arial" w:hAnsi="Arial" w:cs="Arial"/>
                <w:bCs/>
                <w:noProof/>
                <w:sz w:val="22"/>
                <w:szCs w:val="22"/>
              </w:rPr>
            </w:pPr>
            <w:r w:rsidRPr="005B2804">
              <w:rPr>
                <w:rFonts w:ascii="Arial" w:hAnsi="Arial" w:cs="Arial"/>
                <w:bCs/>
                <w:noProof/>
                <w:sz w:val="22"/>
                <w:szCs w:val="22"/>
              </w:rPr>
              <w:t>12,000</w:t>
            </w:r>
          </w:p>
        </w:tc>
        <w:tc>
          <w:tcPr>
            <w:tcW w:w="1134" w:type="dxa"/>
            <w:tcBorders>
              <w:top w:val="nil"/>
              <w:bottom w:val="nil"/>
            </w:tcBorders>
            <w:noWrap/>
            <w:hideMark/>
          </w:tcPr>
          <w:p w14:paraId="5ACCA425" w14:textId="77777777" w:rsidR="004C0913" w:rsidRPr="005B2804" w:rsidRDefault="004C0913" w:rsidP="004C0913">
            <w:pPr>
              <w:widowControl w:val="0"/>
              <w:numPr>
                <w:ilvl w:val="12"/>
                <w:numId w:val="0"/>
              </w:numPr>
              <w:jc w:val="right"/>
              <w:rPr>
                <w:rFonts w:ascii="Arial" w:hAnsi="Arial" w:cs="Arial"/>
                <w:bCs/>
                <w:noProof/>
                <w:sz w:val="22"/>
                <w:szCs w:val="22"/>
              </w:rPr>
            </w:pPr>
            <w:r w:rsidRPr="005B2804">
              <w:rPr>
                <w:rFonts w:ascii="Arial" w:hAnsi="Arial" w:cs="Arial"/>
                <w:bCs/>
                <w:noProof/>
                <w:sz w:val="22"/>
                <w:szCs w:val="22"/>
              </w:rPr>
              <w:t>16,000</w:t>
            </w:r>
          </w:p>
        </w:tc>
      </w:tr>
      <w:tr w:rsidR="004C0913" w:rsidRPr="004C0913" w14:paraId="690D4BF1" w14:textId="77777777" w:rsidTr="005B2804">
        <w:trPr>
          <w:trHeight w:val="311"/>
        </w:trPr>
        <w:tc>
          <w:tcPr>
            <w:tcW w:w="4195" w:type="dxa"/>
            <w:tcBorders>
              <w:top w:val="nil"/>
              <w:bottom w:val="nil"/>
            </w:tcBorders>
            <w:noWrap/>
            <w:hideMark/>
          </w:tcPr>
          <w:p w14:paraId="6BDA9EE8" w14:textId="77777777" w:rsidR="004C0913" w:rsidRPr="005B2804" w:rsidRDefault="004C0913" w:rsidP="004C0913">
            <w:pPr>
              <w:widowControl w:val="0"/>
              <w:numPr>
                <w:ilvl w:val="12"/>
                <w:numId w:val="0"/>
              </w:numPr>
              <w:jc w:val="both"/>
              <w:rPr>
                <w:rFonts w:ascii="Arial" w:hAnsi="Arial" w:cs="Arial"/>
                <w:bCs/>
                <w:noProof/>
                <w:sz w:val="22"/>
                <w:szCs w:val="22"/>
              </w:rPr>
            </w:pPr>
            <w:r w:rsidRPr="005B2804">
              <w:rPr>
                <w:rFonts w:ascii="Arial" w:hAnsi="Arial" w:cs="Arial"/>
                <w:bCs/>
                <w:noProof/>
                <w:sz w:val="22"/>
                <w:szCs w:val="22"/>
              </w:rPr>
              <w:t>Expected Change in Debt</w:t>
            </w:r>
          </w:p>
        </w:tc>
        <w:tc>
          <w:tcPr>
            <w:tcW w:w="1048" w:type="dxa"/>
            <w:tcBorders>
              <w:top w:val="nil"/>
              <w:bottom w:val="nil"/>
            </w:tcBorders>
            <w:noWrap/>
            <w:hideMark/>
          </w:tcPr>
          <w:p w14:paraId="3D0F1834" w14:textId="77777777" w:rsidR="004C0913" w:rsidRPr="005B2804" w:rsidRDefault="004C0913" w:rsidP="004C0913">
            <w:pPr>
              <w:widowControl w:val="0"/>
              <w:numPr>
                <w:ilvl w:val="12"/>
                <w:numId w:val="0"/>
              </w:numPr>
              <w:jc w:val="right"/>
              <w:rPr>
                <w:rFonts w:ascii="Arial" w:hAnsi="Arial" w:cs="Arial"/>
                <w:bCs/>
                <w:noProof/>
                <w:sz w:val="22"/>
                <w:szCs w:val="22"/>
              </w:rPr>
            </w:pPr>
            <w:r w:rsidRPr="005B2804">
              <w:rPr>
                <w:rFonts w:ascii="Arial" w:hAnsi="Arial" w:cs="Arial"/>
                <w:bCs/>
                <w:noProof/>
                <w:sz w:val="22"/>
                <w:szCs w:val="22"/>
              </w:rPr>
              <w:t>11,000</w:t>
            </w:r>
          </w:p>
        </w:tc>
        <w:tc>
          <w:tcPr>
            <w:tcW w:w="1060" w:type="dxa"/>
            <w:tcBorders>
              <w:top w:val="nil"/>
              <w:bottom w:val="nil"/>
            </w:tcBorders>
            <w:noWrap/>
            <w:hideMark/>
          </w:tcPr>
          <w:p w14:paraId="0720485A" w14:textId="77777777" w:rsidR="004C0913" w:rsidRPr="005B2804" w:rsidRDefault="004C0913" w:rsidP="004C0913">
            <w:pPr>
              <w:widowControl w:val="0"/>
              <w:numPr>
                <w:ilvl w:val="12"/>
                <w:numId w:val="0"/>
              </w:numPr>
              <w:jc w:val="right"/>
              <w:rPr>
                <w:rFonts w:ascii="Arial" w:hAnsi="Arial" w:cs="Arial"/>
                <w:bCs/>
                <w:noProof/>
                <w:sz w:val="22"/>
                <w:szCs w:val="22"/>
              </w:rPr>
            </w:pPr>
            <w:r w:rsidRPr="005B2804">
              <w:rPr>
                <w:rFonts w:ascii="Arial" w:hAnsi="Arial" w:cs="Arial"/>
                <w:bCs/>
                <w:noProof/>
                <w:sz w:val="22"/>
                <w:szCs w:val="22"/>
              </w:rPr>
              <w:t>0</w:t>
            </w:r>
          </w:p>
        </w:tc>
        <w:tc>
          <w:tcPr>
            <w:tcW w:w="1134" w:type="dxa"/>
            <w:tcBorders>
              <w:top w:val="nil"/>
              <w:bottom w:val="nil"/>
            </w:tcBorders>
            <w:noWrap/>
            <w:hideMark/>
          </w:tcPr>
          <w:p w14:paraId="7C8466C7" w14:textId="77777777" w:rsidR="004C0913" w:rsidRPr="005B2804" w:rsidRDefault="004C0913" w:rsidP="004C0913">
            <w:pPr>
              <w:widowControl w:val="0"/>
              <w:numPr>
                <w:ilvl w:val="12"/>
                <w:numId w:val="0"/>
              </w:numPr>
              <w:jc w:val="right"/>
              <w:rPr>
                <w:rFonts w:ascii="Arial" w:hAnsi="Arial" w:cs="Arial"/>
                <w:bCs/>
                <w:noProof/>
                <w:sz w:val="22"/>
                <w:szCs w:val="22"/>
              </w:rPr>
            </w:pPr>
            <w:r w:rsidRPr="005B2804">
              <w:rPr>
                <w:rFonts w:ascii="Arial" w:hAnsi="Arial" w:cs="Arial"/>
                <w:bCs/>
                <w:noProof/>
                <w:sz w:val="22"/>
                <w:szCs w:val="22"/>
              </w:rPr>
              <w:t>12,000</w:t>
            </w:r>
          </w:p>
        </w:tc>
        <w:tc>
          <w:tcPr>
            <w:tcW w:w="1134" w:type="dxa"/>
            <w:tcBorders>
              <w:top w:val="nil"/>
              <w:bottom w:val="nil"/>
            </w:tcBorders>
            <w:noWrap/>
            <w:hideMark/>
          </w:tcPr>
          <w:p w14:paraId="7E67E86F" w14:textId="77777777" w:rsidR="004C0913" w:rsidRPr="005B2804" w:rsidRDefault="004C0913" w:rsidP="004C0913">
            <w:pPr>
              <w:widowControl w:val="0"/>
              <w:numPr>
                <w:ilvl w:val="12"/>
                <w:numId w:val="0"/>
              </w:numPr>
              <w:jc w:val="right"/>
              <w:rPr>
                <w:rFonts w:ascii="Arial" w:hAnsi="Arial" w:cs="Arial"/>
                <w:bCs/>
                <w:noProof/>
                <w:sz w:val="22"/>
                <w:szCs w:val="22"/>
              </w:rPr>
            </w:pPr>
            <w:r w:rsidRPr="005B2804">
              <w:rPr>
                <w:rFonts w:ascii="Arial" w:hAnsi="Arial" w:cs="Arial"/>
                <w:bCs/>
                <w:noProof/>
                <w:sz w:val="22"/>
                <w:szCs w:val="22"/>
              </w:rPr>
              <w:t>4,000</w:t>
            </w:r>
          </w:p>
        </w:tc>
        <w:tc>
          <w:tcPr>
            <w:tcW w:w="1134" w:type="dxa"/>
            <w:tcBorders>
              <w:top w:val="nil"/>
              <w:bottom w:val="nil"/>
            </w:tcBorders>
            <w:noWrap/>
            <w:hideMark/>
          </w:tcPr>
          <w:p w14:paraId="734CEC2C" w14:textId="77777777" w:rsidR="004C0913" w:rsidRPr="005B2804" w:rsidRDefault="004C0913" w:rsidP="004C0913">
            <w:pPr>
              <w:widowControl w:val="0"/>
              <w:numPr>
                <w:ilvl w:val="12"/>
                <w:numId w:val="0"/>
              </w:numPr>
              <w:jc w:val="right"/>
              <w:rPr>
                <w:rFonts w:ascii="Arial" w:hAnsi="Arial" w:cs="Arial"/>
                <w:bCs/>
                <w:noProof/>
                <w:sz w:val="22"/>
                <w:szCs w:val="22"/>
              </w:rPr>
            </w:pPr>
            <w:r w:rsidRPr="005B2804">
              <w:rPr>
                <w:rFonts w:ascii="Arial" w:hAnsi="Arial" w:cs="Arial"/>
                <w:bCs/>
                <w:noProof/>
                <w:sz w:val="22"/>
                <w:szCs w:val="22"/>
              </w:rPr>
              <w:t>10,500</w:t>
            </w:r>
          </w:p>
        </w:tc>
      </w:tr>
      <w:tr w:rsidR="004C0913" w:rsidRPr="004C0913" w14:paraId="73E82BBC" w14:textId="77777777" w:rsidTr="005B2804">
        <w:trPr>
          <w:trHeight w:val="622"/>
        </w:trPr>
        <w:tc>
          <w:tcPr>
            <w:tcW w:w="4195" w:type="dxa"/>
            <w:tcBorders>
              <w:top w:val="nil"/>
              <w:bottom w:val="nil"/>
            </w:tcBorders>
            <w:hideMark/>
          </w:tcPr>
          <w:p w14:paraId="3E275569" w14:textId="77777777" w:rsidR="004C0913" w:rsidRPr="005B2804" w:rsidRDefault="004C0913" w:rsidP="004C0913">
            <w:pPr>
              <w:widowControl w:val="0"/>
              <w:numPr>
                <w:ilvl w:val="12"/>
                <w:numId w:val="0"/>
              </w:numPr>
              <w:jc w:val="both"/>
              <w:rPr>
                <w:rFonts w:ascii="Arial" w:hAnsi="Arial" w:cs="Arial"/>
                <w:bCs/>
                <w:noProof/>
                <w:sz w:val="22"/>
                <w:szCs w:val="22"/>
              </w:rPr>
            </w:pPr>
            <w:r w:rsidRPr="005B2804">
              <w:rPr>
                <w:rFonts w:ascii="Arial" w:hAnsi="Arial" w:cs="Arial"/>
                <w:bCs/>
                <w:noProof/>
                <w:sz w:val="22"/>
                <w:szCs w:val="22"/>
              </w:rPr>
              <w:t>Other Long Term Liabilities (Finance Lease Liability - IFRS16) at 1st April</w:t>
            </w:r>
          </w:p>
        </w:tc>
        <w:tc>
          <w:tcPr>
            <w:tcW w:w="1048" w:type="dxa"/>
            <w:tcBorders>
              <w:top w:val="nil"/>
              <w:bottom w:val="nil"/>
            </w:tcBorders>
            <w:noWrap/>
            <w:hideMark/>
          </w:tcPr>
          <w:p w14:paraId="06047677" w14:textId="77777777" w:rsidR="004C0913" w:rsidRPr="005B2804" w:rsidRDefault="004C0913" w:rsidP="004C0913">
            <w:pPr>
              <w:widowControl w:val="0"/>
              <w:numPr>
                <w:ilvl w:val="12"/>
                <w:numId w:val="0"/>
              </w:numPr>
              <w:jc w:val="right"/>
              <w:rPr>
                <w:rFonts w:ascii="Arial" w:hAnsi="Arial" w:cs="Arial"/>
                <w:bCs/>
                <w:noProof/>
                <w:sz w:val="22"/>
                <w:szCs w:val="22"/>
              </w:rPr>
            </w:pPr>
            <w:r w:rsidRPr="005B2804">
              <w:rPr>
                <w:rFonts w:ascii="Arial" w:hAnsi="Arial" w:cs="Arial"/>
                <w:bCs/>
                <w:noProof/>
                <w:sz w:val="22"/>
                <w:szCs w:val="22"/>
              </w:rPr>
              <w:t>0</w:t>
            </w:r>
          </w:p>
        </w:tc>
        <w:tc>
          <w:tcPr>
            <w:tcW w:w="1060" w:type="dxa"/>
            <w:tcBorders>
              <w:top w:val="nil"/>
              <w:bottom w:val="nil"/>
            </w:tcBorders>
            <w:noWrap/>
            <w:hideMark/>
          </w:tcPr>
          <w:p w14:paraId="7441541F" w14:textId="77777777" w:rsidR="004C0913" w:rsidRPr="005B2804" w:rsidRDefault="004C0913" w:rsidP="004C0913">
            <w:pPr>
              <w:widowControl w:val="0"/>
              <w:numPr>
                <w:ilvl w:val="12"/>
                <w:numId w:val="0"/>
              </w:numPr>
              <w:jc w:val="right"/>
              <w:rPr>
                <w:rFonts w:ascii="Arial" w:hAnsi="Arial" w:cs="Arial"/>
                <w:bCs/>
                <w:noProof/>
                <w:sz w:val="22"/>
                <w:szCs w:val="22"/>
              </w:rPr>
            </w:pPr>
            <w:r w:rsidRPr="005B2804">
              <w:rPr>
                <w:rFonts w:ascii="Arial" w:hAnsi="Arial" w:cs="Arial"/>
                <w:bCs/>
                <w:noProof/>
                <w:sz w:val="22"/>
                <w:szCs w:val="22"/>
              </w:rPr>
              <w:t>0</w:t>
            </w:r>
          </w:p>
        </w:tc>
        <w:tc>
          <w:tcPr>
            <w:tcW w:w="1134" w:type="dxa"/>
            <w:tcBorders>
              <w:top w:val="nil"/>
              <w:bottom w:val="nil"/>
            </w:tcBorders>
            <w:noWrap/>
            <w:hideMark/>
          </w:tcPr>
          <w:p w14:paraId="09451F81" w14:textId="77777777" w:rsidR="004C0913" w:rsidRPr="005B2804" w:rsidRDefault="004C0913" w:rsidP="004C0913">
            <w:pPr>
              <w:widowControl w:val="0"/>
              <w:numPr>
                <w:ilvl w:val="12"/>
                <w:numId w:val="0"/>
              </w:numPr>
              <w:jc w:val="right"/>
              <w:rPr>
                <w:rFonts w:ascii="Arial" w:hAnsi="Arial" w:cs="Arial"/>
                <w:bCs/>
                <w:noProof/>
                <w:sz w:val="22"/>
                <w:szCs w:val="22"/>
              </w:rPr>
            </w:pPr>
            <w:r w:rsidRPr="005B2804">
              <w:rPr>
                <w:rFonts w:ascii="Arial" w:hAnsi="Arial" w:cs="Arial"/>
                <w:bCs/>
                <w:noProof/>
                <w:sz w:val="22"/>
                <w:szCs w:val="22"/>
              </w:rPr>
              <w:t>1,116</w:t>
            </w:r>
          </w:p>
        </w:tc>
        <w:tc>
          <w:tcPr>
            <w:tcW w:w="1134" w:type="dxa"/>
            <w:tcBorders>
              <w:top w:val="nil"/>
              <w:bottom w:val="nil"/>
            </w:tcBorders>
            <w:noWrap/>
            <w:hideMark/>
          </w:tcPr>
          <w:p w14:paraId="3BD63D41" w14:textId="77777777" w:rsidR="004C0913" w:rsidRPr="005B2804" w:rsidRDefault="004C0913" w:rsidP="004C0913">
            <w:pPr>
              <w:widowControl w:val="0"/>
              <w:numPr>
                <w:ilvl w:val="12"/>
                <w:numId w:val="0"/>
              </w:numPr>
              <w:jc w:val="right"/>
              <w:rPr>
                <w:rFonts w:ascii="Arial" w:hAnsi="Arial" w:cs="Arial"/>
                <w:bCs/>
                <w:noProof/>
                <w:sz w:val="22"/>
                <w:szCs w:val="22"/>
              </w:rPr>
            </w:pPr>
            <w:r w:rsidRPr="005B2804">
              <w:rPr>
                <w:rFonts w:ascii="Arial" w:hAnsi="Arial" w:cs="Arial"/>
                <w:bCs/>
                <w:noProof/>
                <w:sz w:val="22"/>
                <w:szCs w:val="22"/>
              </w:rPr>
              <w:t>849</w:t>
            </w:r>
          </w:p>
        </w:tc>
        <w:tc>
          <w:tcPr>
            <w:tcW w:w="1134" w:type="dxa"/>
            <w:tcBorders>
              <w:top w:val="nil"/>
              <w:bottom w:val="nil"/>
            </w:tcBorders>
            <w:noWrap/>
            <w:hideMark/>
          </w:tcPr>
          <w:p w14:paraId="24F8B298" w14:textId="77777777" w:rsidR="004C0913" w:rsidRPr="005B2804" w:rsidRDefault="004C0913" w:rsidP="004C0913">
            <w:pPr>
              <w:widowControl w:val="0"/>
              <w:numPr>
                <w:ilvl w:val="12"/>
                <w:numId w:val="0"/>
              </w:numPr>
              <w:jc w:val="right"/>
              <w:rPr>
                <w:rFonts w:ascii="Arial" w:hAnsi="Arial" w:cs="Arial"/>
                <w:bCs/>
                <w:noProof/>
                <w:sz w:val="22"/>
                <w:szCs w:val="22"/>
              </w:rPr>
            </w:pPr>
            <w:r w:rsidRPr="005B2804">
              <w:rPr>
                <w:rFonts w:ascii="Arial" w:hAnsi="Arial" w:cs="Arial"/>
                <w:bCs/>
                <w:noProof/>
                <w:sz w:val="22"/>
                <w:szCs w:val="22"/>
              </w:rPr>
              <w:t>668</w:t>
            </w:r>
          </w:p>
        </w:tc>
      </w:tr>
      <w:tr w:rsidR="004C0913" w:rsidRPr="004C0913" w14:paraId="6A0F9CC7" w14:textId="77777777" w:rsidTr="005B2804">
        <w:trPr>
          <w:trHeight w:val="311"/>
        </w:trPr>
        <w:tc>
          <w:tcPr>
            <w:tcW w:w="4195" w:type="dxa"/>
            <w:tcBorders>
              <w:top w:val="nil"/>
            </w:tcBorders>
            <w:noWrap/>
            <w:hideMark/>
          </w:tcPr>
          <w:p w14:paraId="2CE2C62E" w14:textId="77777777" w:rsidR="004C0913" w:rsidRPr="005B2804" w:rsidRDefault="004C0913" w:rsidP="004C0913">
            <w:pPr>
              <w:widowControl w:val="0"/>
              <w:numPr>
                <w:ilvl w:val="12"/>
                <w:numId w:val="0"/>
              </w:numPr>
              <w:jc w:val="both"/>
              <w:rPr>
                <w:rFonts w:ascii="Arial" w:hAnsi="Arial" w:cs="Arial"/>
                <w:bCs/>
                <w:noProof/>
                <w:sz w:val="22"/>
                <w:szCs w:val="22"/>
              </w:rPr>
            </w:pPr>
            <w:r w:rsidRPr="005B2804">
              <w:rPr>
                <w:rFonts w:ascii="Arial" w:hAnsi="Arial" w:cs="Arial"/>
                <w:bCs/>
                <w:noProof/>
                <w:sz w:val="22"/>
                <w:szCs w:val="22"/>
              </w:rPr>
              <w:t>Expected Change in OLTL</w:t>
            </w:r>
          </w:p>
        </w:tc>
        <w:tc>
          <w:tcPr>
            <w:tcW w:w="1048" w:type="dxa"/>
            <w:tcBorders>
              <w:top w:val="nil"/>
            </w:tcBorders>
            <w:noWrap/>
            <w:hideMark/>
          </w:tcPr>
          <w:p w14:paraId="12D9A85B" w14:textId="77777777" w:rsidR="004C0913" w:rsidRPr="005B2804" w:rsidRDefault="004C0913" w:rsidP="004C0913">
            <w:pPr>
              <w:widowControl w:val="0"/>
              <w:numPr>
                <w:ilvl w:val="12"/>
                <w:numId w:val="0"/>
              </w:numPr>
              <w:jc w:val="right"/>
              <w:rPr>
                <w:rFonts w:ascii="Arial" w:hAnsi="Arial" w:cs="Arial"/>
                <w:bCs/>
                <w:noProof/>
                <w:sz w:val="22"/>
                <w:szCs w:val="22"/>
              </w:rPr>
            </w:pPr>
            <w:r w:rsidRPr="005B2804">
              <w:rPr>
                <w:rFonts w:ascii="Arial" w:hAnsi="Arial" w:cs="Arial"/>
                <w:bCs/>
                <w:noProof/>
                <w:sz w:val="22"/>
                <w:szCs w:val="22"/>
              </w:rPr>
              <w:t>0</w:t>
            </w:r>
          </w:p>
        </w:tc>
        <w:tc>
          <w:tcPr>
            <w:tcW w:w="1060" w:type="dxa"/>
            <w:tcBorders>
              <w:top w:val="nil"/>
            </w:tcBorders>
            <w:noWrap/>
            <w:hideMark/>
          </w:tcPr>
          <w:p w14:paraId="431C7623" w14:textId="77777777" w:rsidR="004C0913" w:rsidRPr="005B2804" w:rsidRDefault="004C0913" w:rsidP="004C0913">
            <w:pPr>
              <w:widowControl w:val="0"/>
              <w:numPr>
                <w:ilvl w:val="12"/>
                <w:numId w:val="0"/>
              </w:numPr>
              <w:jc w:val="right"/>
              <w:rPr>
                <w:rFonts w:ascii="Arial" w:hAnsi="Arial" w:cs="Arial"/>
                <w:bCs/>
                <w:noProof/>
                <w:sz w:val="22"/>
                <w:szCs w:val="22"/>
              </w:rPr>
            </w:pPr>
            <w:r w:rsidRPr="005B2804">
              <w:rPr>
                <w:rFonts w:ascii="Arial" w:hAnsi="Arial" w:cs="Arial"/>
                <w:bCs/>
                <w:noProof/>
                <w:sz w:val="22"/>
                <w:szCs w:val="22"/>
              </w:rPr>
              <w:t>0</w:t>
            </w:r>
          </w:p>
        </w:tc>
        <w:tc>
          <w:tcPr>
            <w:tcW w:w="1134" w:type="dxa"/>
            <w:tcBorders>
              <w:top w:val="nil"/>
            </w:tcBorders>
            <w:noWrap/>
            <w:hideMark/>
          </w:tcPr>
          <w:p w14:paraId="35ECF6B4" w14:textId="77777777" w:rsidR="004C0913" w:rsidRPr="005B2804" w:rsidRDefault="004C0913" w:rsidP="004C0913">
            <w:pPr>
              <w:widowControl w:val="0"/>
              <w:numPr>
                <w:ilvl w:val="12"/>
                <w:numId w:val="0"/>
              </w:numPr>
              <w:jc w:val="right"/>
              <w:rPr>
                <w:rFonts w:ascii="Arial" w:hAnsi="Arial" w:cs="Arial"/>
                <w:bCs/>
                <w:noProof/>
                <w:sz w:val="22"/>
                <w:szCs w:val="22"/>
              </w:rPr>
            </w:pPr>
            <w:r w:rsidRPr="005B2804">
              <w:rPr>
                <w:rFonts w:ascii="Arial" w:hAnsi="Arial" w:cs="Arial"/>
                <w:bCs/>
                <w:noProof/>
                <w:sz w:val="22"/>
                <w:szCs w:val="22"/>
              </w:rPr>
              <w:t>(267)</w:t>
            </w:r>
          </w:p>
        </w:tc>
        <w:tc>
          <w:tcPr>
            <w:tcW w:w="1134" w:type="dxa"/>
            <w:tcBorders>
              <w:top w:val="nil"/>
            </w:tcBorders>
            <w:noWrap/>
            <w:hideMark/>
          </w:tcPr>
          <w:p w14:paraId="5EC136FF" w14:textId="77777777" w:rsidR="004C0913" w:rsidRPr="005B2804" w:rsidRDefault="004C0913" w:rsidP="004C0913">
            <w:pPr>
              <w:widowControl w:val="0"/>
              <w:numPr>
                <w:ilvl w:val="12"/>
                <w:numId w:val="0"/>
              </w:numPr>
              <w:jc w:val="right"/>
              <w:rPr>
                <w:rFonts w:ascii="Arial" w:hAnsi="Arial" w:cs="Arial"/>
                <w:bCs/>
                <w:noProof/>
                <w:sz w:val="22"/>
                <w:szCs w:val="22"/>
              </w:rPr>
            </w:pPr>
            <w:r w:rsidRPr="005B2804">
              <w:rPr>
                <w:rFonts w:ascii="Arial" w:hAnsi="Arial" w:cs="Arial"/>
                <w:bCs/>
                <w:noProof/>
                <w:sz w:val="22"/>
                <w:szCs w:val="22"/>
              </w:rPr>
              <w:t>(181)</w:t>
            </w:r>
          </w:p>
        </w:tc>
        <w:tc>
          <w:tcPr>
            <w:tcW w:w="1134" w:type="dxa"/>
            <w:tcBorders>
              <w:top w:val="nil"/>
            </w:tcBorders>
            <w:noWrap/>
            <w:hideMark/>
          </w:tcPr>
          <w:p w14:paraId="3567CC26" w14:textId="77777777" w:rsidR="004C0913" w:rsidRPr="005B2804" w:rsidRDefault="004C0913" w:rsidP="004C0913">
            <w:pPr>
              <w:widowControl w:val="0"/>
              <w:numPr>
                <w:ilvl w:val="12"/>
                <w:numId w:val="0"/>
              </w:numPr>
              <w:jc w:val="right"/>
              <w:rPr>
                <w:rFonts w:ascii="Arial" w:hAnsi="Arial" w:cs="Arial"/>
                <w:bCs/>
                <w:noProof/>
                <w:sz w:val="22"/>
                <w:szCs w:val="22"/>
              </w:rPr>
            </w:pPr>
            <w:r w:rsidRPr="005B2804">
              <w:rPr>
                <w:rFonts w:ascii="Arial" w:hAnsi="Arial" w:cs="Arial"/>
                <w:bCs/>
                <w:noProof/>
                <w:sz w:val="22"/>
                <w:szCs w:val="22"/>
              </w:rPr>
              <w:t>(194)</w:t>
            </w:r>
          </w:p>
        </w:tc>
      </w:tr>
      <w:tr w:rsidR="004C0913" w:rsidRPr="004C0913" w14:paraId="5C04EEFD" w14:textId="77777777" w:rsidTr="005B2804">
        <w:trPr>
          <w:trHeight w:val="326"/>
        </w:trPr>
        <w:tc>
          <w:tcPr>
            <w:tcW w:w="4195" w:type="dxa"/>
            <w:tcBorders>
              <w:bottom w:val="nil"/>
            </w:tcBorders>
            <w:noWrap/>
            <w:hideMark/>
          </w:tcPr>
          <w:p w14:paraId="73FE695D" w14:textId="77777777" w:rsidR="004C0913" w:rsidRPr="005B2804" w:rsidRDefault="004C0913" w:rsidP="004C0913">
            <w:pPr>
              <w:widowControl w:val="0"/>
              <w:numPr>
                <w:ilvl w:val="12"/>
                <w:numId w:val="0"/>
              </w:numPr>
              <w:jc w:val="both"/>
              <w:rPr>
                <w:rFonts w:ascii="Arial" w:hAnsi="Arial" w:cs="Arial"/>
                <w:b/>
                <w:bCs/>
                <w:noProof/>
                <w:sz w:val="22"/>
                <w:szCs w:val="22"/>
              </w:rPr>
            </w:pPr>
            <w:r w:rsidRPr="005B2804">
              <w:rPr>
                <w:rFonts w:ascii="Arial" w:hAnsi="Arial" w:cs="Arial"/>
                <w:b/>
                <w:bCs/>
                <w:noProof/>
                <w:sz w:val="22"/>
                <w:szCs w:val="22"/>
              </w:rPr>
              <w:t>Gross Debt at 31st March</w:t>
            </w:r>
          </w:p>
        </w:tc>
        <w:tc>
          <w:tcPr>
            <w:tcW w:w="1048" w:type="dxa"/>
            <w:tcBorders>
              <w:bottom w:val="nil"/>
            </w:tcBorders>
            <w:noWrap/>
            <w:hideMark/>
          </w:tcPr>
          <w:p w14:paraId="021D0448" w14:textId="77777777" w:rsidR="004C0913" w:rsidRPr="005B2804" w:rsidRDefault="004C0913" w:rsidP="004C0913">
            <w:pPr>
              <w:widowControl w:val="0"/>
              <w:numPr>
                <w:ilvl w:val="12"/>
                <w:numId w:val="0"/>
              </w:numPr>
              <w:jc w:val="right"/>
              <w:rPr>
                <w:rFonts w:ascii="Arial" w:hAnsi="Arial" w:cs="Arial"/>
                <w:b/>
                <w:bCs/>
                <w:noProof/>
                <w:sz w:val="22"/>
                <w:szCs w:val="22"/>
              </w:rPr>
            </w:pPr>
            <w:r w:rsidRPr="005B2804">
              <w:rPr>
                <w:rFonts w:ascii="Arial" w:hAnsi="Arial" w:cs="Arial"/>
                <w:b/>
                <w:bCs/>
                <w:noProof/>
                <w:sz w:val="22"/>
                <w:szCs w:val="22"/>
              </w:rPr>
              <w:t>11,000</w:t>
            </w:r>
          </w:p>
        </w:tc>
        <w:tc>
          <w:tcPr>
            <w:tcW w:w="1060" w:type="dxa"/>
            <w:tcBorders>
              <w:bottom w:val="nil"/>
            </w:tcBorders>
            <w:noWrap/>
            <w:hideMark/>
          </w:tcPr>
          <w:p w14:paraId="2E39FC6C" w14:textId="77777777" w:rsidR="004C0913" w:rsidRPr="005B2804" w:rsidRDefault="004C0913" w:rsidP="004C0913">
            <w:pPr>
              <w:widowControl w:val="0"/>
              <w:numPr>
                <w:ilvl w:val="12"/>
                <w:numId w:val="0"/>
              </w:numPr>
              <w:jc w:val="right"/>
              <w:rPr>
                <w:rFonts w:ascii="Arial" w:hAnsi="Arial" w:cs="Arial"/>
                <w:b/>
                <w:bCs/>
                <w:noProof/>
                <w:sz w:val="22"/>
                <w:szCs w:val="22"/>
              </w:rPr>
            </w:pPr>
            <w:r w:rsidRPr="005B2804">
              <w:rPr>
                <w:rFonts w:ascii="Arial" w:hAnsi="Arial" w:cs="Arial"/>
                <w:b/>
                <w:bCs/>
                <w:noProof/>
                <w:sz w:val="22"/>
                <w:szCs w:val="22"/>
              </w:rPr>
              <w:t>0</w:t>
            </w:r>
          </w:p>
        </w:tc>
        <w:tc>
          <w:tcPr>
            <w:tcW w:w="1134" w:type="dxa"/>
            <w:tcBorders>
              <w:bottom w:val="nil"/>
            </w:tcBorders>
            <w:noWrap/>
            <w:hideMark/>
          </w:tcPr>
          <w:p w14:paraId="019592E8" w14:textId="77777777" w:rsidR="004C0913" w:rsidRPr="005B2804" w:rsidRDefault="004C0913" w:rsidP="004C0913">
            <w:pPr>
              <w:widowControl w:val="0"/>
              <w:numPr>
                <w:ilvl w:val="12"/>
                <w:numId w:val="0"/>
              </w:numPr>
              <w:jc w:val="right"/>
              <w:rPr>
                <w:rFonts w:ascii="Arial" w:hAnsi="Arial" w:cs="Arial"/>
                <w:b/>
                <w:bCs/>
                <w:noProof/>
                <w:sz w:val="22"/>
                <w:szCs w:val="22"/>
              </w:rPr>
            </w:pPr>
            <w:r w:rsidRPr="005B2804">
              <w:rPr>
                <w:rFonts w:ascii="Arial" w:hAnsi="Arial" w:cs="Arial"/>
                <w:b/>
                <w:bCs/>
                <w:noProof/>
                <w:sz w:val="22"/>
                <w:szCs w:val="22"/>
              </w:rPr>
              <w:t>12,849</w:t>
            </w:r>
          </w:p>
        </w:tc>
        <w:tc>
          <w:tcPr>
            <w:tcW w:w="1134" w:type="dxa"/>
            <w:tcBorders>
              <w:bottom w:val="nil"/>
            </w:tcBorders>
            <w:noWrap/>
            <w:hideMark/>
          </w:tcPr>
          <w:p w14:paraId="62318653" w14:textId="77777777" w:rsidR="004C0913" w:rsidRPr="005B2804" w:rsidRDefault="004C0913" w:rsidP="004C0913">
            <w:pPr>
              <w:widowControl w:val="0"/>
              <w:numPr>
                <w:ilvl w:val="12"/>
                <w:numId w:val="0"/>
              </w:numPr>
              <w:jc w:val="right"/>
              <w:rPr>
                <w:rFonts w:ascii="Arial" w:hAnsi="Arial" w:cs="Arial"/>
                <w:b/>
                <w:bCs/>
                <w:noProof/>
                <w:sz w:val="22"/>
                <w:szCs w:val="22"/>
              </w:rPr>
            </w:pPr>
            <w:r w:rsidRPr="005B2804">
              <w:rPr>
                <w:rFonts w:ascii="Arial" w:hAnsi="Arial" w:cs="Arial"/>
                <w:b/>
                <w:bCs/>
                <w:noProof/>
                <w:sz w:val="22"/>
                <w:szCs w:val="22"/>
              </w:rPr>
              <w:t>16,668</w:t>
            </w:r>
          </w:p>
        </w:tc>
        <w:tc>
          <w:tcPr>
            <w:tcW w:w="1134" w:type="dxa"/>
            <w:tcBorders>
              <w:bottom w:val="nil"/>
            </w:tcBorders>
            <w:noWrap/>
            <w:hideMark/>
          </w:tcPr>
          <w:p w14:paraId="20FB1943" w14:textId="77777777" w:rsidR="004C0913" w:rsidRPr="005B2804" w:rsidRDefault="004C0913" w:rsidP="004C0913">
            <w:pPr>
              <w:widowControl w:val="0"/>
              <w:numPr>
                <w:ilvl w:val="12"/>
                <w:numId w:val="0"/>
              </w:numPr>
              <w:jc w:val="right"/>
              <w:rPr>
                <w:rFonts w:ascii="Arial" w:hAnsi="Arial" w:cs="Arial"/>
                <w:b/>
                <w:bCs/>
                <w:noProof/>
                <w:sz w:val="22"/>
                <w:szCs w:val="22"/>
              </w:rPr>
            </w:pPr>
            <w:r w:rsidRPr="005B2804">
              <w:rPr>
                <w:rFonts w:ascii="Arial" w:hAnsi="Arial" w:cs="Arial"/>
                <w:b/>
                <w:bCs/>
                <w:noProof/>
                <w:sz w:val="22"/>
                <w:szCs w:val="22"/>
              </w:rPr>
              <w:t>26,973</w:t>
            </w:r>
          </w:p>
        </w:tc>
      </w:tr>
      <w:tr w:rsidR="004C0913" w:rsidRPr="004C0913" w14:paraId="03E9F2A4" w14:textId="77777777" w:rsidTr="005B2804">
        <w:trPr>
          <w:trHeight w:val="311"/>
        </w:trPr>
        <w:tc>
          <w:tcPr>
            <w:tcW w:w="4195" w:type="dxa"/>
            <w:tcBorders>
              <w:top w:val="nil"/>
            </w:tcBorders>
            <w:noWrap/>
            <w:hideMark/>
          </w:tcPr>
          <w:p w14:paraId="44513CF9" w14:textId="77777777" w:rsidR="004C0913" w:rsidRPr="005B2804" w:rsidRDefault="004C0913" w:rsidP="004C0913">
            <w:pPr>
              <w:widowControl w:val="0"/>
              <w:numPr>
                <w:ilvl w:val="12"/>
                <w:numId w:val="0"/>
              </w:numPr>
              <w:jc w:val="both"/>
              <w:rPr>
                <w:rFonts w:ascii="Arial" w:hAnsi="Arial" w:cs="Arial"/>
                <w:bCs/>
                <w:noProof/>
                <w:sz w:val="22"/>
                <w:szCs w:val="22"/>
              </w:rPr>
            </w:pPr>
            <w:r w:rsidRPr="005B2804">
              <w:rPr>
                <w:rFonts w:ascii="Arial" w:hAnsi="Arial" w:cs="Arial"/>
                <w:bCs/>
                <w:noProof/>
                <w:sz w:val="22"/>
                <w:szCs w:val="22"/>
              </w:rPr>
              <w:t>Capital Financing Requirement at 31st March</w:t>
            </w:r>
          </w:p>
        </w:tc>
        <w:tc>
          <w:tcPr>
            <w:tcW w:w="1048" w:type="dxa"/>
            <w:tcBorders>
              <w:top w:val="nil"/>
            </w:tcBorders>
            <w:noWrap/>
            <w:hideMark/>
          </w:tcPr>
          <w:p w14:paraId="7B9CE6DC" w14:textId="77777777" w:rsidR="004C0913" w:rsidRPr="005B2804" w:rsidRDefault="004C0913" w:rsidP="004C0913">
            <w:pPr>
              <w:widowControl w:val="0"/>
              <w:numPr>
                <w:ilvl w:val="12"/>
                <w:numId w:val="0"/>
              </w:numPr>
              <w:jc w:val="right"/>
              <w:rPr>
                <w:rFonts w:ascii="Arial" w:hAnsi="Arial" w:cs="Arial"/>
                <w:bCs/>
                <w:noProof/>
                <w:sz w:val="22"/>
                <w:szCs w:val="22"/>
              </w:rPr>
            </w:pPr>
            <w:r w:rsidRPr="005B2804">
              <w:rPr>
                <w:rFonts w:ascii="Arial" w:hAnsi="Arial" w:cs="Arial"/>
                <w:bCs/>
                <w:noProof/>
                <w:sz w:val="22"/>
                <w:szCs w:val="22"/>
              </w:rPr>
              <w:t>10,560</w:t>
            </w:r>
          </w:p>
        </w:tc>
        <w:tc>
          <w:tcPr>
            <w:tcW w:w="1060" w:type="dxa"/>
            <w:tcBorders>
              <w:top w:val="nil"/>
            </w:tcBorders>
            <w:noWrap/>
            <w:hideMark/>
          </w:tcPr>
          <w:p w14:paraId="4D516DEC" w14:textId="77777777" w:rsidR="004C0913" w:rsidRPr="005B2804" w:rsidRDefault="004C0913" w:rsidP="004C0913">
            <w:pPr>
              <w:widowControl w:val="0"/>
              <w:numPr>
                <w:ilvl w:val="12"/>
                <w:numId w:val="0"/>
              </w:numPr>
              <w:jc w:val="right"/>
              <w:rPr>
                <w:rFonts w:ascii="Arial" w:hAnsi="Arial" w:cs="Arial"/>
                <w:bCs/>
                <w:noProof/>
                <w:sz w:val="22"/>
                <w:szCs w:val="22"/>
              </w:rPr>
            </w:pPr>
            <w:r w:rsidRPr="005B2804">
              <w:rPr>
                <w:rFonts w:ascii="Arial" w:hAnsi="Arial" w:cs="Arial"/>
                <w:bCs/>
                <w:noProof/>
                <w:sz w:val="22"/>
                <w:szCs w:val="22"/>
              </w:rPr>
              <w:t>0</w:t>
            </w:r>
          </w:p>
        </w:tc>
        <w:tc>
          <w:tcPr>
            <w:tcW w:w="1134" w:type="dxa"/>
            <w:tcBorders>
              <w:top w:val="nil"/>
            </w:tcBorders>
            <w:noWrap/>
            <w:hideMark/>
          </w:tcPr>
          <w:p w14:paraId="47F2D512" w14:textId="77777777" w:rsidR="004C0913" w:rsidRPr="005B2804" w:rsidRDefault="004C0913" w:rsidP="004C0913">
            <w:pPr>
              <w:widowControl w:val="0"/>
              <w:numPr>
                <w:ilvl w:val="12"/>
                <w:numId w:val="0"/>
              </w:numPr>
              <w:jc w:val="right"/>
              <w:rPr>
                <w:rFonts w:ascii="Arial" w:hAnsi="Arial" w:cs="Arial"/>
                <w:bCs/>
                <w:noProof/>
                <w:sz w:val="22"/>
                <w:szCs w:val="22"/>
              </w:rPr>
            </w:pPr>
            <w:r w:rsidRPr="005B2804">
              <w:rPr>
                <w:rFonts w:ascii="Arial" w:hAnsi="Arial" w:cs="Arial"/>
                <w:bCs/>
                <w:noProof/>
                <w:sz w:val="22"/>
                <w:szCs w:val="22"/>
              </w:rPr>
              <w:t>12,849</w:t>
            </w:r>
          </w:p>
        </w:tc>
        <w:tc>
          <w:tcPr>
            <w:tcW w:w="1134" w:type="dxa"/>
            <w:tcBorders>
              <w:top w:val="nil"/>
            </w:tcBorders>
            <w:noWrap/>
            <w:hideMark/>
          </w:tcPr>
          <w:p w14:paraId="49E4E150" w14:textId="77777777" w:rsidR="004C0913" w:rsidRPr="005B2804" w:rsidRDefault="004C0913" w:rsidP="004C0913">
            <w:pPr>
              <w:widowControl w:val="0"/>
              <w:numPr>
                <w:ilvl w:val="12"/>
                <w:numId w:val="0"/>
              </w:numPr>
              <w:jc w:val="right"/>
              <w:rPr>
                <w:rFonts w:ascii="Arial" w:hAnsi="Arial" w:cs="Arial"/>
                <w:bCs/>
                <w:noProof/>
                <w:sz w:val="22"/>
                <w:szCs w:val="22"/>
              </w:rPr>
            </w:pPr>
            <w:r w:rsidRPr="005B2804">
              <w:rPr>
                <w:rFonts w:ascii="Arial" w:hAnsi="Arial" w:cs="Arial"/>
                <w:bCs/>
                <w:noProof/>
                <w:sz w:val="22"/>
                <w:szCs w:val="22"/>
              </w:rPr>
              <w:t>16,188</w:t>
            </w:r>
          </w:p>
        </w:tc>
        <w:tc>
          <w:tcPr>
            <w:tcW w:w="1134" w:type="dxa"/>
            <w:tcBorders>
              <w:top w:val="nil"/>
            </w:tcBorders>
            <w:noWrap/>
            <w:hideMark/>
          </w:tcPr>
          <w:p w14:paraId="6CA4A8BB" w14:textId="77777777" w:rsidR="004C0913" w:rsidRPr="005B2804" w:rsidRDefault="004C0913" w:rsidP="004C0913">
            <w:pPr>
              <w:widowControl w:val="0"/>
              <w:numPr>
                <w:ilvl w:val="12"/>
                <w:numId w:val="0"/>
              </w:numPr>
              <w:jc w:val="right"/>
              <w:rPr>
                <w:rFonts w:ascii="Arial" w:hAnsi="Arial" w:cs="Arial"/>
                <w:bCs/>
                <w:noProof/>
                <w:sz w:val="22"/>
                <w:szCs w:val="22"/>
              </w:rPr>
            </w:pPr>
            <w:r w:rsidRPr="005B2804">
              <w:rPr>
                <w:rFonts w:ascii="Arial" w:hAnsi="Arial" w:cs="Arial"/>
                <w:bCs/>
                <w:noProof/>
                <w:sz w:val="22"/>
                <w:szCs w:val="22"/>
              </w:rPr>
              <w:t>26,334</w:t>
            </w:r>
          </w:p>
        </w:tc>
      </w:tr>
      <w:tr w:rsidR="004C0913" w:rsidRPr="004C0913" w14:paraId="77873C7F" w14:textId="77777777" w:rsidTr="005B2804">
        <w:trPr>
          <w:trHeight w:val="326"/>
        </w:trPr>
        <w:tc>
          <w:tcPr>
            <w:tcW w:w="4195" w:type="dxa"/>
            <w:noWrap/>
            <w:hideMark/>
          </w:tcPr>
          <w:p w14:paraId="410E35D9" w14:textId="77777777" w:rsidR="004C0913" w:rsidRPr="005B2804" w:rsidRDefault="004C0913" w:rsidP="004C0913">
            <w:pPr>
              <w:widowControl w:val="0"/>
              <w:numPr>
                <w:ilvl w:val="12"/>
                <w:numId w:val="0"/>
              </w:numPr>
              <w:jc w:val="both"/>
              <w:rPr>
                <w:rFonts w:ascii="Arial" w:hAnsi="Arial" w:cs="Arial"/>
                <w:b/>
                <w:bCs/>
                <w:noProof/>
                <w:sz w:val="22"/>
                <w:szCs w:val="22"/>
              </w:rPr>
            </w:pPr>
            <w:r w:rsidRPr="005B2804">
              <w:rPr>
                <w:rFonts w:ascii="Arial" w:hAnsi="Arial" w:cs="Arial"/>
                <w:b/>
                <w:bCs/>
                <w:noProof/>
                <w:sz w:val="22"/>
                <w:szCs w:val="22"/>
              </w:rPr>
              <w:t>Under/(Over) Borrowing</w:t>
            </w:r>
          </w:p>
        </w:tc>
        <w:tc>
          <w:tcPr>
            <w:tcW w:w="1048" w:type="dxa"/>
            <w:noWrap/>
            <w:hideMark/>
          </w:tcPr>
          <w:p w14:paraId="5934AF7B" w14:textId="77777777" w:rsidR="004C0913" w:rsidRPr="005B2804" w:rsidRDefault="004C0913" w:rsidP="004C0913">
            <w:pPr>
              <w:widowControl w:val="0"/>
              <w:numPr>
                <w:ilvl w:val="12"/>
                <w:numId w:val="0"/>
              </w:numPr>
              <w:jc w:val="right"/>
              <w:rPr>
                <w:rFonts w:ascii="Arial" w:hAnsi="Arial" w:cs="Arial"/>
                <w:b/>
                <w:bCs/>
                <w:noProof/>
                <w:sz w:val="22"/>
                <w:szCs w:val="22"/>
              </w:rPr>
            </w:pPr>
            <w:r w:rsidRPr="005B2804">
              <w:rPr>
                <w:rFonts w:ascii="Arial" w:hAnsi="Arial" w:cs="Arial"/>
                <w:b/>
                <w:bCs/>
                <w:noProof/>
                <w:sz w:val="22"/>
                <w:szCs w:val="22"/>
              </w:rPr>
              <w:t>(440)</w:t>
            </w:r>
          </w:p>
        </w:tc>
        <w:tc>
          <w:tcPr>
            <w:tcW w:w="1060" w:type="dxa"/>
            <w:noWrap/>
            <w:hideMark/>
          </w:tcPr>
          <w:p w14:paraId="553CDFDE" w14:textId="77777777" w:rsidR="004C0913" w:rsidRPr="005B2804" w:rsidRDefault="004C0913" w:rsidP="004C0913">
            <w:pPr>
              <w:widowControl w:val="0"/>
              <w:numPr>
                <w:ilvl w:val="12"/>
                <w:numId w:val="0"/>
              </w:numPr>
              <w:jc w:val="right"/>
              <w:rPr>
                <w:rFonts w:ascii="Arial" w:hAnsi="Arial" w:cs="Arial"/>
                <w:b/>
                <w:bCs/>
                <w:noProof/>
                <w:sz w:val="22"/>
                <w:szCs w:val="22"/>
              </w:rPr>
            </w:pPr>
            <w:r w:rsidRPr="005B2804">
              <w:rPr>
                <w:rFonts w:ascii="Arial" w:hAnsi="Arial" w:cs="Arial"/>
                <w:b/>
                <w:bCs/>
                <w:noProof/>
                <w:sz w:val="22"/>
                <w:szCs w:val="22"/>
              </w:rPr>
              <w:t>0</w:t>
            </w:r>
          </w:p>
        </w:tc>
        <w:tc>
          <w:tcPr>
            <w:tcW w:w="1134" w:type="dxa"/>
            <w:noWrap/>
            <w:hideMark/>
          </w:tcPr>
          <w:p w14:paraId="1B652DDA" w14:textId="77777777" w:rsidR="004C0913" w:rsidRPr="005B2804" w:rsidRDefault="004C0913" w:rsidP="004C0913">
            <w:pPr>
              <w:widowControl w:val="0"/>
              <w:numPr>
                <w:ilvl w:val="12"/>
                <w:numId w:val="0"/>
              </w:numPr>
              <w:jc w:val="right"/>
              <w:rPr>
                <w:rFonts w:ascii="Arial" w:hAnsi="Arial" w:cs="Arial"/>
                <w:b/>
                <w:bCs/>
                <w:noProof/>
                <w:sz w:val="22"/>
                <w:szCs w:val="22"/>
              </w:rPr>
            </w:pPr>
            <w:r w:rsidRPr="005B2804">
              <w:rPr>
                <w:rFonts w:ascii="Arial" w:hAnsi="Arial" w:cs="Arial"/>
                <w:b/>
                <w:bCs/>
                <w:noProof/>
                <w:sz w:val="22"/>
                <w:szCs w:val="22"/>
              </w:rPr>
              <w:t>0</w:t>
            </w:r>
          </w:p>
        </w:tc>
        <w:tc>
          <w:tcPr>
            <w:tcW w:w="1134" w:type="dxa"/>
            <w:noWrap/>
            <w:hideMark/>
          </w:tcPr>
          <w:p w14:paraId="139CD4BF" w14:textId="77777777" w:rsidR="004C0913" w:rsidRPr="005B2804" w:rsidRDefault="004C0913" w:rsidP="004C0913">
            <w:pPr>
              <w:widowControl w:val="0"/>
              <w:numPr>
                <w:ilvl w:val="12"/>
                <w:numId w:val="0"/>
              </w:numPr>
              <w:jc w:val="right"/>
              <w:rPr>
                <w:rFonts w:ascii="Arial" w:hAnsi="Arial" w:cs="Arial"/>
                <w:b/>
                <w:bCs/>
                <w:noProof/>
                <w:sz w:val="22"/>
                <w:szCs w:val="22"/>
              </w:rPr>
            </w:pPr>
            <w:r w:rsidRPr="005B2804">
              <w:rPr>
                <w:rFonts w:ascii="Arial" w:hAnsi="Arial" w:cs="Arial"/>
                <w:b/>
                <w:bCs/>
                <w:noProof/>
                <w:sz w:val="22"/>
                <w:szCs w:val="22"/>
              </w:rPr>
              <w:t>(480)</w:t>
            </w:r>
          </w:p>
        </w:tc>
        <w:tc>
          <w:tcPr>
            <w:tcW w:w="1134" w:type="dxa"/>
            <w:noWrap/>
            <w:hideMark/>
          </w:tcPr>
          <w:p w14:paraId="029A60FB" w14:textId="77777777" w:rsidR="004C0913" w:rsidRPr="005B2804" w:rsidRDefault="004C0913" w:rsidP="004C0913">
            <w:pPr>
              <w:widowControl w:val="0"/>
              <w:numPr>
                <w:ilvl w:val="12"/>
                <w:numId w:val="0"/>
              </w:numPr>
              <w:jc w:val="right"/>
              <w:rPr>
                <w:rFonts w:ascii="Arial" w:hAnsi="Arial" w:cs="Arial"/>
                <w:b/>
                <w:bCs/>
                <w:noProof/>
                <w:sz w:val="22"/>
                <w:szCs w:val="22"/>
              </w:rPr>
            </w:pPr>
            <w:r w:rsidRPr="005B2804">
              <w:rPr>
                <w:rFonts w:ascii="Arial" w:hAnsi="Arial" w:cs="Arial"/>
                <w:b/>
                <w:bCs/>
                <w:noProof/>
                <w:sz w:val="22"/>
                <w:szCs w:val="22"/>
              </w:rPr>
              <w:t>(640)</w:t>
            </w:r>
          </w:p>
        </w:tc>
      </w:tr>
    </w:tbl>
    <w:p w14:paraId="72FBF908" w14:textId="77777777" w:rsidR="00175FCC" w:rsidRPr="00175FCC" w:rsidRDefault="00175FCC" w:rsidP="00175FCC">
      <w:pPr>
        <w:pStyle w:val="BodyText"/>
        <w:ind w:left="709"/>
        <w:rPr>
          <w:rFonts w:ascii="Arial" w:hAnsi="Arial" w:cs="Arial"/>
          <w:sz w:val="22"/>
          <w:szCs w:val="22"/>
        </w:rPr>
      </w:pPr>
    </w:p>
    <w:p w14:paraId="1E01882B" w14:textId="66D24D03" w:rsidR="00175FCC" w:rsidRDefault="00175FCC" w:rsidP="00175FCC">
      <w:pPr>
        <w:pStyle w:val="BodyText"/>
        <w:rPr>
          <w:rFonts w:ascii="Arial" w:hAnsi="Arial" w:cs="Arial"/>
          <w:sz w:val="22"/>
          <w:szCs w:val="22"/>
        </w:rPr>
      </w:pPr>
    </w:p>
    <w:p w14:paraId="2CE1513F" w14:textId="5AF6999A" w:rsidR="00175FCC" w:rsidRDefault="00175FCC" w:rsidP="00175FCC">
      <w:pPr>
        <w:pStyle w:val="BodyText"/>
        <w:rPr>
          <w:rFonts w:ascii="Arial" w:hAnsi="Arial" w:cs="Arial"/>
          <w:sz w:val="22"/>
          <w:szCs w:val="22"/>
        </w:rPr>
      </w:pPr>
    </w:p>
    <w:p w14:paraId="416FA03B" w14:textId="77777777" w:rsidR="00175FCC" w:rsidRPr="00175FCC" w:rsidRDefault="00175FCC" w:rsidP="00175FCC">
      <w:pPr>
        <w:pStyle w:val="BodyText"/>
        <w:rPr>
          <w:rFonts w:ascii="Arial" w:hAnsi="Arial" w:cs="Arial"/>
          <w:sz w:val="22"/>
          <w:szCs w:val="22"/>
        </w:rPr>
      </w:pPr>
    </w:p>
    <w:p w14:paraId="60CDC7CC" w14:textId="478D97B3" w:rsidR="003C51E1" w:rsidRPr="00D70B72" w:rsidRDefault="008B69B3" w:rsidP="00D70B72">
      <w:pPr>
        <w:pStyle w:val="BodyText"/>
        <w:numPr>
          <w:ilvl w:val="1"/>
          <w:numId w:val="18"/>
        </w:numPr>
        <w:ind w:left="709" w:hanging="709"/>
        <w:rPr>
          <w:rFonts w:ascii="Arial" w:hAnsi="Arial" w:cs="Arial"/>
          <w:sz w:val="22"/>
          <w:szCs w:val="22"/>
        </w:rPr>
      </w:pPr>
      <w:r w:rsidRPr="00D70B72">
        <w:rPr>
          <w:rFonts w:ascii="Arial" w:hAnsi="Arial" w:cs="Arial"/>
        </w:rPr>
        <w:t>The related impact</w:t>
      </w:r>
      <w:r w:rsidR="00E25F68" w:rsidRPr="00D70B72">
        <w:rPr>
          <w:rFonts w:ascii="Arial" w:hAnsi="Arial" w:cs="Arial"/>
        </w:rPr>
        <w:t xml:space="preserve"> of the above movements on the revenue budget is shown </w:t>
      </w:r>
      <w:r w:rsidR="00E25F68" w:rsidRPr="00D70B72">
        <w:rPr>
          <w:rFonts w:ascii="Arial" w:hAnsi="Arial" w:cs="Arial"/>
          <w:sz w:val="22"/>
          <w:szCs w:val="22"/>
        </w:rPr>
        <w:t>below:</w:t>
      </w:r>
    </w:p>
    <w:p w14:paraId="6548E8D5" w14:textId="77777777" w:rsidR="004C0913" w:rsidRPr="007B3C3E" w:rsidRDefault="00DA5374" w:rsidP="00615280">
      <w:pPr>
        <w:pStyle w:val="BodyText"/>
        <w:rPr>
          <w:rFonts w:ascii="Arial" w:hAnsi="Arial" w:cs="Arial"/>
          <w:sz w:val="22"/>
          <w:szCs w:val="22"/>
        </w:rPr>
      </w:pPr>
      <w:r w:rsidRPr="001F5113">
        <w:rPr>
          <w:rFonts w:ascii="Arial" w:hAnsi="Arial" w:cs="Arial"/>
          <w:sz w:val="22"/>
          <w:szCs w:val="22"/>
        </w:rPr>
        <w:tab/>
      </w:r>
    </w:p>
    <w:tbl>
      <w:tblPr>
        <w:tblW w:w="8804" w:type="dxa"/>
        <w:tblLook w:val="04A0" w:firstRow="1" w:lastRow="0" w:firstColumn="1" w:lastColumn="0" w:noHBand="0" w:noVBand="1"/>
      </w:tblPr>
      <w:tblGrid>
        <w:gridCol w:w="3597"/>
        <w:gridCol w:w="1123"/>
        <w:gridCol w:w="1137"/>
        <w:gridCol w:w="1217"/>
        <w:gridCol w:w="1217"/>
        <w:gridCol w:w="1217"/>
      </w:tblGrid>
      <w:tr w:rsidR="004C0913" w:rsidRPr="004C0913" w14:paraId="14502A29" w14:textId="77777777" w:rsidTr="004C0913">
        <w:trPr>
          <w:trHeight w:val="321"/>
        </w:trPr>
        <w:tc>
          <w:tcPr>
            <w:tcW w:w="880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9192293" w14:textId="77777777" w:rsidR="004C0913" w:rsidRPr="005B2804" w:rsidRDefault="004C0913">
            <w:pPr>
              <w:jc w:val="center"/>
              <w:rPr>
                <w:rFonts w:ascii="Arial" w:hAnsi="Arial" w:cs="Arial"/>
                <w:b/>
                <w:bCs/>
                <w:color w:val="000000"/>
              </w:rPr>
            </w:pPr>
            <w:r w:rsidRPr="005B2804">
              <w:rPr>
                <w:rFonts w:ascii="Arial" w:hAnsi="Arial" w:cs="Arial"/>
                <w:b/>
                <w:bCs/>
                <w:color w:val="000000"/>
              </w:rPr>
              <w:t>Impact on Revenue Budgets</w:t>
            </w:r>
          </w:p>
        </w:tc>
      </w:tr>
      <w:tr w:rsidR="004C0913" w:rsidRPr="004C0913" w14:paraId="79DCE8C3" w14:textId="77777777" w:rsidTr="004C0913">
        <w:trPr>
          <w:trHeight w:val="321"/>
        </w:trPr>
        <w:tc>
          <w:tcPr>
            <w:tcW w:w="3597" w:type="dxa"/>
            <w:tcBorders>
              <w:top w:val="nil"/>
              <w:left w:val="single" w:sz="4" w:space="0" w:color="auto"/>
              <w:bottom w:val="nil"/>
              <w:right w:val="single" w:sz="4" w:space="0" w:color="auto"/>
            </w:tcBorders>
            <w:shd w:val="clear" w:color="auto" w:fill="auto"/>
            <w:noWrap/>
            <w:vAlign w:val="bottom"/>
            <w:hideMark/>
          </w:tcPr>
          <w:p w14:paraId="626E28AE" w14:textId="77777777" w:rsidR="004C0913" w:rsidRPr="004C0913" w:rsidRDefault="004C0913">
            <w:pPr>
              <w:rPr>
                <w:rFonts w:ascii="Arial" w:hAnsi="Arial" w:cs="Arial"/>
                <w:color w:val="000000"/>
                <w:sz w:val="22"/>
                <w:szCs w:val="22"/>
              </w:rPr>
            </w:pPr>
            <w:r w:rsidRPr="004C0913">
              <w:rPr>
                <w:rFonts w:ascii="Arial" w:hAnsi="Arial" w:cs="Arial"/>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371B877C" w14:textId="77777777" w:rsidR="004C0913" w:rsidRPr="005B2804" w:rsidRDefault="004C0913">
            <w:pPr>
              <w:rPr>
                <w:rFonts w:ascii="Arial" w:hAnsi="Arial" w:cs="Arial"/>
                <w:b/>
                <w:bCs/>
                <w:color w:val="000000"/>
              </w:rPr>
            </w:pPr>
            <w:r w:rsidRPr="005B2804">
              <w:rPr>
                <w:rFonts w:ascii="Arial" w:hAnsi="Arial" w:cs="Arial"/>
                <w:b/>
                <w:bCs/>
                <w:color w:val="000000"/>
              </w:rPr>
              <w:t>2023/24</w:t>
            </w:r>
          </w:p>
        </w:tc>
        <w:tc>
          <w:tcPr>
            <w:tcW w:w="1001" w:type="dxa"/>
            <w:tcBorders>
              <w:top w:val="nil"/>
              <w:left w:val="nil"/>
              <w:bottom w:val="nil"/>
              <w:right w:val="single" w:sz="4" w:space="0" w:color="auto"/>
            </w:tcBorders>
            <w:shd w:val="clear" w:color="auto" w:fill="auto"/>
            <w:noWrap/>
            <w:vAlign w:val="bottom"/>
            <w:hideMark/>
          </w:tcPr>
          <w:p w14:paraId="36296595" w14:textId="77777777" w:rsidR="004C0913" w:rsidRPr="005B2804" w:rsidRDefault="004C0913">
            <w:pPr>
              <w:rPr>
                <w:rFonts w:ascii="Arial" w:hAnsi="Arial" w:cs="Arial"/>
                <w:b/>
                <w:bCs/>
                <w:color w:val="000000"/>
              </w:rPr>
            </w:pPr>
            <w:r w:rsidRPr="005B2804">
              <w:rPr>
                <w:rFonts w:ascii="Arial" w:hAnsi="Arial" w:cs="Arial"/>
                <w:b/>
                <w:bCs/>
                <w:color w:val="000000"/>
              </w:rPr>
              <w:t>2023/24</w:t>
            </w:r>
          </w:p>
        </w:tc>
        <w:tc>
          <w:tcPr>
            <w:tcW w:w="1072" w:type="dxa"/>
            <w:tcBorders>
              <w:top w:val="nil"/>
              <w:left w:val="nil"/>
              <w:bottom w:val="nil"/>
              <w:right w:val="single" w:sz="4" w:space="0" w:color="auto"/>
            </w:tcBorders>
            <w:shd w:val="clear" w:color="auto" w:fill="auto"/>
            <w:noWrap/>
            <w:vAlign w:val="bottom"/>
            <w:hideMark/>
          </w:tcPr>
          <w:p w14:paraId="6D2ACE2E" w14:textId="77777777" w:rsidR="004C0913" w:rsidRPr="005B2804" w:rsidRDefault="004C0913">
            <w:pPr>
              <w:rPr>
                <w:rFonts w:ascii="Arial" w:hAnsi="Arial" w:cs="Arial"/>
                <w:b/>
                <w:bCs/>
                <w:color w:val="000000"/>
              </w:rPr>
            </w:pPr>
            <w:r w:rsidRPr="005B2804">
              <w:rPr>
                <w:rFonts w:ascii="Arial" w:hAnsi="Arial" w:cs="Arial"/>
                <w:b/>
                <w:bCs/>
                <w:color w:val="000000"/>
              </w:rPr>
              <w:t>2024/25</w:t>
            </w:r>
          </w:p>
        </w:tc>
        <w:tc>
          <w:tcPr>
            <w:tcW w:w="1072" w:type="dxa"/>
            <w:tcBorders>
              <w:top w:val="nil"/>
              <w:left w:val="nil"/>
              <w:bottom w:val="nil"/>
              <w:right w:val="single" w:sz="4" w:space="0" w:color="auto"/>
            </w:tcBorders>
            <w:shd w:val="clear" w:color="auto" w:fill="auto"/>
            <w:noWrap/>
            <w:vAlign w:val="bottom"/>
            <w:hideMark/>
          </w:tcPr>
          <w:p w14:paraId="1E34BEBD" w14:textId="77777777" w:rsidR="004C0913" w:rsidRPr="005B2804" w:rsidRDefault="004C0913">
            <w:pPr>
              <w:rPr>
                <w:rFonts w:ascii="Arial" w:hAnsi="Arial" w:cs="Arial"/>
                <w:b/>
                <w:bCs/>
                <w:color w:val="000000"/>
              </w:rPr>
            </w:pPr>
            <w:r w:rsidRPr="005B2804">
              <w:rPr>
                <w:rFonts w:ascii="Arial" w:hAnsi="Arial" w:cs="Arial"/>
                <w:b/>
                <w:bCs/>
                <w:color w:val="000000"/>
              </w:rPr>
              <w:t>2025/26</w:t>
            </w:r>
          </w:p>
        </w:tc>
        <w:tc>
          <w:tcPr>
            <w:tcW w:w="1072" w:type="dxa"/>
            <w:tcBorders>
              <w:top w:val="nil"/>
              <w:left w:val="nil"/>
              <w:bottom w:val="nil"/>
              <w:right w:val="single" w:sz="4" w:space="0" w:color="auto"/>
            </w:tcBorders>
            <w:shd w:val="clear" w:color="auto" w:fill="auto"/>
            <w:noWrap/>
            <w:vAlign w:val="bottom"/>
            <w:hideMark/>
          </w:tcPr>
          <w:p w14:paraId="68860E3B" w14:textId="77777777" w:rsidR="004C0913" w:rsidRPr="005B2804" w:rsidRDefault="004C0913">
            <w:pPr>
              <w:rPr>
                <w:rFonts w:ascii="Arial" w:hAnsi="Arial" w:cs="Arial"/>
                <w:b/>
                <w:bCs/>
                <w:color w:val="000000"/>
              </w:rPr>
            </w:pPr>
            <w:r w:rsidRPr="005B2804">
              <w:rPr>
                <w:rFonts w:ascii="Arial" w:hAnsi="Arial" w:cs="Arial"/>
                <w:b/>
                <w:bCs/>
                <w:color w:val="000000"/>
              </w:rPr>
              <w:t>2026/27</w:t>
            </w:r>
          </w:p>
        </w:tc>
      </w:tr>
      <w:tr w:rsidR="004C0913" w:rsidRPr="004C0913" w14:paraId="1A96BDBA" w14:textId="77777777" w:rsidTr="004C0913">
        <w:trPr>
          <w:trHeight w:val="321"/>
        </w:trPr>
        <w:tc>
          <w:tcPr>
            <w:tcW w:w="3597" w:type="dxa"/>
            <w:tcBorders>
              <w:top w:val="nil"/>
              <w:left w:val="single" w:sz="4" w:space="0" w:color="auto"/>
              <w:bottom w:val="nil"/>
              <w:right w:val="single" w:sz="4" w:space="0" w:color="auto"/>
            </w:tcBorders>
            <w:shd w:val="clear" w:color="auto" w:fill="auto"/>
            <w:noWrap/>
            <w:vAlign w:val="bottom"/>
            <w:hideMark/>
          </w:tcPr>
          <w:p w14:paraId="2ADA804B" w14:textId="77777777" w:rsidR="004C0913" w:rsidRPr="004C0913" w:rsidRDefault="004C0913">
            <w:pPr>
              <w:rPr>
                <w:rFonts w:ascii="Arial" w:hAnsi="Arial" w:cs="Arial"/>
                <w:color w:val="000000"/>
                <w:sz w:val="22"/>
                <w:szCs w:val="22"/>
              </w:rPr>
            </w:pPr>
            <w:r w:rsidRPr="004C0913">
              <w:rPr>
                <w:rFonts w:ascii="Arial" w:hAnsi="Arial" w:cs="Arial"/>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1B78960A" w14:textId="77777777" w:rsidR="004C0913" w:rsidRPr="005B2804" w:rsidRDefault="004C0913">
            <w:pPr>
              <w:rPr>
                <w:rFonts w:ascii="Arial" w:hAnsi="Arial" w:cs="Arial"/>
                <w:b/>
                <w:bCs/>
                <w:color w:val="000000"/>
              </w:rPr>
            </w:pPr>
            <w:r w:rsidRPr="005B2804">
              <w:rPr>
                <w:rFonts w:ascii="Arial" w:hAnsi="Arial" w:cs="Arial"/>
                <w:b/>
                <w:bCs/>
                <w:color w:val="000000"/>
              </w:rPr>
              <w:t>Original</w:t>
            </w:r>
          </w:p>
        </w:tc>
        <w:tc>
          <w:tcPr>
            <w:tcW w:w="1001" w:type="dxa"/>
            <w:tcBorders>
              <w:top w:val="nil"/>
              <w:left w:val="nil"/>
              <w:bottom w:val="nil"/>
              <w:right w:val="single" w:sz="4" w:space="0" w:color="auto"/>
            </w:tcBorders>
            <w:shd w:val="clear" w:color="auto" w:fill="auto"/>
            <w:noWrap/>
            <w:vAlign w:val="bottom"/>
            <w:hideMark/>
          </w:tcPr>
          <w:p w14:paraId="7C20BA79" w14:textId="77777777" w:rsidR="004C0913" w:rsidRPr="005B2804" w:rsidRDefault="004C0913">
            <w:pPr>
              <w:rPr>
                <w:rFonts w:ascii="Arial" w:hAnsi="Arial" w:cs="Arial"/>
                <w:b/>
                <w:bCs/>
                <w:color w:val="000000"/>
              </w:rPr>
            </w:pPr>
            <w:r w:rsidRPr="005B2804">
              <w:rPr>
                <w:rFonts w:ascii="Arial" w:hAnsi="Arial" w:cs="Arial"/>
                <w:b/>
                <w:bCs/>
                <w:color w:val="000000"/>
              </w:rPr>
              <w:t>Revised</w:t>
            </w:r>
          </w:p>
        </w:tc>
        <w:tc>
          <w:tcPr>
            <w:tcW w:w="1072" w:type="dxa"/>
            <w:tcBorders>
              <w:top w:val="nil"/>
              <w:left w:val="nil"/>
              <w:bottom w:val="nil"/>
              <w:right w:val="single" w:sz="4" w:space="0" w:color="auto"/>
            </w:tcBorders>
            <w:shd w:val="clear" w:color="auto" w:fill="auto"/>
            <w:noWrap/>
            <w:vAlign w:val="bottom"/>
            <w:hideMark/>
          </w:tcPr>
          <w:p w14:paraId="0E9EA0AE" w14:textId="77777777" w:rsidR="004C0913" w:rsidRPr="005B2804" w:rsidRDefault="004C0913">
            <w:pPr>
              <w:rPr>
                <w:rFonts w:ascii="Arial" w:hAnsi="Arial" w:cs="Arial"/>
                <w:b/>
                <w:bCs/>
                <w:color w:val="000000"/>
              </w:rPr>
            </w:pPr>
            <w:r w:rsidRPr="005B2804">
              <w:rPr>
                <w:rFonts w:ascii="Arial" w:hAnsi="Arial" w:cs="Arial"/>
                <w:b/>
                <w:bCs/>
                <w:color w:val="000000"/>
              </w:rPr>
              <w:t>Estimate</w:t>
            </w:r>
          </w:p>
        </w:tc>
        <w:tc>
          <w:tcPr>
            <w:tcW w:w="1072" w:type="dxa"/>
            <w:tcBorders>
              <w:top w:val="nil"/>
              <w:left w:val="nil"/>
              <w:bottom w:val="nil"/>
              <w:right w:val="single" w:sz="4" w:space="0" w:color="auto"/>
            </w:tcBorders>
            <w:shd w:val="clear" w:color="auto" w:fill="auto"/>
            <w:noWrap/>
            <w:vAlign w:val="bottom"/>
            <w:hideMark/>
          </w:tcPr>
          <w:p w14:paraId="7686FC43" w14:textId="77777777" w:rsidR="004C0913" w:rsidRPr="005B2804" w:rsidRDefault="004C0913">
            <w:pPr>
              <w:rPr>
                <w:rFonts w:ascii="Arial" w:hAnsi="Arial" w:cs="Arial"/>
                <w:b/>
                <w:bCs/>
                <w:color w:val="000000"/>
              </w:rPr>
            </w:pPr>
            <w:r w:rsidRPr="005B2804">
              <w:rPr>
                <w:rFonts w:ascii="Arial" w:hAnsi="Arial" w:cs="Arial"/>
                <w:b/>
                <w:bCs/>
                <w:color w:val="000000"/>
              </w:rPr>
              <w:t>Estimate</w:t>
            </w:r>
          </w:p>
        </w:tc>
        <w:tc>
          <w:tcPr>
            <w:tcW w:w="1072" w:type="dxa"/>
            <w:tcBorders>
              <w:top w:val="nil"/>
              <w:left w:val="nil"/>
              <w:bottom w:val="nil"/>
              <w:right w:val="single" w:sz="4" w:space="0" w:color="auto"/>
            </w:tcBorders>
            <w:shd w:val="clear" w:color="auto" w:fill="auto"/>
            <w:noWrap/>
            <w:vAlign w:val="bottom"/>
            <w:hideMark/>
          </w:tcPr>
          <w:p w14:paraId="33889A5D" w14:textId="77777777" w:rsidR="004C0913" w:rsidRPr="005B2804" w:rsidRDefault="004C0913">
            <w:pPr>
              <w:rPr>
                <w:rFonts w:ascii="Arial" w:hAnsi="Arial" w:cs="Arial"/>
                <w:b/>
                <w:bCs/>
                <w:color w:val="000000"/>
              </w:rPr>
            </w:pPr>
            <w:r w:rsidRPr="005B2804">
              <w:rPr>
                <w:rFonts w:ascii="Arial" w:hAnsi="Arial" w:cs="Arial"/>
                <w:b/>
                <w:bCs/>
                <w:color w:val="000000"/>
              </w:rPr>
              <w:t>Estimate</w:t>
            </w:r>
          </w:p>
        </w:tc>
      </w:tr>
      <w:tr w:rsidR="004C0913" w:rsidRPr="004C0913" w14:paraId="31F09B1F" w14:textId="77777777" w:rsidTr="004C0913">
        <w:trPr>
          <w:trHeight w:val="321"/>
        </w:trPr>
        <w:tc>
          <w:tcPr>
            <w:tcW w:w="3597" w:type="dxa"/>
            <w:tcBorders>
              <w:top w:val="nil"/>
              <w:left w:val="single" w:sz="4" w:space="0" w:color="auto"/>
              <w:bottom w:val="nil"/>
              <w:right w:val="single" w:sz="4" w:space="0" w:color="auto"/>
            </w:tcBorders>
            <w:shd w:val="clear" w:color="auto" w:fill="auto"/>
            <w:noWrap/>
            <w:vAlign w:val="bottom"/>
            <w:hideMark/>
          </w:tcPr>
          <w:p w14:paraId="23F9372E" w14:textId="77777777" w:rsidR="004C0913" w:rsidRPr="004C0913" w:rsidRDefault="004C0913">
            <w:pPr>
              <w:rPr>
                <w:rFonts w:ascii="Arial" w:hAnsi="Arial" w:cs="Arial"/>
                <w:color w:val="000000"/>
                <w:sz w:val="22"/>
                <w:szCs w:val="22"/>
              </w:rPr>
            </w:pPr>
            <w:r w:rsidRPr="004C0913">
              <w:rPr>
                <w:rFonts w:ascii="Arial" w:hAnsi="Arial" w:cs="Arial"/>
                <w:color w:val="000000"/>
                <w:sz w:val="22"/>
                <w:szCs w:val="22"/>
              </w:rPr>
              <w:t> </w:t>
            </w:r>
          </w:p>
        </w:tc>
        <w:tc>
          <w:tcPr>
            <w:tcW w:w="989" w:type="dxa"/>
            <w:tcBorders>
              <w:top w:val="nil"/>
              <w:left w:val="nil"/>
              <w:bottom w:val="single" w:sz="4" w:space="0" w:color="auto"/>
              <w:right w:val="single" w:sz="4" w:space="0" w:color="auto"/>
            </w:tcBorders>
            <w:shd w:val="clear" w:color="auto" w:fill="auto"/>
            <w:noWrap/>
            <w:vAlign w:val="bottom"/>
            <w:hideMark/>
          </w:tcPr>
          <w:p w14:paraId="2AC69270" w14:textId="77777777" w:rsidR="004C0913" w:rsidRPr="005B2804" w:rsidRDefault="004C0913">
            <w:pPr>
              <w:jc w:val="center"/>
              <w:rPr>
                <w:rFonts w:ascii="Arial" w:hAnsi="Arial" w:cs="Arial"/>
                <w:b/>
                <w:bCs/>
                <w:color w:val="000000"/>
              </w:rPr>
            </w:pPr>
            <w:r w:rsidRPr="005B2804">
              <w:rPr>
                <w:rFonts w:ascii="Arial" w:hAnsi="Arial" w:cs="Arial"/>
                <w:b/>
                <w:bCs/>
                <w:color w:val="000000"/>
              </w:rPr>
              <w:t>£000's</w:t>
            </w:r>
          </w:p>
        </w:tc>
        <w:tc>
          <w:tcPr>
            <w:tcW w:w="1001" w:type="dxa"/>
            <w:tcBorders>
              <w:top w:val="nil"/>
              <w:left w:val="nil"/>
              <w:bottom w:val="single" w:sz="4" w:space="0" w:color="auto"/>
              <w:right w:val="single" w:sz="4" w:space="0" w:color="auto"/>
            </w:tcBorders>
            <w:shd w:val="clear" w:color="auto" w:fill="auto"/>
            <w:noWrap/>
            <w:vAlign w:val="bottom"/>
            <w:hideMark/>
          </w:tcPr>
          <w:p w14:paraId="1EECAB68" w14:textId="77777777" w:rsidR="004C0913" w:rsidRPr="005B2804" w:rsidRDefault="004C0913">
            <w:pPr>
              <w:jc w:val="center"/>
              <w:rPr>
                <w:rFonts w:ascii="Arial" w:hAnsi="Arial" w:cs="Arial"/>
                <w:b/>
                <w:bCs/>
                <w:color w:val="000000"/>
              </w:rPr>
            </w:pPr>
            <w:r w:rsidRPr="005B2804">
              <w:rPr>
                <w:rFonts w:ascii="Arial" w:hAnsi="Arial" w:cs="Arial"/>
                <w:b/>
                <w:bCs/>
                <w:color w:val="000000"/>
              </w:rPr>
              <w:t>£000's</w:t>
            </w:r>
          </w:p>
        </w:tc>
        <w:tc>
          <w:tcPr>
            <w:tcW w:w="1072" w:type="dxa"/>
            <w:tcBorders>
              <w:top w:val="nil"/>
              <w:left w:val="nil"/>
              <w:bottom w:val="single" w:sz="4" w:space="0" w:color="auto"/>
              <w:right w:val="single" w:sz="4" w:space="0" w:color="auto"/>
            </w:tcBorders>
            <w:shd w:val="clear" w:color="auto" w:fill="auto"/>
            <w:noWrap/>
            <w:vAlign w:val="bottom"/>
            <w:hideMark/>
          </w:tcPr>
          <w:p w14:paraId="78786AA7" w14:textId="77777777" w:rsidR="004C0913" w:rsidRPr="005B2804" w:rsidRDefault="004C0913">
            <w:pPr>
              <w:jc w:val="center"/>
              <w:rPr>
                <w:rFonts w:ascii="Arial" w:hAnsi="Arial" w:cs="Arial"/>
                <w:b/>
                <w:bCs/>
                <w:color w:val="000000"/>
              </w:rPr>
            </w:pPr>
            <w:r w:rsidRPr="005B2804">
              <w:rPr>
                <w:rFonts w:ascii="Arial" w:hAnsi="Arial" w:cs="Arial"/>
                <w:b/>
                <w:bCs/>
                <w:color w:val="000000"/>
              </w:rPr>
              <w:t>£000's</w:t>
            </w:r>
          </w:p>
        </w:tc>
        <w:tc>
          <w:tcPr>
            <w:tcW w:w="1072" w:type="dxa"/>
            <w:tcBorders>
              <w:top w:val="nil"/>
              <w:left w:val="nil"/>
              <w:bottom w:val="single" w:sz="4" w:space="0" w:color="auto"/>
              <w:right w:val="single" w:sz="4" w:space="0" w:color="auto"/>
            </w:tcBorders>
            <w:shd w:val="clear" w:color="auto" w:fill="auto"/>
            <w:noWrap/>
            <w:vAlign w:val="bottom"/>
            <w:hideMark/>
          </w:tcPr>
          <w:p w14:paraId="3EA07983" w14:textId="77777777" w:rsidR="004C0913" w:rsidRPr="005B2804" w:rsidRDefault="004C0913">
            <w:pPr>
              <w:jc w:val="center"/>
              <w:rPr>
                <w:rFonts w:ascii="Arial" w:hAnsi="Arial" w:cs="Arial"/>
                <w:b/>
                <w:bCs/>
                <w:color w:val="000000"/>
              </w:rPr>
            </w:pPr>
            <w:r w:rsidRPr="005B2804">
              <w:rPr>
                <w:rFonts w:ascii="Arial" w:hAnsi="Arial" w:cs="Arial"/>
                <w:b/>
                <w:bCs/>
                <w:color w:val="000000"/>
              </w:rPr>
              <w:t>£000's</w:t>
            </w:r>
          </w:p>
        </w:tc>
        <w:tc>
          <w:tcPr>
            <w:tcW w:w="1072" w:type="dxa"/>
            <w:tcBorders>
              <w:top w:val="nil"/>
              <w:left w:val="nil"/>
              <w:bottom w:val="single" w:sz="4" w:space="0" w:color="auto"/>
              <w:right w:val="single" w:sz="4" w:space="0" w:color="auto"/>
            </w:tcBorders>
            <w:shd w:val="clear" w:color="auto" w:fill="auto"/>
            <w:noWrap/>
            <w:vAlign w:val="bottom"/>
            <w:hideMark/>
          </w:tcPr>
          <w:p w14:paraId="2D625F59" w14:textId="77777777" w:rsidR="004C0913" w:rsidRPr="005B2804" w:rsidRDefault="004C0913">
            <w:pPr>
              <w:jc w:val="center"/>
              <w:rPr>
                <w:rFonts w:ascii="Arial" w:hAnsi="Arial" w:cs="Arial"/>
                <w:b/>
                <w:bCs/>
                <w:color w:val="000000"/>
              </w:rPr>
            </w:pPr>
            <w:r w:rsidRPr="005B2804">
              <w:rPr>
                <w:rFonts w:ascii="Arial" w:hAnsi="Arial" w:cs="Arial"/>
                <w:b/>
                <w:bCs/>
                <w:color w:val="000000"/>
              </w:rPr>
              <w:t>£000's</w:t>
            </w:r>
          </w:p>
        </w:tc>
      </w:tr>
      <w:tr w:rsidR="004C0913" w:rsidRPr="004C0913" w14:paraId="19DE737C" w14:textId="77777777" w:rsidTr="004C0913">
        <w:trPr>
          <w:trHeight w:val="321"/>
        </w:trPr>
        <w:tc>
          <w:tcPr>
            <w:tcW w:w="3597" w:type="dxa"/>
            <w:tcBorders>
              <w:top w:val="nil"/>
              <w:left w:val="single" w:sz="4" w:space="0" w:color="auto"/>
              <w:bottom w:val="nil"/>
              <w:right w:val="single" w:sz="4" w:space="0" w:color="auto"/>
            </w:tcBorders>
            <w:shd w:val="clear" w:color="auto" w:fill="auto"/>
            <w:noWrap/>
            <w:vAlign w:val="bottom"/>
            <w:hideMark/>
          </w:tcPr>
          <w:p w14:paraId="767BBA2B" w14:textId="77777777" w:rsidR="004C0913" w:rsidRPr="005B2804" w:rsidRDefault="004C0913">
            <w:pPr>
              <w:rPr>
                <w:rFonts w:ascii="Arial" w:hAnsi="Arial" w:cs="Arial"/>
                <w:b/>
                <w:bCs/>
                <w:color w:val="000000"/>
              </w:rPr>
            </w:pPr>
            <w:r w:rsidRPr="005B2804">
              <w:rPr>
                <w:rFonts w:ascii="Arial" w:hAnsi="Arial" w:cs="Arial"/>
                <w:b/>
                <w:bCs/>
                <w:color w:val="000000"/>
              </w:rPr>
              <w:t>Revenue Budget Heading</w:t>
            </w:r>
          </w:p>
        </w:tc>
        <w:tc>
          <w:tcPr>
            <w:tcW w:w="989" w:type="dxa"/>
            <w:tcBorders>
              <w:top w:val="nil"/>
              <w:left w:val="nil"/>
              <w:bottom w:val="nil"/>
              <w:right w:val="single" w:sz="4" w:space="0" w:color="auto"/>
            </w:tcBorders>
            <w:shd w:val="clear" w:color="auto" w:fill="auto"/>
            <w:noWrap/>
            <w:vAlign w:val="bottom"/>
            <w:hideMark/>
          </w:tcPr>
          <w:p w14:paraId="03A1EF86" w14:textId="77777777" w:rsidR="004C0913" w:rsidRPr="005B2804" w:rsidRDefault="004C0913">
            <w:pPr>
              <w:jc w:val="center"/>
              <w:rPr>
                <w:rFonts w:ascii="Arial" w:hAnsi="Arial" w:cs="Arial"/>
                <w:color w:val="000000"/>
              </w:rPr>
            </w:pPr>
            <w:r w:rsidRPr="005B2804">
              <w:rPr>
                <w:rFonts w:ascii="Arial" w:hAnsi="Arial" w:cs="Arial"/>
                <w:color w:val="000000"/>
              </w:rPr>
              <w:t> </w:t>
            </w:r>
          </w:p>
        </w:tc>
        <w:tc>
          <w:tcPr>
            <w:tcW w:w="1001" w:type="dxa"/>
            <w:tcBorders>
              <w:top w:val="nil"/>
              <w:left w:val="nil"/>
              <w:bottom w:val="nil"/>
              <w:right w:val="single" w:sz="4" w:space="0" w:color="auto"/>
            </w:tcBorders>
            <w:shd w:val="clear" w:color="auto" w:fill="auto"/>
            <w:noWrap/>
            <w:vAlign w:val="bottom"/>
            <w:hideMark/>
          </w:tcPr>
          <w:p w14:paraId="766E8A5E" w14:textId="77777777" w:rsidR="004C0913" w:rsidRPr="005B2804" w:rsidRDefault="004C0913">
            <w:pPr>
              <w:jc w:val="center"/>
              <w:rPr>
                <w:rFonts w:ascii="Arial" w:hAnsi="Arial" w:cs="Arial"/>
                <w:color w:val="000000"/>
              </w:rPr>
            </w:pPr>
            <w:r w:rsidRPr="005B2804">
              <w:rPr>
                <w:rFonts w:ascii="Arial" w:hAnsi="Arial" w:cs="Arial"/>
                <w:color w:val="000000"/>
              </w:rPr>
              <w:t> </w:t>
            </w:r>
          </w:p>
        </w:tc>
        <w:tc>
          <w:tcPr>
            <w:tcW w:w="1072" w:type="dxa"/>
            <w:tcBorders>
              <w:top w:val="nil"/>
              <w:left w:val="nil"/>
              <w:bottom w:val="nil"/>
              <w:right w:val="single" w:sz="4" w:space="0" w:color="auto"/>
            </w:tcBorders>
            <w:shd w:val="clear" w:color="auto" w:fill="auto"/>
            <w:noWrap/>
            <w:vAlign w:val="bottom"/>
            <w:hideMark/>
          </w:tcPr>
          <w:p w14:paraId="09BF3C2D" w14:textId="77777777" w:rsidR="004C0913" w:rsidRPr="005B2804" w:rsidRDefault="004C0913">
            <w:pPr>
              <w:jc w:val="center"/>
              <w:rPr>
                <w:rFonts w:ascii="Arial" w:hAnsi="Arial" w:cs="Arial"/>
                <w:color w:val="000000"/>
              </w:rPr>
            </w:pPr>
            <w:r w:rsidRPr="005B2804">
              <w:rPr>
                <w:rFonts w:ascii="Arial" w:hAnsi="Arial" w:cs="Arial"/>
                <w:color w:val="000000"/>
              </w:rPr>
              <w:t> </w:t>
            </w:r>
          </w:p>
        </w:tc>
        <w:tc>
          <w:tcPr>
            <w:tcW w:w="1072" w:type="dxa"/>
            <w:tcBorders>
              <w:top w:val="nil"/>
              <w:left w:val="nil"/>
              <w:bottom w:val="nil"/>
              <w:right w:val="single" w:sz="4" w:space="0" w:color="auto"/>
            </w:tcBorders>
            <w:shd w:val="clear" w:color="auto" w:fill="auto"/>
            <w:noWrap/>
            <w:vAlign w:val="bottom"/>
            <w:hideMark/>
          </w:tcPr>
          <w:p w14:paraId="08743FED" w14:textId="77777777" w:rsidR="004C0913" w:rsidRPr="005B2804" w:rsidRDefault="004C0913">
            <w:pPr>
              <w:jc w:val="center"/>
              <w:rPr>
                <w:rFonts w:ascii="Arial" w:hAnsi="Arial" w:cs="Arial"/>
                <w:color w:val="000000"/>
              </w:rPr>
            </w:pPr>
            <w:r w:rsidRPr="005B2804">
              <w:rPr>
                <w:rFonts w:ascii="Arial" w:hAnsi="Arial" w:cs="Arial"/>
                <w:color w:val="000000"/>
              </w:rPr>
              <w:t> </w:t>
            </w:r>
          </w:p>
        </w:tc>
        <w:tc>
          <w:tcPr>
            <w:tcW w:w="1072" w:type="dxa"/>
            <w:tcBorders>
              <w:top w:val="nil"/>
              <w:left w:val="nil"/>
              <w:bottom w:val="nil"/>
              <w:right w:val="single" w:sz="4" w:space="0" w:color="auto"/>
            </w:tcBorders>
            <w:shd w:val="clear" w:color="auto" w:fill="auto"/>
            <w:noWrap/>
            <w:vAlign w:val="bottom"/>
            <w:hideMark/>
          </w:tcPr>
          <w:p w14:paraId="6EC515B3" w14:textId="77777777" w:rsidR="004C0913" w:rsidRPr="005B2804" w:rsidRDefault="004C0913">
            <w:pPr>
              <w:jc w:val="center"/>
              <w:rPr>
                <w:rFonts w:ascii="Arial" w:hAnsi="Arial" w:cs="Arial"/>
                <w:color w:val="000000"/>
              </w:rPr>
            </w:pPr>
            <w:r w:rsidRPr="005B2804">
              <w:rPr>
                <w:rFonts w:ascii="Arial" w:hAnsi="Arial" w:cs="Arial"/>
                <w:color w:val="000000"/>
              </w:rPr>
              <w:t> </w:t>
            </w:r>
          </w:p>
        </w:tc>
      </w:tr>
      <w:tr w:rsidR="004C0913" w:rsidRPr="004C0913" w14:paraId="417A218B" w14:textId="77777777" w:rsidTr="004C0913">
        <w:trPr>
          <w:trHeight w:val="306"/>
        </w:trPr>
        <w:tc>
          <w:tcPr>
            <w:tcW w:w="3597" w:type="dxa"/>
            <w:tcBorders>
              <w:top w:val="nil"/>
              <w:left w:val="single" w:sz="4" w:space="0" w:color="auto"/>
              <w:bottom w:val="nil"/>
              <w:right w:val="single" w:sz="4" w:space="0" w:color="auto"/>
            </w:tcBorders>
            <w:shd w:val="clear" w:color="auto" w:fill="auto"/>
            <w:noWrap/>
            <w:vAlign w:val="bottom"/>
            <w:hideMark/>
          </w:tcPr>
          <w:p w14:paraId="06010E7A" w14:textId="77777777" w:rsidR="004C0913" w:rsidRPr="005B2804" w:rsidRDefault="004C0913">
            <w:pPr>
              <w:rPr>
                <w:rFonts w:ascii="Arial" w:hAnsi="Arial" w:cs="Arial"/>
                <w:color w:val="000000"/>
              </w:rPr>
            </w:pPr>
            <w:r w:rsidRPr="005B2804">
              <w:rPr>
                <w:rFonts w:ascii="Arial" w:hAnsi="Arial" w:cs="Arial"/>
                <w:color w:val="000000"/>
              </w:rPr>
              <w:t>Interest on Borrowing</w:t>
            </w:r>
          </w:p>
        </w:tc>
        <w:tc>
          <w:tcPr>
            <w:tcW w:w="989" w:type="dxa"/>
            <w:tcBorders>
              <w:top w:val="nil"/>
              <w:left w:val="nil"/>
              <w:bottom w:val="nil"/>
              <w:right w:val="single" w:sz="4" w:space="0" w:color="auto"/>
            </w:tcBorders>
            <w:shd w:val="clear" w:color="auto" w:fill="auto"/>
            <w:noWrap/>
            <w:vAlign w:val="bottom"/>
            <w:hideMark/>
          </w:tcPr>
          <w:p w14:paraId="71951B29" w14:textId="77777777" w:rsidR="004C0913" w:rsidRPr="005B2804" w:rsidRDefault="004C0913">
            <w:pPr>
              <w:jc w:val="right"/>
              <w:rPr>
                <w:rFonts w:ascii="Arial" w:hAnsi="Arial" w:cs="Arial"/>
                <w:color w:val="000000"/>
              </w:rPr>
            </w:pPr>
            <w:r w:rsidRPr="005B2804">
              <w:rPr>
                <w:rFonts w:ascii="Arial" w:hAnsi="Arial" w:cs="Arial"/>
                <w:color w:val="000000"/>
              </w:rPr>
              <w:t>653</w:t>
            </w:r>
          </w:p>
        </w:tc>
        <w:tc>
          <w:tcPr>
            <w:tcW w:w="1001" w:type="dxa"/>
            <w:tcBorders>
              <w:top w:val="nil"/>
              <w:left w:val="nil"/>
              <w:bottom w:val="nil"/>
              <w:right w:val="single" w:sz="4" w:space="0" w:color="auto"/>
            </w:tcBorders>
            <w:shd w:val="clear" w:color="auto" w:fill="auto"/>
            <w:noWrap/>
            <w:vAlign w:val="bottom"/>
            <w:hideMark/>
          </w:tcPr>
          <w:p w14:paraId="003FE09F" w14:textId="77777777" w:rsidR="004C0913" w:rsidRPr="005B2804" w:rsidRDefault="004C0913">
            <w:pPr>
              <w:jc w:val="right"/>
              <w:rPr>
                <w:rFonts w:ascii="Arial" w:hAnsi="Arial" w:cs="Arial"/>
                <w:color w:val="000000"/>
              </w:rPr>
            </w:pPr>
            <w:r w:rsidRPr="005B2804">
              <w:rPr>
                <w:rFonts w:ascii="Arial" w:hAnsi="Arial" w:cs="Arial"/>
                <w:color w:val="000000"/>
              </w:rPr>
              <w:t>0</w:t>
            </w:r>
          </w:p>
        </w:tc>
        <w:tc>
          <w:tcPr>
            <w:tcW w:w="1072" w:type="dxa"/>
            <w:tcBorders>
              <w:top w:val="nil"/>
              <w:left w:val="nil"/>
              <w:bottom w:val="nil"/>
              <w:right w:val="single" w:sz="4" w:space="0" w:color="auto"/>
            </w:tcBorders>
            <w:shd w:val="clear" w:color="auto" w:fill="auto"/>
            <w:noWrap/>
            <w:vAlign w:val="bottom"/>
            <w:hideMark/>
          </w:tcPr>
          <w:p w14:paraId="2D98D674" w14:textId="77777777" w:rsidR="004C0913" w:rsidRPr="005B2804" w:rsidRDefault="004C0913">
            <w:pPr>
              <w:jc w:val="right"/>
              <w:rPr>
                <w:rFonts w:ascii="Arial" w:hAnsi="Arial" w:cs="Arial"/>
                <w:color w:val="000000"/>
              </w:rPr>
            </w:pPr>
            <w:r w:rsidRPr="005B2804">
              <w:rPr>
                <w:rFonts w:ascii="Arial" w:hAnsi="Arial" w:cs="Arial"/>
                <w:color w:val="000000"/>
              </w:rPr>
              <w:t>668</w:t>
            </w:r>
          </w:p>
        </w:tc>
        <w:tc>
          <w:tcPr>
            <w:tcW w:w="1072" w:type="dxa"/>
            <w:tcBorders>
              <w:top w:val="nil"/>
              <w:left w:val="nil"/>
              <w:bottom w:val="nil"/>
              <w:right w:val="single" w:sz="4" w:space="0" w:color="auto"/>
            </w:tcBorders>
            <w:shd w:val="clear" w:color="auto" w:fill="auto"/>
            <w:noWrap/>
            <w:vAlign w:val="bottom"/>
            <w:hideMark/>
          </w:tcPr>
          <w:p w14:paraId="5B67FDCD" w14:textId="77777777" w:rsidR="004C0913" w:rsidRPr="005B2804" w:rsidRDefault="004C0913">
            <w:pPr>
              <w:jc w:val="right"/>
              <w:rPr>
                <w:rFonts w:ascii="Arial" w:hAnsi="Arial" w:cs="Arial"/>
                <w:color w:val="000000"/>
              </w:rPr>
            </w:pPr>
            <w:r w:rsidRPr="005B2804">
              <w:rPr>
                <w:rFonts w:ascii="Arial" w:hAnsi="Arial" w:cs="Arial"/>
                <w:color w:val="000000"/>
              </w:rPr>
              <w:t>814</w:t>
            </w:r>
          </w:p>
        </w:tc>
        <w:tc>
          <w:tcPr>
            <w:tcW w:w="1072" w:type="dxa"/>
            <w:tcBorders>
              <w:top w:val="nil"/>
              <w:left w:val="nil"/>
              <w:bottom w:val="nil"/>
              <w:right w:val="single" w:sz="4" w:space="0" w:color="auto"/>
            </w:tcBorders>
            <w:shd w:val="clear" w:color="auto" w:fill="auto"/>
            <w:noWrap/>
            <w:vAlign w:val="bottom"/>
            <w:hideMark/>
          </w:tcPr>
          <w:p w14:paraId="3F808BA5" w14:textId="77777777" w:rsidR="004C0913" w:rsidRPr="005B2804" w:rsidRDefault="004C0913">
            <w:pPr>
              <w:jc w:val="right"/>
              <w:rPr>
                <w:rFonts w:ascii="Arial" w:hAnsi="Arial" w:cs="Arial"/>
                <w:color w:val="000000"/>
              </w:rPr>
            </w:pPr>
            <w:r w:rsidRPr="005B2804">
              <w:rPr>
                <w:rFonts w:ascii="Arial" w:hAnsi="Arial" w:cs="Arial"/>
                <w:color w:val="000000"/>
              </w:rPr>
              <w:t>1,104</w:t>
            </w:r>
          </w:p>
        </w:tc>
      </w:tr>
      <w:tr w:rsidR="004C0913" w:rsidRPr="004C0913" w14:paraId="13CF81AB" w14:textId="77777777" w:rsidTr="004C0913">
        <w:trPr>
          <w:trHeight w:val="306"/>
        </w:trPr>
        <w:tc>
          <w:tcPr>
            <w:tcW w:w="3597" w:type="dxa"/>
            <w:tcBorders>
              <w:top w:val="nil"/>
              <w:left w:val="single" w:sz="4" w:space="0" w:color="auto"/>
              <w:bottom w:val="nil"/>
              <w:right w:val="single" w:sz="4" w:space="0" w:color="auto"/>
            </w:tcBorders>
            <w:shd w:val="clear" w:color="auto" w:fill="auto"/>
            <w:noWrap/>
            <w:vAlign w:val="bottom"/>
            <w:hideMark/>
          </w:tcPr>
          <w:p w14:paraId="05659ADB" w14:textId="77777777" w:rsidR="004C0913" w:rsidRPr="005B2804" w:rsidRDefault="004C0913">
            <w:pPr>
              <w:rPr>
                <w:rFonts w:ascii="Arial" w:hAnsi="Arial" w:cs="Arial"/>
                <w:color w:val="000000"/>
              </w:rPr>
            </w:pPr>
            <w:r w:rsidRPr="005B2804">
              <w:rPr>
                <w:rFonts w:ascii="Arial" w:hAnsi="Arial" w:cs="Arial"/>
                <w:color w:val="000000"/>
              </w:rPr>
              <w:t>Investment Income</w:t>
            </w:r>
          </w:p>
        </w:tc>
        <w:tc>
          <w:tcPr>
            <w:tcW w:w="989" w:type="dxa"/>
            <w:tcBorders>
              <w:top w:val="nil"/>
              <w:left w:val="nil"/>
              <w:bottom w:val="nil"/>
              <w:right w:val="single" w:sz="4" w:space="0" w:color="auto"/>
            </w:tcBorders>
            <w:shd w:val="clear" w:color="auto" w:fill="auto"/>
            <w:noWrap/>
            <w:vAlign w:val="bottom"/>
            <w:hideMark/>
          </w:tcPr>
          <w:p w14:paraId="25F2705E" w14:textId="77777777" w:rsidR="004C0913" w:rsidRPr="005B2804" w:rsidRDefault="004C0913">
            <w:pPr>
              <w:jc w:val="right"/>
              <w:rPr>
                <w:rFonts w:ascii="Arial" w:hAnsi="Arial" w:cs="Arial"/>
                <w:color w:val="000000"/>
              </w:rPr>
            </w:pPr>
            <w:r w:rsidRPr="005B2804">
              <w:rPr>
                <w:rFonts w:ascii="Arial" w:hAnsi="Arial" w:cs="Arial"/>
                <w:color w:val="000000"/>
              </w:rPr>
              <w:t>(400)</w:t>
            </w:r>
          </w:p>
        </w:tc>
        <w:tc>
          <w:tcPr>
            <w:tcW w:w="1001" w:type="dxa"/>
            <w:tcBorders>
              <w:top w:val="nil"/>
              <w:left w:val="nil"/>
              <w:bottom w:val="nil"/>
              <w:right w:val="single" w:sz="4" w:space="0" w:color="auto"/>
            </w:tcBorders>
            <w:shd w:val="clear" w:color="auto" w:fill="auto"/>
            <w:noWrap/>
            <w:vAlign w:val="bottom"/>
            <w:hideMark/>
          </w:tcPr>
          <w:p w14:paraId="60CD9173" w14:textId="77777777" w:rsidR="004C0913" w:rsidRPr="005B2804" w:rsidRDefault="004C0913">
            <w:pPr>
              <w:jc w:val="right"/>
              <w:rPr>
                <w:rFonts w:ascii="Arial" w:hAnsi="Arial" w:cs="Arial"/>
                <w:color w:val="000000"/>
              </w:rPr>
            </w:pPr>
            <w:r w:rsidRPr="005B2804">
              <w:rPr>
                <w:rFonts w:ascii="Arial" w:hAnsi="Arial" w:cs="Arial"/>
                <w:color w:val="000000"/>
              </w:rPr>
              <w:t>0</w:t>
            </w:r>
          </w:p>
        </w:tc>
        <w:tc>
          <w:tcPr>
            <w:tcW w:w="1072" w:type="dxa"/>
            <w:tcBorders>
              <w:top w:val="nil"/>
              <w:left w:val="nil"/>
              <w:bottom w:val="nil"/>
              <w:right w:val="single" w:sz="4" w:space="0" w:color="auto"/>
            </w:tcBorders>
            <w:shd w:val="clear" w:color="auto" w:fill="auto"/>
            <w:noWrap/>
            <w:vAlign w:val="bottom"/>
            <w:hideMark/>
          </w:tcPr>
          <w:p w14:paraId="4951D7AC" w14:textId="77777777" w:rsidR="004C0913" w:rsidRPr="005B2804" w:rsidRDefault="004C0913">
            <w:pPr>
              <w:jc w:val="right"/>
              <w:rPr>
                <w:rFonts w:ascii="Arial" w:hAnsi="Arial" w:cs="Arial"/>
                <w:color w:val="000000"/>
              </w:rPr>
            </w:pPr>
            <w:r w:rsidRPr="005B2804">
              <w:rPr>
                <w:rFonts w:ascii="Arial" w:hAnsi="Arial" w:cs="Arial"/>
                <w:color w:val="000000"/>
              </w:rPr>
              <w:t>(750)</w:t>
            </w:r>
          </w:p>
        </w:tc>
        <w:tc>
          <w:tcPr>
            <w:tcW w:w="1072" w:type="dxa"/>
            <w:tcBorders>
              <w:top w:val="nil"/>
              <w:left w:val="nil"/>
              <w:bottom w:val="nil"/>
              <w:right w:val="single" w:sz="4" w:space="0" w:color="auto"/>
            </w:tcBorders>
            <w:shd w:val="clear" w:color="auto" w:fill="auto"/>
            <w:noWrap/>
            <w:vAlign w:val="bottom"/>
            <w:hideMark/>
          </w:tcPr>
          <w:p w14:paraId="63CBB4BA" w14:textId="77777777" w:rsidR="004C0913" w:rsidRPr="005B2804" w:rsidRDefault="004C0913">
            <w:pPr>
              <w:jc w:val="right"/>
              <w:rPr>
                <w:rFonts w:ascii="Arial" w:hAnsi="Arial" w:cs="Arial"/>
                <w:color w:val="000000"/>
              </w:rPr>
            </w:pPr>
            <w:r w:rsidRPr="005B2804">
              <w:rPr>
                <w:rFonts w:ascii="Arial" w:hAnsi="Arial" w:cs="Arial"/>
                <w:color w:val="000000"/>
              </w:rPr>
              <w:t>(415)</w:t>
            </w:r>
          </w:p>
        </w:tc>
        <w:tc>
          <w:tcPr>
            <w:tcW w:w="1072" w:type="dxa"/>
            <w:tcBorders>
              <w:top w:val="nil"/>
              <w:left w:val="nil"/>
              <w:bottom w:val="nil"/>
              <w:right w:val="single" w:sz="4" w:space="0" w:color="auto"/>
            </w:tcBorders>
            <w:shd w:val="clear" w:color="auto" w:fill="auto"/>
            <w:noWrap/>
            <w:vAlign w:val="bottom"/>
            <w:hideMark/>
          </w:tcPr>
          <w:p w14:paraId="18E13C35" w14:textId="77777777" w:rsidR="004C0913" w:rsidRPr="005B2804" w:rsidRDefault="004C0913">
            <w:pPr>
              <w:jc w:val="right"/>
              <w:rPr>
                <w:rFonts w:ascii="Arial" w:hAnsi="Arial" w:cs="Arial"/>
                <w:color w:val="000000"/>
              </w:rPr>
            </w:pPr>
            <w:r w:rsidRPr="005B2804">
              <w:rPr>
                <w:rFonts w:ascii="Arial" w:hAnsi="Arial" w:cs="Arial"/>
                <w:color w:val="000000"/>
              </w:rPr>
              <w:t>(373)</w:t>
            </w:r>
          </w:p>
        </w:tc>
      </w:tr>
      <w:tr w:rsidR="004C0913" w:rsidRPr="004C0913" w14:paraId="1214CA5F" w14:textId="77777777" w:rsidTr="004C0913">
        <w:trPr>
          <w:trHeight w:val="321"/>
        </w:trPr>
        <w:tc>
          <w:tcPr>
            <w:tcW w:w="3597" w:type="dxa"/>
            <w:tcBorders>
              <w:top w:val="nil"/>
              <w:left w:val="single" w:sz="4" w:space="0" w:color="auto"/>
              <w:bottom w:val="single" w:sz="4" w:space="0" w:color="auto"/>
              <w:right w:val="single" w:sz="4" w:space="0" w:color="auto"/>
            </w:tcBorders>
            <w:shd w:val="clear" w:color="auto" w:fill="auto"/>
            <w:vAlign w:val="bottom"/>
            <w:hideMark/>
          </w:tcPr>
          <w:p w14:paraId="1AAE2A61" w14:textId="77777777" w:rsidR="004C0913" w:rsidRPr="005B2804" w:rsidRDefault="004C0913">
            <w:pPr>
              <w:rPr>
                <w:rFonts w:ascii="Arial" w:hAnsi="Arial" w:cs="Arial"/>
                <w:b/>
                <w:bCs/>
                <w:color w:val="000000"/>
              </w:rPr>
            </w:pPr>
            <w:r w:rsidRPr="005B2804">
              <w:rPr>
                <w:rFonts w:ascii="Arial" w:hAnsi="Arial" w:cs="Arial"/>
                <w:b/>
                <w:bCs/>
                <w:color w:val="000000"/>
              </w:rPr>
              <w:t>Net Police Fund Borrowing Cost</w:t>
            </w:r>
          </w:p>
        </w:tc>
        <w:tc>
          <w:tcPr>
            <w:tcW w:w="989" w:type="dxa"/>
            <w:tcBorders>
              <w:top w:val="single" w:sz="4" w:space="0" w:color="auto"/>
              <w:left w:val="nil"/>
              <w:bottom w:val="single" w:sz="4" w:space="0" w:color="auto"/>
              <w:right w:val="single" w:sz="4" w:space="0" w:color="auto"/>
            </w:tcBorders>
            <w:shd w:val="clear" w:color="auto" w:fill="auto"/>
            <w:noWrap/>
            <w:vAlign w:val="bottom"/>
            <w:hideMark/>
          </w:tcPr>
          <w:p w14:paraId="269C99FD" w14:textId="77777777" w:rsidR="004C0913" w:rsidRPr="005B2804" w:rsidRDefault="004C0913">
            <w:pPr>
              <w:jc w:val="right"/>
              <w:rPr>
                <w:rFonts w:ascii="Arial" w:hAnsi="Arial" w:cs="Arial"/>
                <w:b/>
                <w:bCs/>
                <w:color w:val="000000"/>
              </w:rPr>
            </w:pPr>
            <w:r w:rsidRPr="005B2804">
              <w:rPr>
                <w:rFonts w:ascii="Arial" w:hAnsi="Arial" w:cs="Arial"/>
                <w:b/>
                <w:bCs/>
                <w:color w:val="000000"/>
              </w:rPr>
              <w:t>253</w:t>
            </w:r>
          </w:p>
        </w:tc>
        <w:tc>
          <w:tcPr>
            <w:tcW w:w="1001" w:type="dxa"/>
            <w:tcBorders>
              <w:top w:val="single" w:sz="4" w:space="0" w:color="auto"/>
              <w:left w:val="nil"/>
              <w:bottom w:val="single" w:sz="4" w:space="0" w:color="auto"/>
              <w:right w:val="single" w:sz="4" w:space="0" w:color="auto"/>
            </w:tcBorders>
            <w:shd w:val="clear" w:color="auto" w:fill="auto"/>
            <w:noWrap/>
            <w:vAlign w:val="bottom"/>
            <w:hideMark/>
          </w:tcPr>
          <w:p w14:paraId="60CC5513" w14:textId="77777777" w:rsidR="004C0913" w:rsidRPr="005B2804" w:rsidRDefault="004C0913">
            <w:pPr>
              <w:jc w:val="right"/>
              <w:rPr>
                <w:rFonts w:ascii="Arial" w:hAnsi="Arial" w:cs="Arial"/>
                <w:b/>
                <w:bCs/>
                <w:color w:val="000000"/>
              </w:rPr>
            </w:pPr>
            <w:r w:rsidRPr="005B2804">
              <w:rPr>
                <w:rFonts w:ascii="Arial" w:hAnsi="Arial" w:cs="Arial"/>
                <w:b/>
                <w:bCs/>
                <w:color w:val="000000"/>
              </w:rPr>
              <w:t>0</w:t>
            </w:r>
          </w:p>
        </w:tc>
        <w:tc>
          <w:tcPr>
            <w:tcW w:w="1072" w:type="dxa"/>
            <w:tcBorders>
              <w:top w:val="single" w:sz="4" w:space="0" w:color="auto"/>
              <w:left w:val="nil"/>
              <w:bottom w:val="single" w:sz="4" w:space="0" w:color="auto"/>
              <w:right w:val="single" w:sz="4" w:space="0" w:color="auto"/>
            </w:tcBorders>
            <w:shd w:val="clear" w:color="auto" w:fill="auto"/>
            <w:noWrap/>
            <w:vAlign w:val="bottom"/>
            <w:hideMark/>
          </w:tcPr>
          <w:p w14:paraId="19E8B5C3" w14:textId="77777777" w:rsidR="004C0913" w:rsidRPr="005B2804" w:rsidRDefault="004C0913">
            <w:pPr>
              <w:jc w:val="right"/>
              <w:rPr>
                <w:rFonts w:ascii="Arial" w:hAnsi="Arial" w:cs="Arial"/>
                <w:b/>
                <w:bCs/>
                <w:color w:val="000000"/>
              </w:rPr>
            </w:pPr>
            <w:r w:rsidRPr="005B2804">
              <w:rPr>
                <w:rFonts w:ascii="Arial" w:hAnsi="Arial" w:cs="Arial"/>
                <w:b/>
                <w:bCs/>
                <w:color w:val="000000"/>
              </w:rPr>
              <w:t>(82)</w:t>
            </w:r>
          </w:p>
        </w:tc>
        <w:tc>
          <w:tcPr>
            <w:tcW w:w="1072" w:type="dxa"/>
            <w:tcBorders>
              <w:top w:val="single" w:sz="4" w:space="0" w:color="auto"/>
              <w:left w:val="nil"/>
              <w:bottom w:val="single" w:sz="4" w:space="0" w:color="auto"/>
              <w:right w:val="single" w:sz="4" w:space="0" w:color="auto"/>
            </w:tcBorders>
            <w:shd w:val="clear" w:color="auto" w:fill="auto"/>
            <w:noWrap/>
            <w:vAlign w:val="bottom"/>
            <w:hideMark/>
          </w:tcPr>
          <w:p w14:paraId="0F91B6FC" w14:textId="77777777" w:rsidR="004C0913" w:rsidRPr="005B2804" w:rsidRDefault="004C0913">
            <w:pPr>
              <w:jc w:val="right"/>
              <w:rPr>
                <w:rFonts w:ascii="Arial" w:hAnsi="Arial" w:cs="Arial"/>
                <w:b/>
                <w:bCs/>
                <w:color w:val="000000"/>
              </w:rPr>
            </w:pPr>
            <w:r w:rsidRPr="005B2804">
              <w:rPr>
                <w:rFonts w:ascii="Arial" w:hAnsi="Arial" w:cs="Arial"/>
                <w:b/>
                <w:bCs/>
                <w:color w:val="000000"/>
              </w:rPr>
              <w:t>399</w:t>
            </w:r>
          </w:p>
        </w:tc>
        <w:tc>
          <w:tcPr>
            <w:tcW w:w="1072" w:type="dxa"/>
            <w:tcBorders>
              <w:top w:val="single" w:sz="4" w:space="0" w:color="auto"/>
              <w:left w:val="nil"/>
              <w:bottom w:val="single" w:sz="4" w:space="0" w:color="auto"/>
              <w:right w:val="single" w:sz="4" w:space="0" w:color="auto"/>
            </w:tcBorders>
            <w:shd w:val="clear" w:color="auto" w:fill="auto"/>
            <w:noWrap/>
            <w:vAlign w:val="bottom"/>
            <w:hideMark/>
          </w:tcPr>
          <w:p w14:paraId="64259D6A" w14:textId="77777777" w:rsidR="004C0913" w:rsidRPr="005B2804" w:rsidRDefault="004C0913">
            <w:pPr>
              <w:jc w:val="right"/>
              <w:rPr>
                <w:rFonts w:ascii="Arial" w:hAnsi="Arial" w:cs="Arial"/>
                <w:b/>
                <w:bCs/>
                <w:color w:val="000000"/>
              </w:rPr>
            </w:pPr>
            <w:r w:rsidRPr="005B2804">
              <w:rPr>
                <w:rFonts w:ascii="Arial" w:hAnsi="Arial" w:cs="Arial"/>
                <w:b/>
                <w:bCs/>
                <w:color w:val="000000"/>
              </w:rPr>
              <w:t>731</w:t>
            </w:r>
          </w:p>
        </w:tc>
      </w:tr>
    </w:tbl>
    <w:p w14:paraId="07803C7C" w14:textId="0A366EE4" w:rsidR="000B7A3F" w:rsidRPr="004C0913" w:rsidRDefault="000B7A3F" w:rsidP="00615280">
      <w:pPr>
        <w:pStyle w:val="BodyText"/>
        <w:rPr>
          <w:rFonts w:ascii="Arial" w:hAnsi="Arial" w:cs="Arial"/>
          <w:sz w:val="22"/>
          <w:szCs w:val="22"/>
        </w:rPr>
      </w:pPr>
    </w:p>
    <w:p w14:paraId="5D9D211C" w14:textId="77777777" w:rsidR="000932D7" w:rsidRPr="00667A91" w:rsidRDefault="00066B17" w:rsidP="008A5A08">
      <w:pPr>
        <w:numPr>
          <w:ilvl w:val="12"/>
          <w:numId w:val="0"/>
        </w:numPr>
        <w:ind w:left="709" w:hanging="709"/>
        <w:rPr>
          <w:rFonts w:ascii="Arial" w:hAnsi="Arial" w:cs="Arial"/>
          <w:b/>
          <w:bCs/>
          <w:noProof/>
        </w:rPr>
      </w:pPr>
      <w:r w:rsidRPr="00667A91">
        <w:rPr>
          <w:rFonts w:ascii="Arial" w:hAnsi="Arial" w:cs="Arial"/>
          <w:b/>
          <w:bCs/>
          <w:noProof/>
        </w:rPr>
        <w:t>7</w:t>
      </w:r>
      <w:r w:rsidR="00E25F68" w:rsidRPr="00667A91">
        <w:rPr>
          <w:rFonts w:ascii="Arial" w:hAnsi="Arial" w:cs="Arial"/>
          <w:b/>
          <w:bCs/>
          <w:noProof/>
        </w:rPr>
        <w:t>.</w:t>
      </w:r>
      <w:r w:rsidR="00E25F68" w:rsidRPr="00667A91">
        <w:rPr>
          <w:rFonts w:ascii="Arial" w:hAnsi="Arial" w:cs="Arial"/>
          <w:b/>
          <w:bCs/>
          <w:noProof/>
        </w:rPr>
        <w:tab/>
        <w:t>L</w:t>
      </w:r>
      <w:r w:rsidR="000932D7" w:rsidRPr="00667A91">
        <w:rPr>
          <w:rFonts w:ascii="Arial" w:hAnsi="Arial" w:cs="Arial"/>
          <w:b/>
          <w:bCs/>
          <w:noProof/>
        </w:rPr>
        <w:t>IMITS ON BORROWING ACTIVITY</w:t>
      </w:r>
    </w:p>
    <w:p w14:paraId="700C149F" w14:textId="77777777" w:rsidR="008B69B3" w:rsidRPr="00667A91" w:rsidRDefault="008B69B3" w:rsidP="008A5A08">
      <w:pPr>
        <w:numPr>
          <w:ilvl w:val="12"/>
          <w:numId w:val="0"/>
        </w:numPr>
        <w:ind w:left="709" w:hanging="709"/>
        <w:rPr>
          <w:rFonts w:ascii="Arial" w:hAnsi="Arial" w:cs="Arial"/>
          <w:b/>
          <w:bCs/>
          <w:noProof/>
        </w:rPr>
      </w:pPr>
    </w:p>
    <w:p w14:paraId="1A8015B8" w14:textId="1FB52C00" w:rsidR="007B3C3E" w:rsidRPr="00667A91" w:rsidRDefault="00066B17" w:rsidP="008B69B3">
      <w:pPr>
        <w:numPr>
          <w:ilvl w:val="12"/>
          <w:numId w:val="0"/>
        </w:numPr>
        <w:ind w:left="709" w:hanging="709"/>
        <w:jc w:val="both"/>
        <w:rPr>
          <w:rFonts w:ascii="Arial" w:hAnsi="Arial" w:cs="Arial"/>
          <w:bCs/>
          <w:noProof/>
        </w:rPr>
      </w:pPr>
      <w:r w:rsidRPr="00667A91">
        <w:rPr>
          <w:rFonts w:ascii="Arial" w:hAnsi="Arial" w:cs="Arial"/>
          <w:bCs/>
          <w:noProof/>
        </w:rPr>
        <w:t>7</w:t>
      </w:r>
      <w:r w:rsidR="00E25F68" w:rsidRPr="00667A91">
        <w:rPr>
          <w:rFonts w:ascii="Arial" w:hAnsi="Arial" w:cs="Arial"/>
          <w:bCs/>
          <w:noProof/>
        </w:rPr>
        <w:t>.1</w:t>
      </w:r>
      <w:r w:rsidR="00E25F68" w:rsidRPr="00667A91">
        <w:rPr>
          <w:rFonts w:ascii="Arial" w:hAnsi="Arial" w:cs="Arial"/>
          <w:bCs/>
          <w:noProof/>
        </w:rPr>
        <w:tab/>
        <w:t>Within the prudential indicators there are a number of key indicators to ensure</w:t>
      </w:r>
      <w:r w:rsidR="00907200" w:rsidRPr="00667A91">
        <w:rPr>
          <w:rFonts w:ascii="Arial" w:hAnsi="Arial" w:cs="Arial"/>
          <w:bCs/>
          <w:noProof/>
        </w:rPr>
        <w:t xml:space="preserve"> that</w:t>
      </w:r>
      <w:r w:rsidR="00E25F68" w:rsidRPr="00667A91">
        <w:rPr>
          <w:rFonts w:ascii="Arial" w:hAnsi="Arial" w:cs="Arial"/>
          <w:bCs/>
          <w:noProof/>
        </w:rPr>
        <w:t xml:space="preserve"> the </w:t>
      </w:r>
      <w:r w:rsidR="00905232" w:rsidRPr="00667A91">
        <w:rPr>
          <w:rFonts w:ascii="Arial" w:hAnsi="Arial" w:cs="Arial"/>
          <w:bCs/>
          <w:noProof/>
        </w:rPr>
        <w:t>Commissioner</w:t>
      </w:r>
      <w:r w:rsidR="00E25F68" w:rsidRPr="00667A91">
        <w:rPr>
          <w:rFonts w:ascii="Arial" w:hAnsi="Arial" w:cs="Arial"/>
          <w:bCs/>
          <w:noProof/>
        </w:rPr>
        <w:t xml:space="preserve"> operates</w:t>
      </w:r>
      <w:r w:rsidR="00907200" w:rsidRPr="00667A91">
        <w:rPr>
          <w:rFonts w:ascii="Arial" w:hAnsi="Arial" w:cs="Arial"/>
          <w:bCs/>
          <w:noProof/>
        </w:rPr>
        <w:t xml:space="preserve"> activities</w:t>
      </w:r>
      <w:r w:rsidR="00E25F68" w:rsidRPr="00667A91">
        <w:rPr>
          <w:rFonts w:ascii="Arial" w:hAnsi="Arial" w:cs="Arial"/>
          <w:bCs/>
          <w:noProof/>
        </w:rPr>
        <w:t xml:space="preserve"> within well</w:t>
      </w:r>
      <w:r w:rsidR="00905232" w:rsidRPr="00667A91">
        <w:rPr>
          <w:rFonts w:ascii="Arial" w:hAnsi="Arial" w:cs="Arial"/>
          <w:bCs/>
          <w:noProof/>
        </w:rPr>
        <w:t>-</w:t>
      </w:r>
      <w:r w:rsidR="00E25F68" w:rsidRPr="00667A91">
        <w:rPr>
          <w:rFonts w:ascii="Arial" w:hAnsi="Arial" w:cs="Arial"/>
          <w:bCs/>
          <w:noProof/>
        </w:rPr>
        <w:t xml:space="preserve">defined limits.  For the first of these the </w:t>
      </w:r>
      <w:r w:rsidR="00DB6446" w:rsidRPr="00667A91">
        <w:rPr>
          <w:rFonts w:ascii="Arial" w:hAnsi="Arial" w:cs="Arial"/>
          <w:bCs/>
          <w:noProof/>
        </w:rPr>
        <w:t>Commissioner</w:t>
      </w:r>
      <w:r w:rsidR="00E25F68" w:rsidRPr="00667A91">
        <w:rPr>
          <w:rFonts w:ascii="Arial" w:hAnsi="Arial" w:cs="Arial"/>
          <w:bCs/>
          <w:noProof/>
        </w:rPr>
        <w:t xml:space="preserve"> needs to ensure that </w:t>
      </w:r>
      <w:r w:rsidR="000B5863" w:rsidRPr="00667A91">
        <w:rPr>
          <w:rFonts w:ascii="Arial" w:hAnsi="Arial" w:cs="Arial"/>
          <w:bCs/>
          <w:noProof/>
        </w:rPr>
        <w:t xml:space="preserve">gross debt </w:t>
      </w:r>
      <w:r w:rsidR="00E25F68" w:rsidRPr="00667A91">
        <w:rPr>
          <w:rFonts w:ascii="Arial" w:hAnsi="Arial" w:cs="Arial"/>
          <w:bCs/>
          <w:noProof/>
        </w:rPr>
        <w:t>does not, except in the short term, exceed the total of the CFR in the preceding year</w:t>
      </w:r>
      <w:r w:rsidR="00447A47" w:rsidRPr="00667A91">
        <w:rPr>
          <w:rFonts w:ascii="Arial" w:hAnsi="Arial" w:cs="Arial"/>
          <w:bCs/>
          <w:noProof/>
        </w:rPr>
        <w:t>,</w:t>
      </w:r>
      <w:r w:rsidR="00E25F68" w:rsidRPr="00667A91">
        <w:rPr>
          <w:rFonts w:ascii="Arial" w:hAnsi="Arial" w:cs="Arial"/>
          <w:bCs/>
          <w:noProof/>
        </w:rPr>
        <w:t xml:space="preserve"> plus the estimates of any additional CFR for 20</w:t>
      </w:r>
      <w:r w:rsidR="007343D2" w:rsidRPr="00667A91">
        <w:rPr>
          <w:rFonts w:ascii="Arial" w:hAnsi="Arial" w:cs="Arial"/>
          <w:bCs/>
          <w:noProof/>
        </w:rPr>
        <w:t>2</w:t>
      </w:r>
      <w:r w:rsidR="00CA12CD">
        <w:rPr>
          <w:rFonts w:ascii="Arial" w:hAnsi="Arial" w:cs="Arial"/>
          <w:bCs/>
          <w:noProof/>
        </w:rPr>
        <w:t>4</w:t>
      </w:r>
      <w:r w:rsidR="00D936F7" w:rsidRPr="00667A91">
        <w:rPr>
          <w:rFonts w:ascii="Arial" w:hAnsi="Arial" w:cs="Arial"/>
          <w:bCs/>
          <w:noProof/>
        </w:rPr>
        <w:t>/2</w:t>
      </w:r>
      <w:r w:rsidR="00CA12CD">
        <w:rPr>
          <w:rFonts w:ascii="Arial" w:hAnsi="Arial" w:cs="Arial"/>
          <w:bCs/>
          <w:noProof/>
        </w:rPr>
        <w:t>5</w:t>
      </w:r>
      <w:r w:rsidR="00E25F68" w:rsidRPr="00667A91">
        <w:rPr>
          <w:rFonts w:ascii="Arial" w:hAnsi="Arial" w:cs="Arial"/>
          <w:bCs/>
          <w:noProof/>
        </w:rPr>
        <w:t xml:space="preserve"> and the following two financial years.  This allows some flexibility for limited early borrowing for future years, but ensures that borrowing is not undertaken for revenue purposes.</w:t>
      </w:r>
      <w:r w:rsidR="00D32452" w:rsidRPr="00667A91">
        <w:rPr>
          <w:rFonts w:ascii="Arial" w:hAnsi="Arial" w:cs="Arial"/>
          <w:bCs/>
          <w:noProof/>
        </w:rPr>
        <w:t xml:space="preserve">  The following table is relevant for this indicator.</w:t>
      </w:r>
    </w:p>
    <w:p w14:paraId="3ECDF45B" w14:textId="361213D2" w:rsidR="008B69B3" w:rsidRDefault="008B69B3" w:rsidP="008B69B3">
      <w:pPr>
        <w:numPr>
          <w:ilvl w:val="12"/>
          <w:numId w:val="0"/>
        </w:numPr>
        <w:ind w:left="709" w:hanging="709"/>
        <w:jc w:val="both"/>
        <w:rPr>
          <w:rFonts w:ascii="Arial" w:hAnsi="Arial" w:cs="Arial"/>
          <w:bCs/>
          <w:noProof/>
          <w:sz w:val="22"/>
          <w:szCs w:val="22"/>
        </w:rPr>
      </w:pPr>
    </w:p>
    <w:tbl>
      <w:tblPr>
        <w:tblW w:w="9355" w:type="dxa"/>
        <w:tblLook w:val="04A0" w:firstRow="1" w:lastRow="0" w:firstColumn="1" w:lastColumn="0" w:noHBand="0" w:noVBand="1"/>
      </w:tblPr>
      <w:tblGrid>
        <w:gridCol w:w="3568"/>
        <w:gridCol w:w="1123"/>
        <w:gridCol w:w="1137"/>
        <w:gridCol w:w="1217"/>
        <w:gridCol w:w="1217"/>
        <w:gridCol w:w="1217"/>
      </w:tblGrid>
      <w:tr w:rsidR="00D07B68" w14:paraId="747C0275" w14:textId="77777777" w:rsidTr="00D07B68">
        <w:trPr>
          <w:trHeight w:val="297"/>
        </w:trPr>
        <w:tc>
          <w:tcPr>
            <w:tcW w:w="9355"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4121351" w14:textId="77777777" w:rsidR="00D07B68" w:rsidRDefault="00D07B68">
            <w:pPr>
              <w:jc w:val="center"/>
              <w:rPr>
                <w:rFonts w:ascii="Arial" w:hAnsi="Arial" w:cs="Arial"/>
                <w:b/>
                <w:bCs/>
                <w:color w:val="000000"/>
                <w:sz w:val="22"/>
                <w:szCs w:val="22"/>
              </w:rPr>
            </w:pPr>
            <w:r>
              <w:rPr>
                <w:rFonts w:ascii="Arial" w:hAnsi="Arial" w:cs="Arial"/>
                <w:b/>
                <w:bCs/>
                <w:color w:val="000000"/>
                <w:sz w:val="22"/>
                <w:szCs w:val="22"/>
              </w:rPr>
              <w:t>Limits on Borrowing Activity - Year End Position</w:t>
            </w:r>
          </w:p>
        </w:tc>
      </w:tr>
      <w:tr w:rsidR="00D07B68" w14:paraId="18608A1F" w14:textId="77777777" w:rsidTr="00D07B68">
        <w:trPr>
          <w:trHeight w:val="312"/>
        </w:trPr>
        <w:tc>
          <w:tcPr>
            <w:tcW w:w="3568" w:type="dxa"/>
            <w:tcBorders>
              <w:top w:val="nil"/>
              <w:left w:val="single" w:sz="4" w:space="0" w:color="auto"/>
              <w:bottom w:val="nil"/>
              <w:right w:val="single" w:sz="4" w:space="0" w:color="auto"/>
            </w:tcBorders>
            <w:shd w:val="clear" w:color="auto" w:fill="auto"/>
            <w:noWrap/>
            <w:vAlign w:val="bottom"/>
            <w:hideMark/>
          </w:tcPr>
          <w:p w14:paraId="54774268" w14:textId="77777777" w:rsidR="00D07B68" w:rsidRDefault="00D07B68">
            <w:pPr>
              <w:rPr>
                <w:rFonts w:ascii="Arial" w:hAnsi="Arial" w:cs="Arial"/>
                <w:color w:val="000000"/>
                <w:sz w:val="22"/>
                <w:szCs w:val="22"/>
              </w:rPr>
            </w:pPr>
            <w:r>
              <w:rPr>
                <w:rFonts w:ascii="Arial" w:hAnsi="Arial" w:cs="Arial"/>
                <w:color w:val="000000"/>
                <w:sz w:val="22"/>
                <w:szCs w:val="22"/>
              </w:rPr>
              <w:t> </w:t>
            </w:r>
          </w:p>
        </w:tc>
        <w:tc>
          <w:tcPr>
            <w:tcW w:w="1099" w:type="dxa"/>
            <w:tcBorders>
              <w:top w:val="nil"/>
              <w:left w:val="nil"/>
              <w:bottom w:val="nil"/>
              <w:right w:val="single" w:sz="4" w:space="0" w:color="auto"/>
            </w:tcBorders>
            <w:shd w:val="clear" w:color="auto" w:fill="auto"/>
            <w:noWrap/>
            <w:vAlign w:val="bottom"/>
            <w:hideMark/>
          </w:tcPr>
          <w:p w14:paraId="7E3B6C04" w14:textId="77777777" w:rsidR="00D07B68" w:rsidRDefault="00D07B68">
            <w:pPr>
              <w:rPr>
                <w:rFonts w:ascii="Arial" w:hAnsi="Arial" w:cs="Arial"/>
                <w:b/>
                <w:bCs/>
                <w:color w:val="000000"/>
              </w:rPr>
            </w:pPr>
            <w:r>
              <w:rPr>
                <w:rFonts w:ascii="Arial" w:hAnsi="Arial" w:cs="Arial"/>
                <w:b/>
                <w:bCs/>
                <w:color w:val="000000"/>
              </w:rPr>
              <w:t>2023/24</w:t>
            </w:r>
          </w:p>
        </w:tc>
        <w:tc>
          <w:tcPr>
            <w:tcW w:w="1113" w:type="dxa"/>
            <w:tcBorders>
              <w:top w:val="nil"/>
              <w:left w:val="nil"/>
              <w:bottom w:val="nil"/>
              <w:right w:val="single" w:sz="4" w:space="0" w:color="auto"/>
            </w:tcBorders>
            <w:shd w:val="clear" w:color="auto" w:fill="auto"/>
            <w:noWrap/>
            <w:vAlign w:val="bottom"/>
            <w:hideMark/>
          </w:tcPr>
          <w:p w14:paraId="48ABC64C" w14:textId="77777777" w:rsidR="00D07B68" w:rsidRDefault="00D07B68">
            <w:pPr>
              <w:rPr>
                <w:rFonts w:ascii="Arial" w:hAnsi="Arial" w:cs="Arial"/>
                <w:b/>
                <w:bCs/>
                <w:color w:val="000000"/>
              </w:rPr>
            </w:pPr>
            <w:r>
              <w:rPr>
                <w:rFonts w:ascii="Arial" w:hAnsi="Arial" w:cs="Arial"/>
                <w:b/>
                <w:bCs/>
                <w:color w:val="000000"/>
              </w:rPr>
              <w:t>2023/24</w:t>
            </w:r>
          </w:p>
        </w:tc>
        <w:tc>
          <w:tcPr>
            <w:tcW w:w="1191" w:type="dxa"/>
            <w:tcBorders>
              <w:top w:val="nil"/>
              <w:left w:val="nil"/>
              <w:bottom w:val="nil"/>
              <w:right w:val="single" w:sz="4" w:space="0" w:color="auto"/>
            </w:tcBorders>
            <w:shd w:val="clear" w:color="auto" w:fill="auto"/>
            <w:noWrap/>
            <w:vAlign w:val="bottom"/>
            <w:hideMark/>
          </w:tcPr>
          <w:p w14:paraId="00E31A5E" w14:textId="77777777" w:rsidR="00D07B68" w:rsidRDefault="00D07B68">
            <w:pPr>
              <w:rPr>
                <w:rFonts w:ascii="Arial" w:hAnsi="Arial" w:cs="Arial"/>
                <w:b/>
                <w:bCs/>
                <w:color w:val="000000"/>
              </w:rPr>
            </w:pPr>
            <w:r>
              <w:rPr>
                <w:rFonts w:ascii="Arial" w:hAnsi="Arial" w:cs="Arial"/>
                <w:b/>
                <w:bCs/>
                <w:color w:val="000000"/>
              </w:rPr>
              <w:t>2024/25</w:t>
            </w:r>
          </w:p>
        </w:tc>
        <w:tc>
          <w:tcPr>
            <w:tcW w:w="1191" w:type="dxa"/>
            <w:tcBorders>
              <w:top w:val="nil"/>
              <w:left w:val="nil"/>
              <w:bottom w:val="nil"/>
              <w:right w:val="single" w:sz="4" w:space="0" w:color="auto"/>
            </w:tcBorders>
            <w:shd w:val="clear" w:color="auto" w:fill="auto"/>
            <w:noWrap/>
            <w:vAlign w:val="bottom"/>
            <w:hideMark/>
          </w:tcPr>
          <w:p w14:paraId="237749F0" w14:textId="77777777" w:rsidR="00D07B68" w:rsidRDefault="00D07B68">
            <w:pPr>
              <w:rPr>
                <w:rFonts w:ascii="Arial" w:hAnsi="Arial" w:cs="Arial"/>
                <w:b/>
                <w:bCs/>
                <w:color w:val="000000"/>
              </w:rPr>
            </w:pPr>
            <w:r>
              <w:rPr>
                <w:rFonts w:ascii="Arial" w:hAnsi="Arial" w:cs="Arial"/>
                <w:b/>
                <w:bCs/>
                <w:color w:val="000000"/>
              </w:rPr>
              <w:t>2025/26</w:t>
            </w:r>
          </w:p>
        </w:tc>
        <w:tc>
          <w:tcPr>
            <w:tcW w:w="1191" w:type="dxa"/>
            <w:tcBorders>
              <w:top w:val="nil"/>
              <w:left w:val="nil"/>
              <w:bottom w:val="nil"/>
              <w:right w:val="single" w:sz="4" w:space="0" w:color="auto"/>
            </w:tcBorders>
            <w:shd w:val="clear" w:color="auto" w:fill="auto"/>
            <w:noWrap/>
            <w:vAlign w:val="bottom"/>
            <w:hideMark/>
          </w:tcPr>
          <w:p w14:paraId="325C4219" w14:textId="77777777" w:rsidR="00D07B68" w:rsidRDefault="00D07B68">
            <w:pPr>
              <w:rPr>
                <w:rFonts w:ascii="Arial" w:hAnsi="Arial" w:cs="Arial"/>
                <w:b/>
                <w:bCs/>
                <w:color w:val="000000"/>
              </w:rPr>
            </w:pPr>
            <w:r>
              <w:rPr>
                <w:rFonts w:ascii="Arial" w:hAnsi="Arial" w:cs="Arial"/>
                <w:b/>
                <w:bCs/>
                <w:color w:val="000000"/>
              </w:rPr>
              <w:t>2026/27</w:t>
            </w:r>
          </w:p>
        </w:tc>
      </w:tr>
      <w:tr w:rsidR="00D07B68" w14:paraId="3230C49E" w14:textId="77777777" w:rsidTr="00D07B68">
        <w:trPr>
          <w:trHeight w:val="312"/>
        </w:trPr>
        <w:tc>
          <w:tcPr>
            <w:tcW w:w="3568" w:type="dxa"/>
            <w:tcBorders>
              <w:top w:val="nil"/>
              <w:left w:val="single" w:sz="4" w:space="0" w:color="auto"/>
              <w:bottom w:val="nil"/>
              <w:right w:val="single" w:sz="4" w:space="0" w:color="auto"/>
            </w:tcBorders>
            <w:shd w:val="clear" w:color="auto" w:fill="auto"/>
            <w:noWrap/>
            <w:vAlign w:val="bottom"/>
            <w:hideMark/>
          </w:tcPr>
          <w:p w14:paraId="4A9F789A" w14:textId="77777777" w:rsidR="00D07B68" w:rsidRDefault="00D07B68">
            <w:pPr>
              <w:rPr>
                <w:rFonts w:ascii="Arial" w:hAnsi="Arial" w:cs="Arial"/>
                <w:color w:val="000000"/>
                <w:sz w:val="22"/>
                <w:szCs w:val="22"/>
              </w:rPr>
            </w:pPr>
            <w:r>
              <w:rPr>
                <w:rFonts w:ascii="Arial" w:hAnsi="Arial" w:cs="Arial"/>
                <w:color w:val="000000"/>
                <w:sz w:val="22"/>
                <w:szCs w:val="22"/>
              </w:rPr>
              <w:t> </w:t>
            </w:r>
          </w:p>
        </w:tc>
        <w:tc>
          <w:tcPr>
            <w:tcW w:w="1099" w:type="dxa"/>
            <w:tcBorders>
              <w:top w:val="nil"/>
              <w:left w:val="nil"/>
              <w:bottom w:val="nil"/>
              <w:right w:val="single" w:sz="4" w:space="0" w:color="auto"/>
            </w:tcBorders>
            <w:shd w:val="clear" w:color="auto" w:fill="auto"/>
            <w:noWrap/>
            <w:vAlign w:val="bottom"/>
            <w:hideMark/>
          </w:tcPr>
          <w:p w14:paraId="62E28A04" w14:textId="77777777" w:rsidR="00D07B68" w:rsidRDefault="00D07B68">
            <w:pPr>
              <w:rPr>
                <w:rFonts w:ascii="Arial" w:hAnsi="Arial" w:cs="Arial"/>
                <w:b/>
                <w:bCs/>
                <w:color w:val="000000"/>
              </w:rPr>
            </w:pPr>
            <w:r>
              <w:rPr>
                <w:rFonts w:ascii="Arial" w:hAnsi="Arial" w:cs="Arial"/>
                <w:b/>
                <w:bCs/>
                <w:color w:val="000000"/>
              </w:rPr>
              <w:t>Original</w:t>
            </w:r>
          </w:p>
        </w:tc>
        <w:tc>
          <w:tcPr>
            <w:tcW w:w="1113" w:type="dxa"/>
            <w:tcBorders>
              <w:top w:val="nil"/>
              <w:left w:val="nil"/>
              <w:bottom w:val="nil"/>
              <w:right w:val="single" w:sz="4" w:space="0" w:color="auto"/>
            </w:tcBorders>
            <w:shd w:val="clear" w:color="auto" w:fill="auto"/>
            <w:noWrap/>
            <w:vAlign w:val="bottom"/>
            <w:hideMark/>
          </w:tcPr>
          <w:p w14:paraId="27D5AA59" w14:textId="77777777" w:rsidR="00D07B68" w:rsidRDefault="00D07B68">
            <w:pPr>
              <w:rPr>
                <w:rFonts w:ascii="Arial" w:hAnsi="Arial" w:cs="Arial"/>
                <w:b/>
                <w:bCs/>
                <w:color w:val="000000"/>
              </w:rPr>
            </w:pPr>
            <w:r>
              <w:rPr>
                <w:rFonts w:ascii="Arial" w:hAnsi="Arial" w:cs="Arial"/>
                <w:b/>
                <w:bCs/>
                <w:color w:val="000000"/>
              </w:rPr>
              <w:t>Revised</w:t>
            </w:r>
          </w:p>
        </w:tc>
        <w:tc>
          <w:tcPr>
            <w:tcW w:w="1191" w:type="dxa"/>
            <w:tcBorders>
              <w:top w:val="nil"/>
              <w:left w:val="nil"/>
              <w:bottom w:val="nil"/>
              <w:right w:val="single" w:sz="4" w:space="0" w:color="auto"/>
            </w:tcBorders>
            <w:shd w:val="clear" w:color="auto" w:fill="auto"/>
            <w:noWrap/>
            <w:vAlign w:val="bottom"/>
            <w:hideMark/>
          </w:tcPr>
          <w:p w14:paraId="4AF4EB94" w14:textId="77777777" w:rsidR="00D07B68" w:rsidRDefault="00D07B68">
            <w:pPr>
              <w:rPr>
                <w:rFonts w:ascii="Arial" w:hAnsi="Arial" w:cs="Arial"/>
                <w:b/>
                <w:bCs/>
                <w:color w:val="000000"/>
              </w:rPr>
            </w:pPr>
            <w:r>
              <w:rPr>
                <w:rFonts w:ascii="Arial" w:hAnsi="Arial" w:cs="Arial"/>
                <w:b/>
                <w:bCs/>
                <w:color w:val="000000"/>
              </w:rPr>
              <w:t>Estimate</w:t>
            </w:r>
          </w:p>
        </w:tc>
        <w:tc>
          <w:tcPr>
            <w:tcW w:w="1191" w:type="dxa"/>
            <w:tcBorders>
              <w:top w:val="nil"/>
              <w:left w:val="nil"/>
              <w:bottom w:val="nil"/>
              <w:right w:val="single" w:sz="4" w:space="0" w:color="auto"/>
            </w:tcBorders>
            <w:shd w:val="clear" w:color="auto" w:fill="auto"/>
            <w:noWrap/>
            <w:vAlign w:val="bottom"/>
            <w:hideMark/>
          </w:tcPr>
          <w:p w14:paraId="30FE5F0A" w14:textId="77777777" w:rsidR="00D07B68" w:rsidRDefault="00D07B68">
            <w:pPr>
              <w:rPr>
                <w:rFonts w:ascii="Arial" w:hAnsi="Arial" w:cs="Arial"/>
                <w:b/>
                <w:bCs/>
                <w:color w:val="000000"/>
              </w:rPr>
            </w:pPr>
            <w:r>
              <w:rPr>
                <w:rFonts w:ascii="Arial" w:hAnsi="Arial" w:cs="Arial"/>
                <w:b/>
                <w:bCs/>
                <w:color w:val="000000"/>
              </w:rPr>
              <w:t>Estimate</w:t>
            </w:r>
          </w:p>
        </w:tc>
        <w:tc>
          <w:tcPr>
            <w:tcW w:w="1191" w:type="dxa"/>
            <w:tcBorders>
              <w:top w:val="nil"/>
              <w:left w:val="nil"/>
              <w:bottom w:val="nil"/>
              <w:right w:val="single" w:sz="4" w:space="0" w:color="auto"/>
            </w:tcBorders>
            <w:shd w:val="clear" w:color="auto" w:fill="auto"/>
            <w:noWrap/>
            <w:vAlign w:val="bottom"/>
            <w:hideMark/>
          </w:tcPr>
          <w:p w14:paraId="2990C70B" w14:textId="77777777" w:rsidR="00D07B68" w:rsidRDefault="00D07B68">
            <w:pPr>
              <w:rPr>
                <w:rFonts w:ascii="Arial" w:hAnsi="Arial" w:cs="Arial"/>
                <w:b/>
                <w:bCs/>
                <w:color w:val="000000"/>
              </w:rPr>
            </w:pPr>
            <w:r>
              <w:rPr>
                <w:rFonts w:ascii="Arial" w:hAnsi="Arial" w:cs="Arial"/>
                <w:b/>
                <w:bCs/>
                <w:color w:val="000000"/>
              </w:rPr>
              <w:t>Estimate</w:t>
            </w:r>
          </w:p>
        </w:tc>
      </w:tr>
      <w:tr w:rsidR="00D07B68" w14:paraId="6176AA36" w14:textId="77777777" w:rsidTr="00D07B68">
        <w:trPr>
          <w:trHeight w:val="312"/>
        </w:trPr>
        <w:tc>
          <w:tcPr>
            <w:tcW w:w="3568" w:type="dxa"/>
            <w:tcBorders>
              <w:top w:val="nil"/>
              <w:left w:val="single" w:sz="4" w:space="0" w:color="auto"/>
              <w:bottom w:val="nil"/>
              <w:right w:val="single" w:sz="4" w:space="0" w:color="auto"/>
            </w:tcBorders>
            <w:shd w:val="clear" w:color="auto" w:fill="auto"/>
            <w:noWrap/>
            <w:vAlign w:val="bottom"/>
            <w:hideMark/>
          </w:tcPr>
          <w:p w14:paraId="13F3B027" w14:textId="77777777" w:rsidR="00D07B68" w:rsidRDefault="00D07B68">
            <w:pPr>
              <w:rPr>
                <w:rFonts w:ascii="Arial" w:hAnsi="Arial" w:cs="Arial"/>
                <w:color w:val="000000"/>
                <w:sz w:val="22"/>
                <w:szCs w:val="22"/>
              </w:rPr>
            </w:pPr>
            <w:r>
              <w:rPr>
                <w:rFonts w:ascii="Arial" w:hAnsi="Arial" w:cs="Arial"/>
                <w:color w:val="000000"/>
                <w:sz w:val="22"/>
                <w:szCs w:val="22"/>
              </w:rPr>
              <w:t> </w:t>
            </w:r>
          </w:p>
        </w:tc>
        <w:tc>
          <w:tcPr>
            <w:tcW w:w="1099" w:type="dxa"/>
            <w:tcBorders>
              <w:top w:val="nil"/>
              <w:left w:val="nil"/>
              <w:bottom w:val="single" w:sz="4" w:space="0" w:color="auto"/>
              <w:right w:val="single" w:sz="4" w:space="0" w:color="auto"/>
            </w:tcBorders>
            <w:shd w:val="clear" w:color="auto" w:fill="auto"/>
            <w:noWrap/>
            <w:vAlign w:val="bottom"/>
            <w:hideMark/>
          </w:tcPr>
          <w:p w14:paraId="06B977FA" w14:textId="77777777" w:rsidR="00D07B68" w:rsidRDefault="00D07B68">
            <w:pPr>
              <w:jc w:val="center"/>
              <w:rPr>
                <w:rFonts w:ascii="Arial" w:hAnsi="Arial" w:cs="Arial"/>
                <w:b/>
                <w:bCs/>
                <w:color w:val="000000"/>
              </w:rPr>
            </w:pPr>
            <w:r>
              <w:rPr>
                <w:rFonts w:ascii="Arial" w:hAnsi="Arial" w:cs="Arial"/>
                <w:b/>
                <w:bCs/>
                <w:color w:val="000000"/>
              </w:rPr>
              <w:t>£000's</w:t>
            </w:r>
          </w:p>
        </w:tc>
        <w:tc>
          <w:tcPr>
            <w:tcW w:w="1113" w:type="dxa"/>
            <w:tcBorders>
              <w:top w:val="nil"/>
              <w:left w:val="nil"/>
              <w:bottom w:val="single" w:sz="4" w:space="0" w:color="auto"/>
              <w:right w:val="single" w:sz="4" w:space="0" w:color="auto"/>
            </w:tcBorders>
            <w:shd w:val="clear" w:color="auto" w:fill="auto"/>
            <w:noWrap/>
            <w:vAlign w:val="bottom"/>
            <w:hideMark/>
          </w:tcPr>
          <w:p w14:paraId="143C60F4" w14:textId="77777777" w:rsidR="00D07B68" w:rsidRDefault="00D07B68">
            <w:pPr>
              <w:jc w:val="center"/>
              <w:rPr>
                <w:rFonts w:ascii="Arial" w:hAnsi="Arial" w:cs="Arial"/>
                <w:b/>
                <w:bCs/>
                <w:color w:val="000000"/>
              </w:rPr>
            </w:pPr>
            <w:r>
              <w:rPr>
                <w:rFonts w:ascii="Arial" w:hAnsi="Arial" w:cs="Arial"/>
                <w:b/>
                <w:bCs/>
                <w:color w:val="000000"/>
              </w:rPr>
              <w:t>£000's</w:t>
            </w:r>
          </w:p>
        </w:tc>
        <w:tc>
          <w:tcPr>
            <w:tcW w:w="1191" w:type="dxa"/>
            <w:tcBorders>
              <w:top w:val="nil"/>
              <w:left w:val="nil"/>
              <w:bottom w:val="single" w:sz="4" w:space="0" w:color="auto"/>
              <w:right w:val="single" w:sz="4" w:space="0" w:color="auto"/>
            </w:tcBorders>
            <w:shd w:val="clear" w:color="auto" w:fill="auto"/>
            <w:noWrap/>
            <w:vAlign w:val="bottom"/>
            <w:hideMark/>
          </w:tcPr>
          <w:p w14:paraId="6B602DC8" w14:textId="77777777" w:rsidR="00D07B68" w:rsidRDefault="00D07B68">
            <w:pPr>
              <w:jc w:val="center"/>
              <w:rPr>
                <w:rFonts w:ascii="Arial" w:hAnsi="Arial" w:cs="Arial"/>
                <w:b/>
                <w:bCs/>
                <w:color w:val="000000"/>
              </w:rPr>
            </w:pPr>
            <w:r>
              <w:rPr>
                <w:rFonts w:ascii="Arial" w:hAnsi="Arial" w:cs="Arial"/>
                <w:b/>
                <w:bCs/>
                <w:color w:val="000000"/>
              </w:rPr>
              <w:t>£000's</w:t>
            </w:r>
          </w:p>
        </w:tc>
        <w:tc>
          <w:tcPr>
            <w:tcW w:w="1191" w:type="dxa"/>
            <w:tcBorders>
              <w:top w:val="nil"/>
              <w:left w:val="nil"/>
              <w:bottom w:val="single" w:sz="4" w:space="0" w:color="auto"/>
              <w:right w:val="single" w:sz="4" w:space="0" w:color="auto"/>
            </w:tcBorders>
            <w:shd w:val="clear" w:color="auto" w:fill="auto"/>
            <w:noWrap/>
            <w:vAlign w:val="bottom"/>
            <w:hideMark/>
          </w:tcPr>
          <w:p w14:paraId="63C933E3" w14:textId="77777777" w:rsidR="00D07B68" w:rsidRDefault="00D07B68">
            <w:pPr>
              <w:jc w:val="center"/>
              <w:rPr>
                <w:rFonts w:ascii="Arial" w:hAnsi="Arial" w:cs="Arial"/>
                <w:b/>
                <w:bCs/>
                <w:color w:val="000000"/>
              </w:rPr>
            </w:pPr>
            <w:r>
              <w:rPr>
                <w:rFonts w:ascii="Arial" w:hAnsi="Arial" w:cs="Arial"/>
                <w:b/>
                <w:bCs/>
                <w:color w:val="000000"/>
              </w:rPr>
              <w:t>£000's</w:t>
            </w:r>
          </w:p>
        </w:tc>
        <w:tc>
          <w:tcPr>
            <w:tcW w:w="1191" w:type="dxa"/>
            <w:tcBorders>
              <w:top w:val="nil"/>
              <w:left w:val="nil"/>
              <w:bottom w:val="single" w:sz="4" w:space="0" w:color="auto"/>
              <w:right w:val="single" w:sz="4" w:space="0" w:color="auto"/>
            </w:tcBorders>
            <w:shd w:val="clear" w:color="auto" w:fill="auto"/>
            <w:noWrap/>
            <w:vAlign w:val="bottom"/>
            <w:hideMark/>
          </w:tcPr>
          <w:p w14:paraId="38D86A66" w14:textId="77777777" w:rsidR="00D07B68" w:rsidRDefault="00D07B68">
            <w:pPr>
              <w:jc w:val="center"/>
              <w:rPr>
                <w:rFonts w:ascii="Arial" w:hAnsi="Arial" w:cs="Arial"/>
                <w:b/>
                <w:bCs/>
                <w:color w:val="000000"/>
              </w:rPr>
            </w:pPr>
            <w:r>
              <w:rPr>
                <w:rFonts w:ascii="Arial" w:hAnsi="Arial" w:cs="Arial"/>
                <w:b/>
                <w:bCs/>
                <w:color w:val="000000"/>
              </w:rPr>
              <w:t>£000's</w:t>
            </w:r>
          </w:p>
        </w:tc>
      </w:tr>
      <w:tr w:rsidR="00D07B68" w14:paraId="42F42883" w14:textId="77777777" w:rsidTr="00D07B68">
        <w:trPr>
          <w:trHeight w:val="312"/>
        </w:trPr>
        <w:tc>
          <w:tcPr>
            <w:tcW w:w="3568" w:type="dxa"/>
            <w:tcBorders>
              <w:top w:val="nil"/>
              <w:left w:val="single" w:sz="4" w:space="0" w:color="auto"/>
              <w:bottom w:val="nil"/>
              <w:right w:val="single" w:sz="4" w:space="0" w:color="auto"/>
            </w:tcBorders>
            <w:shd w:val="clear" w:color="auto" w:fill="auto"/>
            <w:noWrap/>
            <w:vAlign w:val="bottom"/>
            <w:hideMark/>
          </w:tcPr>
          <w:p w14:paraId="206CCDAF" w14:textId="77777777" w:rsidR="00D07B68" w:rsidRDefault="00D07B68">
            <w:pPr>
              <w:rPr>
                <w:rFonts w:ascii="Arial" w:hAnsi="Arial" w:cs="Arial"/>
                <w:b/>
                <w:bCs/>
                <w:color w:val="000000"/>
                <w:sz w:val="22"/>
                <w:szCs w:val="22"/>
              </w:rPr>
            </w:pPr>
            <w:r>
              <w:rPr>
                <w:rFonts w:ascii="Arial" w:hAnsi="Arial" w:cs="Arial"/>
                <w:b/>
                <w:bCs/>
                <w:color w:val="000000"/>
                <w:sz w:val="22"/>
                <w:szCs w:val="22"/>
              </w:rPr>
              <w:t> </w:t>
            </w:r>
          </w:p>
        </w:tc>
        <w:tc>
          <w:tcPr>
            <w:tcW w:w="1099" w:type="dxa"/>
            <w:tcBorders>
              <w:top w:val="nil"/>
              <w:left w:val="nil"/>
              <w:bottom w:val="nil"/>
              <w:right w:val="single" w:sz="4" w:space="0" w:color="auto"/>
            </w:tcBorders>
            <w:shd w:val="clear" w:color="auto" w:fill="auto"/>
            <w:noWrap/>
            <w:vAlign w:val="bottom"/>
            <w:hideMark/>
          </w:tcPr>
          <w:p w14:paraId="091B73EA" w14:textId="77777777" w:rsidR="00D07B68" w:rsidRDefault="00D07B68">
            <w:pPr>
              <w:jc w:val="center"/>
              <w:rPr>
                <w:rFonts w:ascii="Arial" w:hAnsi="Arial" w:cs="Arial"/>
                <w:color w:val="000000"/>
                <w:sz w:val="22"/>
                <w:szCs w:val="22"/>
              </w:rPr>
            </w:pPr>
            <w:r>
              <w:rPr>
                <w:rFonts w:ascii="Arial" w:hAnsi="Arial" w:cs="Arial"/>
                <w:color w:val="000000"/>
                <w:sz w:val="22"/>
                <w:szCs w:val="22"/>
              </w:rPr>
              <w:t> </w:t>
            </w:r>
          </w:p>
        </w:tc>
        <w:tc>
          <w:tcPr>
            <w:tcW w:w="1113" w:type="dxa"/>
            <w:tcBorders>
              <w:top w:val="nil"/>
              <w:left w:val="nil"/>
              <w:bottom w:val="nil"/>
              <w:right w:val="nil"/>
            </w:tcBorders>
            <w:shd w:val="clear" w:color="auto" w:fill="auto"/>
            <w:noWrap/>
            <w:vAlign w:val="bottom"/>
            <w:hideMark/>
          </w:tcPr>
          <w:p w14:paraId="7D3A9A77" w14:textId="77777777" w:rsidR="00D07B68" w:rsidRDefault="00D07B68">
            <w:pPr>
              <w:jc w:val="center"/>
              <w:rPr>
                <w:rFonts w:ascii="Arial" w:hAnsi="Arial" w:cs="Arial"/>
                <w:color w:val="000000"/>
                <w:sz w:val="22"/>
                <w:szCs w:val="22"/>
              </w:rPr>
            </w:pPr>
            <w:r>
              <w:rPr>
                <w:rFonts w:ascii="Arial" w:hAnsi="Arial" w:cs="Arial"/>
                <w:color w:val="000000"/>
                <w:sz w:val="22"/>
                <w:szCs w:val="22"/>
              </w:rPr>
              <w:t> </w:t>
            </w:r>
          </w:p>
        </w:tc>
        <w:tc>
          <w:tcPr>
            <w:tcW w:w="1191" w:type="dxa"/>
            <w:tcBorders>
              <w:top w:val="nil"/>
              <w:left w:val="single" w:sz="4" w:space="0" w:color="auto"/>
              <w:bottom w:val="nil"/>
              <w:right w:val="single" w:sz="4" w:space="0" w:color="auto"/>
            </w:tcBorders>
            <w:shd w:val="clear" w:color="auto" w:fill="auto"/>
            <w:noWrap/>
            <w:vAlign w:val="bottom"/>
            <w:hideMark/>
          </w:tcPr>
          <w:p w14:paraId="4C44CBDA" w14:textId="77777777" w:rsidR="00D07B68" w:rsidRDefault="00D07B68">
            <w:pPr>
              <w:jc w:val="center"/>
              <w:rPr>
                <w:rFonts w:ascii="Arial" w:hAnsi="Arial" w:cs="Arial"/>
                <w:color w:val="000000"/>
                <w:sz w:val="22"/>
                <w:szCs w:val="22"/>
              </w:rPr>
            </w:pPr>
            <w:r>
              <w:rPr>
                <w:rFonts w:ascii="Arial" w:hAnsi="Arial" w:cs="Arial"/>
                <w:color w:val="000000"/>
                <w:sz w:val="22"/>
                <w:szCs w:val="22"/>
              </w:rPr>
              <w:t> </w:t>
            </w:r>
          </w:p>
        </w:tc>
        <w:tc>
          <w:tcPr>
            <w:tcW w:w="1191" w:type="dxa"/>
            <w:tcBorders>
              <w:top w:val="nil"/>
              <w:left w:val="nil"/>
              <w:bottom w:val="nil"/>
              <w:right w:val="single" w:sz="4" w:space="0" w:color="auto"/>
            </w:tcBorders>
            <w:shd w:val="clear" w:color="auto" w:fill="auto"/>
            <w:noWrap/>
            <w:vAlign w:val="bottom"/>
            <w:hideMark/>
          </w:tcPr>
          <w:p w14:paraId="064D5785" w14:textId="77777777" w:rsidR="00D07B68" w:rsidRDefault="00D07B68">
            <w:pPr>
              <w:jc w:val="center"/>
              <w:rPr>
                <w:rFonts w:ascii="Arial" w:hAnsi="Arial" w:cs="Arial"/>
                <w:color w:val="000000"/>
                <w:sz w:val="22"/>
                <w:szCs w:val="22"/>
              </w:rPr>
            </w:pPr>
            <w:r>
              <w:rPr>
                <w:rFonts w:ascii="Arial" w:hAnsi="Arial" w:cs="Arial"/>
                <w:color w:val="000000"/>
                <w:sz w:val="22"/>
                <w:szCs w:val="22"/>
              </w:rPr>
              <w:t> </w:t>
            </w:r>
          </w:p>
        </w:tc>
        <w:tc>
          <w:tcPr>
            <w:tcW w:w="1191" w:type="dxa"/>
            <w:tcBorders>
              <w:top w:val="nil"/>
              <w:left w:val="nil"/>
              <w:bottom w:val="nil"/>
              <w:right w:val="single" w:sz="4" w:space="0" w:color="auto"/>
            </w:tcBorders>
            <w:shd w:val="clear" w:color="auto" w:fill="auto"/>
            <w:noWrap/>
            <w:vAlign w:val="bottom"/>
            <w:hideMark/>
          </w:tcPr>
          <w:p w14:paraId="60233D51" w14:textId="77777777" w:rsidR="00D07B68" w:rsidRDefault="00D07B68">
            <w:pPr>
              <w:jc w:val="center"/>
              <w:rPr>
                <w:rFonts w:ascii="Arial" w:hAnsi="Arial" w:cs="Arial"/>
                <w:color w:val="000000"/>
                <w:sz w:val="22"/>
                <w:szCs w:val="22"/>
              </w:rPr>
            </w:pPr>
            <w:r>
              <w:rPr>
                <w:rFonts w:ascii="Arial" w:hAnsi="Arial" w:cs="Arial"/>
                <w:color w:val="000000"/>
                <w:sz w:val="22"/>
                <w:szCs w:val="22"/>
              </w:rPr>
              <w:t> </w:t>
            </w:r>
          </w:p>
        </w:tc>
      </w:tr>
      <w:tr w:rsidR="00D07B68" w14:paraId="767B9AF8" w14:textId="77777777" w:rsidTr="00D07B68">
        <w:trPr>
          <w:trHeight w:val="312"/>
        </w:trPr>
        <w:tc>
          <w:tcPr>
            <w:tcW w:w="3568" w:type="dxa"/>
            <w:tcBorders>
              <w:top w:val="nil"/>
              <w:left w:val="single" w:sz="4" w:space="0" w:color="auto"/>
              <w:bottom w:val="nil"/>
              <w:right w:val="single" w:sz="4" w:space="0" w:color="auto"/>
            </w:tcBorders>
            <w:shd w:val="clear" w:color="auto" w:fill="auto"/>
            <w:noWrap/>
            <w:vAlign w:val="bottom"/>
            <w:hideMark/>
          </w:tcPr>
          <w:p w14:paraId="2BC30C7F" w14:textId="77777777" w:rsidR="00D07B68" w:rsidRDefault="00D07B68">
            <w:pPr>
              <w:rPr>
                <w:rFonts w:ascii="Arial" w:hAnsi="Arial" w:cs="Arial"/>
                <w:b/>
                <w:bCs/>
                <w:color w:val="000000"/>
                <w:sz w:val="22"/>
                <w:szCs w:val="22"/>
              </w:rPr>
            </w:pPr>
            <w:r>
              <w:rPr>
                <w:rFonts w:ascii="Arial" w:hAnsi="Arial" w:cs="Arial"/>
                <w:b/>
                <w:bCs/>
                <w:color w:val="000000"/>
                <w:sz w:val="22"/>
                <w:szCs w:val="22"/>
              </w:rPr>
              <w:t>Gross Debt</w:t>
            </w:r>
          </w:p>
        </w:tc>
        <w:tc>
          <w:tcPr>
            <w:tcW w:w="1099" w:type="dxa"/>
            <w:tcBorders>
              <w:top w:val="nil"/>
              <w:left w:val="nil"/>
              <w:bottom w:val="nil"/>
              <w:right w:val="single" w:sz="4" w:space="0" w:color="auto"/>
            </w:tcBorders>
            <w:shd w:val="clear" w:color="auto" w:fill="auto"/>
            <w:noWrap/>
            <w:vAlign w:val="bottom"/>
            <w:hideMark/>
          </w:tcPr>
          <w:p w14:paraId="74C334FB" w14:textId="77777777" w:rsidR="00D07B68" w:rsidRDefault="00D07B68">
            <w:pPr>
              <w:jc w:val="right"/>
              <w:rPr>
                <w:rFonts w:ascii="Arial" w:hAnsi="Arial" w:cs="Arial"/>
                <w:b/>
                <w:bCs/>
                <w:color w:val="000000"/>
                <w:sz w:val="22"/>
                <w:szCs w:val="22"/>
              </w:rPr>
            </w:pPr>
            <w:r>
              <w:rPr>
                <w:rFonts w:ascii="Arial" w:hAnsi="Arial" w:cs="Arial"/>
                <w:b/>
                <w:bCs/>
                <w:color w:val="000000"/>
                <w:sz w:val="22"/>
                <w:szCs w:val="22"/>
              </w:rPr>
              <w:t>11,000</w:t>
            </w:r>
          </w:p>
        </w:tc>
        <w:tc>
          <w:tcPr>
            <w:tcW w:w="1113" w:type="dxa"/>
            <w:tcBorders>
              <w:top w:val="nil"/>
              <w:left w:val="nil"/>
              <w:bottom w:val="nil"/>
              <w:right w:val="single" w:sz="4" w:space="0" w:color="auto"/>
            </w:tcBorders>
            <w:shd w:val="clear" w:color="auto" w:fill="auto"/>
            <w:noWrap/>
            <w:vAlign w:val="bottom"/>
            <w:hideMark/>
          </w:tcPr>
          <w:p w14:paraId="7FD48102" w14:textId="77777777" w:rsidR="00D07B68" w:rsidRDefault="00D07B68">
            <w:pPr>
              <w:jc w:val="right"/>
              <w:rPr>
                <w:rFonts w:ascii="Arial" w:hAnsi="Arial" w:cs="Arial"/>
                <w:b/>
                <w:bCs/>
                <w:color w:val="000000"/>
                <w:sz w:val="22"/>
                <w:szCs w:val="22"/>
              </w:rPr>
            </w:pPr>
            <w:r>
              <w:rPr>
                <w:rFonts w:ascii="Arial" w:hAnsi="Arial" w:cs="Arial"/>
                <w:b/>
                <w:bCs/>
                <w:color w:val="000000"/>
                <w:sz w:val="22"/>
                <w:szCs w:val="22"/>
              </w:rPr>
              <w:t>0</w:t>
            </w:r>
          </w:p>
        </w:tc>
        <w:tc>
          <w:tcPr>
            <w:tcW w:w="1191" w:type="dxa"/>
            <w:tcBorders>
              <w:top w:val="nil"/>
              <w:left w:val="nil"/>
              <w:bottom w:val="nil"/>
              <w:right w:val="single" w:sz="4" w:space="0" w:color="auto"/>
            </w:tcBorders>
            <w:shd w:val="clear" w:color="auto" w:fill="auto"/>
            <w:noWrap/>
            <w:vAlign w:val="bottom"/>
            <w:hideMark/>
          </w:tcPr>
          <w:p w14:paraId="16662570" w14:textId="77777777" w:rsidR="00D07B68" w:rsidRDefault="00D07B68">
            <w:pPr>
              <w:jc w:val="right"/>
              <w:rPr>
                <w:rFonts w:ascii="Arial" w:hAnsi="Arial" w:cs="Arial"/>
                <w:b/>
                <w:bCs/>
                <w:color w:val="000000"/>
                <w:sz w:val="22"/>
                <w:szCs w:val="22"/>
              </w:rPr>
            </w:pPr>
            <w:r>
              <w:rPr>
                <w:rFonts w:ascii="Arial" w:hAnsi="Arial" w:cs="Arial"/>
                <w:b/>
                <w:bCs/>
                <w:color w:val="000000"/>
                <w:sz w:val="22"/>
                <w:szCs w:val="22"/>
              </w:rPr>
              <w:t>12,849</w:t>
            </w:r>
          </w:p>
        </w:tc>
        <w:tc>
          <w:tcPr>
            <w:tcW w:w="1191" w:type="dxa"/>
            <w:tcBorders>
              <w:top w:val="nil"/>
              <w:left w:val="nil"/>
              <w:bottom w:val="nil"/>
              <w:right w:val="single" w:sz="4" w:space="0" w:color="auto"/>
            </w:tcBorders>
            <w:shd w:val="clear" w:color="auto" w:fill="auto"/>
            <w:noWrap/>
            <w:vAlign w:val="bottom"/>
            <w:hideMark/>
          </w:tcPr>
          <w:p w14:paraId="67B6E8F7" w14:textId="77777777" w:rsidR="00D07B68" w:rsidRDefault="00D07B68">
            <w:pPr>
              <w:jc w:val="right"/>
              <w:rPr>
                <w:rFonts w:ascii="Arial" w:hAnsi="Arial" w:cs="Arial"/>
                <w:b/>
                <w:bCs/>
                <w:color w:val="000000"/>
                <w:sz w:val="22"/>
                <w:szCs w:val="22"/>
              </w:rPr>
            </w:pPr>
            <w:r>
              <w:rPr>
                <w:rFonts w:ascii="Arial" w:hAnsi="Arial" w:cs="Arial"/>
                <w:b/>
                <w:bCs/>
                <w:color w:val="000000"/>
                <w:sz w:val="22"/>
                <w:szCs w:val="22"/>
              </w:rPr>
              <w:t>16,668</w:t>
            </w:r>
          </w:p>
        </w:tc>
        <w:tc>
          <w:tcPr>
            <w:tcW w:w="1191" w:type="dxa"/>
            <w:tcBorders>
              <w:top w:val="nil"/>
              <w:left w:val="nil"/>
              <w:bottom w:val="nil"/>
              <w:right w:val="single" w:sz="4" w:space="0" w:color="auto"/>
            </w:tcBorders>
            <w:shd w:val="clear" w:color="auto" w:fill="auto"/>
            <w:noWrap/>
            <w:vAlign w:val="bottom"/>
            <w:hideMark/>
          </w:tcPr>
          <w:p w14:paraId="6F143D2B" w14:textId="77777777" w:rsidR="00D07B68" w:rsidRDefault="00D07B68">
            <w:pPr>
              <w:jc w:val="right"/>
              <w:rPr>
                <w:rFonts w:ascii="Arial" w:hAnsi="Arial" w:cs="Arial"/>
                <w:b/>
                <w:bCs/>
                <w:color w:val="000000"/>
                <w:sz w:val="22"/>
                <w:szCs w:val="22"/>
              </w:rPr>
            </w:pPr>
            <w:r>
              <w:rPr>
                <w:rFonts w:ascii="Arial" w:hAnsi="Arial" w:cs="Arial"/>
                <w:b/>
                <w:bCs/>
                <w:color w:val="000000"/>
                <w:sz w:val="22"/>
                <w:szCs w:val="22"/>
              </w:rPr>
              <w:t>26,973</w:t>
            </w:r>
          </w:p>
        </w:tc>
      </w:tr>
      <w:tr w:rsidR="00D07B68" w14:paraId="4B9631FD" w14:textId="77777777" w:rsidTr="00D07B68">
        <w:trPr>
          <w:trHeight w:val="297"/>
        </w:trPr>
        <w:tc>
          <w:tcPr>
            <w:tcW w:w="3568" w:type="dxa"/>
            <w:tcBorders>
              <w:top w:val="nil"/>
              <w:left w:val="single" w:sz="4" w:space="0" w:color="auto"/>
              <w:bottom w:val="nil"/>
              <w:right w:val="single" w:sz="4" w:space="0" w:color="auto"/>
            </w:tcBorders>
            <w:shd w:val="clear" w:color="auto" w:fill="auto"/>
            <w:noWrap/>
            <w:vAlign w:val="bottom"/>
            <w:hideMark/>
          </w:tcPr>
          <w:p w14:paraId="7EF52223" w14:textId="77777777" w:rsidR="00D07B68" w:rsidRDefault="00D07B68">
            <w:pPr>
              <w:rPr>
                <w:rFonts w:ascii="Arial" w:hAnsi="Arial" w:cs="Arial"/>
                <w:color w:val="000000"/>
                <w:sz w:val="22"/>
                <w:szCs w:val="22"/>
              </w:rPr>
            </w:pPr>
            <w:r>
              <w:rPr>
                <w:rFonts w:ascii="Arial" w:hAnsi="Arial" w:cs="Arial"/>
                <w:color w:val="000000"/>
                <w:sz w:val="22"/>
                <w:szCs w:val="22"/>
              </w:rPr>
              <w:t>Investments</w:t>
            </w:r>
          </w:p>
        </w:tc>
        <w:tc>
          <w:tcPr>
            <w:tcW w:w="1099" w:type="dxa"/>
            <w:tcBorders>
              <w:top w:val="nil"/>
              <w:left w:val="nil"/>
              <w:bottom w:val="nil"/>
              <w:right w:val="single" w:sz="4" w:space="0" w:color="auto"/>
            </w:tcBorders>
            <w:shd w:val="clear" w:color="auto" w:fill="auto"/>
            <w:noWrap/>
            <w:vAlign w:val="bottom"/>
            <w:hideMark/>
          </w:tcPr>
          <w:p w14:paraId="1D2B9745" w14:textId="77777777" w:rsidR="00D07B68" w:rsidRDefault="00D07B68">
            <w:pPr>
              <w:jc w:val="right"/>
              <w:rPr>
                <w:rFonts w:ascii="Arial" w:hAnsi="Arial" w:cs="Arial"/>
                <w:color w:val="000000"/>
                <w:sz w:val="22"/>
                <w:szCs w:val="22"/>
              </w:rPr>
            </w:pPr>
            <w:r>
              <w:rPr>
                <w:rFonts w:ascii="Arial" w:hAnsi="Arial" w:cs="Arial"/>
                <w:color w:val="000000"/>
                <w:sz w:val="22"/>
                <w:szCs w:val="22"/>
              </w:rPr>
              <w:t>(14,277)</w:t>
            </w:r>
          </w:p>
        </w:tc>
        <w:tc>
          <w:tcPr>
            <w:tcW w:w="1113" w:type="dxa"/>
            <w:tcBorders>
              <w:top w:val="nil"/>
              <w:left w:val="nil"/>
              <w:bottom w:val="nil"/>
              <w:right w:val="single" w:sz="4" w:space="0" w:color="auto"/>
            </w:tcBorders>
            <w:shd w:val="clear" w:color="auto" w:fill="auto"/>
            <w:noWrap/>
            <w:vAlign w:val="bottom"/>
            <w:hideMark/>
          </w:tcPr>
          <w:p w14:paraId="2C5703F7" w14:textId="77777777" w:rsidR="00D07B68" w:rsidRDefault="00D07B68">
            <w:pPr>
              <w:jc w:val="right"/>
              <w:rPr>
                <w:rFonts w:ascii="Arial" w:hAnsi="Arial" w:cs="Arial"/>
                <w:color w:val="000000"/>
                <w:sz w:val="22"/>
                <w:szCs w:val="22"/>
              </w:rPr>
            </w:pPr>
            <w:r>
              <w:rPr>
                <w:rFonts w:ascii="Arial" w:hAnsi="Arial" w:cs="Arial"/>
                <w:color w:val="000000"/>
                <w:sz w:val="22"/>
                <w:szCs w:val="22"/>
              </w:rPr>
              <w:t>(9,860)</w:t>
            </w:r>
          </w:p>
        </w:tc>
        <w:tc>
          <w:tcPr>
            <w:tcW w:w="1191" w:type="dxa"/>
            <w:tcBorders>
              <w:top w:val="nil"/>
              <w:left w:val="nil"/>
              <w:bottom w:val="nil"/>
              <w:right w:val="single" w:sz="4" w:space="0" w:color="auto"/>
            </w:tcBorders>
            <w:shd w:val="clear" w:color="auto" w:fill="auto"/>
            <w:noWrap/>
            <w:vAlign w:val="bottom"/>
            <w:hideMark/>
          </w:tcPr>
          <w:p w14:paraId="213FE2AA" w14:textId="77777777" w:rsidR="00D07B68" w:rsidRDefault="00D07B68">
            <w:pPr>
              <w:jc w:val="right"/>
              <w:rPr>
                <w:rFonts w:ascii="Arial" w:hAnsi="Arial" w:cs="Arial"/>
                <w:color w:val="000000"/>
                <w:sz w:val="22"/>
                <w:szCs w:val="22"/>
              </w:rPr>
            </w:pPr>
            <w:r>
              <w:rPr>
                <w:rFonts w:ascii="Arial" w:hAnsi="Arial" w:cs="Arial"/>
                <w:color w:val="000000"/>
                <w:sz w:val="22"/>
                <w:szCs w:val="22"/>
              </w:rPr>
              <w:t>(10,071)</w:t>
            </w:r>
          </w:p>
        </w:tc>
        <w:tc>
          <w:tcPr>
            <w:tcW w:w="1191" w:type="dxa"/>
            <w:tcBorders>
              <w:top w:val="nil"/>
              <w:left w:val="nil"/>
              <w:bottom w:val="nil"/>
              <w:right w:val="single" w:sz="4" w:space="0" w:color="auto"/>
            </w:tcBorders>
            <w:shd w:val="clear" w:color="auto" w:fill="auto"/>
            <w:noWrap/>
            <w:vAlign w:val="bottom"/>
            <w:hideMark/>
          </w:tcPr>
          <w:p w14:paraId="2AE7559F" w14:textId="77777777" w:rsidR="00D07B68" w:rsidRDefault="00D07B68">
            <w:pPr>
              <w:jc w:val="right"/>
              <w:rPr>
                <w:rFonts w:ascii="Arial" w:hAnsi="Arial" w:cs="Arial"/>
                <w:color w:val="000000"/>
                <w:sz w:val="22"/>
                <w:szCs w:val="22"/>
              </w:rPr>
            </w:pPr>
            <w:r>
              <w:rPr>
                <w:rFonts w:ascii="Arial" w:hAnsi="Arial" w:cs="Arial"/>
                <w:color w:val="000000"/>
                <w:sz w:val="22"/>
                <w:szCs w:val="22"/>
              </w:rPr>
              <w:t>(10,186)</w:t>
            </w:r>
          </w:p>
        </w:tc>
        <w:tc>
          <w:tcPr>
            <w:tcW w:w="1191" w:type="dxa"/>
            <w:tcBorders>
              <w:top w:val="nil"/>
              <w:left w:val="nil"/>
              <w:bottom w:val="nil"/>
              <w:right w:val="single" w:sz="4" w:space="0" w:color="auto"/>
            </w:tcBorders>
            <w:shd w:val="clear" w:color="auto" w:fill="auto"/>
            <w:noWrap/>
            <w:vAlign w:val="bottom"/>
            <w:hideMark/>
          </w:tcPr>
          <w:p w14:paraId="07CC81A4" w14:textId="77777777" w:rsidR="00D07B68" w:rsidRDefault="00D07B68">
            <w:pPr>
              <w:jc w:val="right"/>
              <w:rPr>
                <w:rFonts w:ascii="Arial" w:hAnsi="Arial" w:cs="Arial"/>
                <w:color w:val="000000"/>
                <w:sz w:val="22"/>
                <w:szCs w:val="22"/>
              </w:rPr>
            </w:pPr>
            <w:r>
              <w:rPr>
                <w:rFonts w:ascii="Arial" w:hAnsi="Arial" w:cs="Arial"/>
                <w:color w:val="000000"/>
                <w:sz w:val="22"/>
                <w:szCs w:val="22"/>
              </w:rPr>
              <w:t>(10,396)</w:t>
            </w:r>
          </w:p>
        </w:tc>
      </w:tr>
      <w:tr w:rsidR="00D07B68" w14:paraId="30C51841" w14:textId="77777777" w:rsidTr="00D07B68">
        <w:trPr>
          <w:trHeight w:val="297"/>
        </w:trPr>
        <w:tc>
          <w:tcPr>
            <w:tcW w:w="3568" w:type="dxa"/>
            <w:tcBorders>
              <w:top w:val="nil"/>
              <w:left w:val="single" w:sz="4" w:space="0" w:color="auto"/>
              <w:bottom w:val="nil"/>
              <w:right w:val="single" w:sz="4" w:space="0" w:color="auto"/>
            </w:tcBorders>
            <w:shd w:val="clear" w:color="auto" w:fill="auto"/>
            <w:noWrap/>
            <w:vAlign w:val="bottom"/>
            <w:hideMark/>
          </w:tcPr>
          <w:p w14:paraId="5C08A6B4" w14:textId="77777777" w:rsidR="00D07B68" w:rsidRDefault="00D07B68">
            <w:pPr>
              <w:rPr>
                <w:rFonts w:ascii="Arial" w:hAnsi="Arial" w:cs="Arial"/>
                <w:color w:val="000000"/>
                <w:sz w:val="22"/>
                <w:szCs w:val="22"/>
              </w:rPr>
            </w:pPr>
            <w:r>
              <w:rPr>
                <w:rFonts w:ascii="Arial" w:hAnsi="Arial" w:cs="Arial"/>
                <w:color w:val="000000"/>
                <w:sz w:val="22"/>
                <w:szCs w:val="22"/>
              </w:rPr>
              <w:t>Net Borrowing</w:t>
            </w:r>
          </w:p>
        </w:tc>
        <w:tc>
          <w:tcPr>
            <w:tcW w:w="1099" w:type="dxa"/>
            <w:tcBorders>
              <w:top w:val="single" w:sz="4" w:space="0" w:color="auto"/>
              <w:left w:val="nil"/>
              <w:bottom w:val="single" w:sz="4" w:space="0" w:color="auto"/>
              <w:right w:val="single" w:sz="4" w:space="0" w:color="auto"/>
            </w:tcBorders>
            <w:shd w:val="clear" w:color="auto" w:fill="auto"/>
            <w:noWrap/>
            <w:vAlign w:val="bottom"/>
            <w:hideMark/>
          </w:tcPr>
          <w:p w14:paraId="52F02187" w14:textId="77777777" w:rsidR="00D07B68" w:rsidRDefault="00D07B68">
            <w:pPr>
              <w:jc w:val="right"/>
              <w:rPr>
                <w:rFonts w:ascii="Arial" w:hAnsi="Arial" w:cs="Arial"/>
                <w:color w:val="000000"/>
                <w:sz w:val="22"/>
                <w:szCs w:val="22"/>
              </w:rPr>
            </w:pPr>
            <w:r>
              <w:rPr>
                <w:rFonts w:ascii="Arial" w:hAnsi="Arial" w:cs="Arial"/>
                <w:color w:val="000000"/>
                <w:sz w:val="22"/>
                <w:szCs w:val="22"/>
              </w:rPr>
              <w:t>(3,277)</w:t>
            </w:r>
          </w:p>
        </w:tc>
        <w:tc>
          <w:tcPr>
            <w:tcW w:w="1113" w:type="dxa"/>
            <w:tcBorders>
              <w:top w:val="single" w:sz="4" w:space="0" w:color="auto"/>
              <w:left w:val="nil"/>
              <w:bottom w:val="single" w:sz="4" w:space="0" w:color="auto"/>
              <w:right w:val="single" w:sz="4" w:space="0" w:color="auto"/>
            </w:tcBorders>
            <w:shd w:val="clear" w:color="auto" w:fill="auto"/>
            <w:noWrap/>
            <w:vAlign w:val="bottom"/>
            <w:hideMark/>
          </w:tcPr>
          <w:p w14:paraId="61432596" w14:textId="77777777" w:rsidR="00D07B68" w:rsidRDefault="00D07B68">
            <w:pPr>
              <w:jc w:val="right"/>
              <w:rPr>
                <w:rFonts w:ascii="Arial" w:hAnsi="Arial" w:cs="Arial"/>
                <w:color w:val="000000"/>
                <w:sz w:val="22"/>
                <w:szCs w:val="22"/>
              </w:rPr>
            </w:pPr>
            <w:r>
              <w:rPr>
                <w:rFonts w:ascii="Arial" w:hAnsi="Arial" w:cs="Arial"/>
                <w:color w:val="000000"/>
                <w:sz w:val="22"/>
                <w:szCs w:val="22"/>
              </w:rPr>
              <w:t>(9,860)</w:t>
            </w:r>
          </w:p>
        </w:tc>
        <w:tc>
          <w:tcPr>
            <w:tcW w:w="1191" w:type="dxa"/>
            <w:tcBorders>
              <w:top w:val="single" w:sz="4" w:space="0" w:color="auto"/>
              <w:left w:val="nil"/>
              <w:bottom w:val="single" w:sz="4" w:space="0" w:color="auto"/>
              <w:right w:val="single" w:sz="4" w:space="0" w:color="auto"/>
            </w:tcBorders>
            <w:shd w:val="clear" w:color="auto" w:fill="auto"/>
            <w:noWrap/>
            <w:vAlign w:val="bottom"/>
            <w:hideMark/>
          </w:tcPr>
          <w:p w14:paraId="6805DAC2" w14:textId="77777777" w:rsidR="00D07B68" w:rsidRDefault="00D07B68">
            <w:pPr>
              <w:jc w:val="right"/>
              <w:rPr>
                <w:rFonts w:ascii="Arial" w:hAnsi="Arial" w:cs="Arial"/>
                <w:color w:val="000000"/>
                <w:sz w:val="22"/>
                <w:szCs w:val="22"/>
              </w:rPr>
            </w:pPr>
            <w:r>
              <w:rPr>
                <w:rFonts w:ascii="Arial" w:hAnsi="Arial" w:cs="Arial"/>
                <w:color w:val="000000"/>
                <w:sz w:val="22"/>
                <w:szCs w:val="22"/>
              </w:rPr>
              <w:t>2,778</w:t>
            </w:r>
          </w:p>
        </w:tc>
        <w:tc>
          <w:tcPr>
            <w:tcW w:w="1191" w:type="dxa"/>
            <w:tcBorders>
              <w:top w:val="single" w:sz="4" w:space="0" w:color="auto"/>
              <w:left w:val="nil"/>
              <w:bottom w:val="single" w:sz="4" w:space="0" w:color="auto"/>
              <w:right w:val="single" w:sz="4" w:space="0" w:color="auto"/>
            </w:tcBorders>
            <w:shd w:val="clear" w:color="auto" w:fill="auto"/>
            <w:noWrap/>
            <w:vAlign w:val="bottom"/>
            <w:hideMark/>
          </w:tcPr>
          <w:p w14:paraId="43A63A90" w14:textId="77777777" w:rsidR="00D07B68" w:rsidRDefault="00D07B68">
            <w:pPr>
              <w:jc w:val="right"/>
              <w:rPr>
                <w:rFonts w:ascii="Arial" w:hAnsi="Arial" w:cs="Arial"/>
                <w:color w:val="000000"/>
                <w:sz w:val="22"/>
                <w:szCs w:val="22"/>
              </w:rPr>
            </w:pPr>
            <w:r>
              <w:rPr>
                <w:rFonts w:ascii="Arial" w:hAnsi="Arial" w:cs="Arial"/>
                <w:color w:val="000000"/>
                <w:sz w:val="22"/>
                <w:szCs w:val="22"/>
              </w:rPr>
              <w:t>6,482</w:t>
            </w:r>
          </w:p>
        </w:tc>
        <w:tc>
          <w:tcPr>
            <w:tcW w:w="1191" w:type="dxa"/>
            <w:tcBorders>
              <w:top w:val="single" w:sz="4" w:space="0" w:color="auto"/>
              <w:left w:val="nil"/>
              <w:bottom w:val="single" w:sz="4" w:space="0" w:color="auto"/>
              <w:right w:val="single" w:sz="4" w:space="0" w:color="auto"/>
            </w:tcBorders>
            <w:shd w:val="clear" w:color="auto" w:fill="auto"/>
            <w:noWrap/>
            <w:vAlign w:val="bottom"/>
            <w:hideMark/>
          </w:tcPr>
          <w:p w14:paraId="5B218A57" w14:textId="77777777" w:rsidR="00D07B68" w:rsidRDefault="00D07B68">
            <w:pPr>
              <w:jc w:val="right"/>
              <w:rPr>
                <w:rFonts w:ascii="Arial" w:hAnsi="Arial" w:cs="Arial"/>
                <w:color w:val="000000"/>
                <w:sz w:val="22"/>
                <w:szCs w:val="22"/>
              </w:rPr>
            </w:pPr>
            <w:r>
              <w:rPr>
                <w:rFonts w:ascii="Arial" w:hAnsi="Arial" w:cs="Arial"/>
                <w:color w:val="000000"/>
                <w:sz w:val="22"/>
                <w:szCs w:val="22"/>
              </w:rPr>
              <w:t>16,577</w:t>
            </w:r>
          </w:p>
        </w:tc>
      </w:tr>
      <w:tr w:rsidR="00D07B68" w14:paraId="3D72A9A9" w14:textId="77777777" w:rsidTr="00D07B68">
        <w:trPr>
          <w:trHeight w:val="297"/>
        </w:trPr>
        <w:tc>
          <w:tcPr>
            <w:tcW w:w="3568" w:type="dxa"/>
            <w:tcBorders>
              <w:top w:val="nil"/>
              <w:left w:val="single" w:sz="4" w:space="0" w:color="auto"/>
              <w:bottom w:val="nil"/>
              <w:right w:val="single" w:sz="4" w:space="0" w:color="auto"/>
            </w:tcBorders>
            <w:shd w:val="clear" w:color="auto" w:fill="auto"/>
            <w:noWrap/>
            <w:vAlign w:val="bottom"/>
            <w:hideMark/>
          </w:tcPr>
          <w:p w14:paraId="144037A1" w14:textId="77777777" w:rsidR="00D07B68" w:rsidRDefault="00D07B68">
            <w:pPr>
              <w:rPr>
                <w:rFonts w:ascii="Arial" w:hAnsi="Arial" w:cs="Arial"/>
                <w:color w:val="000000"/>
                <w:sz w:val="22"/>
                <w:szCs w:val="22"/>
              </w:rPr>
            </w:pPr>
            <w:r>
              <w:rPr>
                <w:rFonts w:ascii="Arial" w:hAnsi="Arial" w:cs="Arial"/>
                <w:color w:val="000000"/>
                <w:sz w:val="22"/>
                <w:szCs w:val="22"/>
              </w:rPr>
              <w:t> </w:t>
            </w:r>
          </w:p>
        </w:tc>
        <w:tc>
          <w:tcPr>
            <w:tcW w:w="1099" w:type="dxa"/>
            <w:tcBorders>
              <w:top w:val="nil"/>
              <w:left w:val="nil"/>
              <w:bottom w:val="nil"/>
              <w:right w:val="nil"/>
            </w:tcBorders>
            <w:shd w:val="clear" w:color="auto" w:fill="auto"/>
            <w:noWrap/>
            <w:vAlign w:val="bottom"/>
            <w:hideMark/>
          </w:tcPr>
          <w:p w14:paraId="7EA2CFEF" w14:textId="77777777" w:rsidR="00D07B68" w:rsidRDefault="00D07B68">
            <w:pPr>
              <w:rPr>
                <w:rFonts w:ascii="Arial" w:hAnsi="Arial" w:cs="Arial"/>
                <w:color w:val="000000"/>
                <w:sz w:val="22"/>
                <w:szCs w:val="22"/>
              </w:rPr>
            </w:pPr>
          </w:p>
        </w:tc>
        <w:tc>
          <w:tcPr>
            <w:tcW w:w="1113" w:type="dxa"/>
            <w:tcBorders>
              <w:top w:val="nil"/>
              <w:left w:val="single" w:sz="4" w:space="0" w:color="auto"/>
              <w:bottom w:val="nil"/>
              <w:right w:val="single" w:sz="4" w:space="0" w:color="auto"/>
            </w:tcBorders>
            <w:shd w:val="clear" w:color="auto" w:fill="auto"/>
            <w:noWrap/>
            <w:vAlign w:val="bottom"/>
            <w:hideMark/>
          </w:tcPr>
          <w:p w14:paraId="471009B9" w14:textId="77777777" w:rsidR="00D07B68" w:rsidRDefault="00D07B68">
            <w:pPr>
              <w:jc w:val="right"/>
              <w:rPr>
                <w:rFonts w:ascii="Arial" w:hAnsi="Arial" w:cs="Arial"/>
                <w:color w:val="000000"/>
                <w:sz w:val="22"/>
                <w:szCs w:val="22"/>
              </w:rPr>
            </w:pPr>
            <w:r>
              <w:rPr>
                <w:rFonts w:ascii="Arial" w:hAnsi="Arial" w:cs="Arial"/>
                <w:color w:val="000000"/>
                <w:sz w:val="22"/>
                <w:szCs w:val="22"/>
              </w:rPr>
              <w:t> </w:t>
            </w:r>
          </w:p>
        </w:tc>
        <w:tc>
          <w:tcPr>
            <w:tcW w:w="1191" w:type="dxa"/>
            <w:tcBorders>
              <w:top w:val="nil"/>
              <w:left w:val="nil"/>
              <w:bottom w:val="nil"/>
              <w:right w:val="nil"/>
            </w:tcBorders>
            <w:shd w:val="clear" w:color="auto" w:fill="auto"/>
            <w:noWrap/>
            <w:vAlign w:val="bottom"/>
            <w:hideMark/>
          </w:tcPr>
          <w:p w14:paraId="4D51C876" w14:textId="77777777" w:rsidR="00D07B68" w:rsidRDefault="00D07B68">
            <w:pPr>
              <w:jc w:val="right"/>
              <w:rPr>
                <w:rFonts w:ascii="Arial" w:hAnsi="Arial" w:cs="Arial"/>
                <w:color w:val="000000"/>
                <w:sz w:val="22"/>
                <w:szCs w:val="22"/>
              </w:rPr>
            </w:pPr>
          </w:p>
        </w:tc>
        <w:tc>
          <w:tcPr>
            <w:tcW w:w="1191" w:type="dxa"/>
            <w:tcBorders>
              <w:top w:val="nil"/>
              <w:left w:val="single" w:sz="4" w:space="0" w:color="auto"/>
              <w:bottom w:val="nil"/>
              <w:right w:val="single" w:sz="4" w:space="0" w:color="auto"/>
            </w:tcBorders>
            <w:shd w:val="clear" w:color="auto" w:fill="auto"/>
            <w:noWrap/>
            <w:vAlign w:val="bottom"/>
            <w:hideMark/>
          </w:tcPr>
          <w:p w14:paraId="558430EE" w14:textId="77777777" w:rsidR="00D07B68" w:rsidRDefault="00D07B68">
            <w:pPr>
              <w:jc w:val="right"/>
              <w:rPr>
                <w:rFonts w:ascii="Arial" w:hAnsi="Arial" w:cs="Arial"/>
                <w:color w:val="000000"/>
                <w:sz w:val="22"/>
                <w:szCs w:val="22"/>
              </w:rPr>
            </w:pPr>
            <w:r>
              <w:rPr>
                <w:rFonts w:ascii="Arial" w:hAnsi="Arial" w:cs="Arial"/>
                <w:color w:val="000000"/>
                <w:sz w:val="22"/>
                <w:szCs w:val="22"/>
              </w:rPr>
              <w:t> </w:t>
            </w:r>
          </w:p>
        </w:tc>
        <w:tc>
          <w:tcPr>
            <w:tcW w:w="1191" w:type="dxa"/>
            <w:tcBorders>
              <w:top w:val="nil"/>
              <w:left w:val="nil"/>
              <w:bottom w:val="nil"/>
              <w:right w:val="single" w:sz="4" w:space="0" w:color="auto"/>
            </w:tcBorders>
            <w:shd w:val="clear" w:color="auto" w:fill="auto"/>
            <w:noWrap/>
            <w:vAlign w:val="bottom"/>
            <w:hideMark/>
          </w:tcPr>
          <w:p w14:paraId="4B56010A" w14:textId="77777777" w:rsidR="00D07B68" w:rsidRDefault="00D07B68">
            <w:pPr>
              <w:jc w:val="right"/>
              <w:rPr>
                <w:rFonts w:ascii="Arial" w:hAnsi="Arial" w:cs="Arial"/>
                <w:color w:val="000000"/>
                <w:sz w:val="22"/>
                <w:szCs w:val="22"/>
              </w:rPr>
            </w:pPr>
            <w:r>
              <w:rPr>
                <w:rFonts w:ascii="Arial" w:hAnsi="Arial" w:cs="Arial"/>
                <w:color w:val="000000"/>
                <w:sz w:val="22"/>
                <w:szCs w:val="22"/>
              </w:rPr>
              <w:t> </w:t>
            </w:r>
          </w:p>
        </w:tc>
      </w:tr>
      <w:tr w:rsidR="00D07B68" w14:paraId="51F1A938" w14:textId="77777777" w:rsidTr="00D07B68">
        <w:trPr>
          <w:trHeight w:val="312"/>
        </w:trPr>
        <w:tc>
          <w:tcPr>
            <w:tcW w:w="3568" w:type="dxa"/>
            <w:tcBorders>
              <w:top w:val="nil"/>
              <w:left w:val="single" w:sz="4" w:space="0" w:color="auto"/>
              <w:bottom w:val="nil"/>
              <w:right w:val="single" w:sz="4" w:space="0" w:color="auto"/>
            </w:tcBorders>
            <w:shd w:val="clear" w:color="auto" w:fill="auto"/>
            <w:noWrap/>
            <w:vAlign w:val="bottom"/>
            <w:hideMark/>
          </w:tcPr>
          <w:p w14:paraId="72E387BE" w14:textId="77777777" w:rsidR="00D07B68" w:rsidRDefault="00D07B68">
            <w:pPr>
              <w:rPr>
                <w:rFonts w:ascii="Arial" w:hAnsi="Arial" w:cs="Arial"/>
                <w:b/>
                <w:bCs/>
                <w:color w:val="000000"/>
                <w:sz w:val="22"/>
                <w:szCs w:val="22"/>
              </w:rPr>
            </w:pPr>
            <w:r>
              <w:rPr>
                <w:rFonts w:ascii="Arial" w:hAnsi="Arial" w:cs="Arial"/>
                <w:b/>
                <w:bCs/>
                <w:color w:val="000000"/>
                <w:sz w:val="22"/>
                <w:szCs w:val="22"/>
              </w:rPr>
              <w:t>Capital Financing Requirement</w:t>
            </w:r>
          </w:p>
        </w:tc>
        <w:tc>
          <w:tcPr>
            <w:tcW w:w="1099" w:type="dxa"/>
            <w:tcBorders>
              <w:top w:val="nil"/>
              <w:left w:val="nil"/>
              <w:bottom w:val="nil"/>
              <w:right w:val="nil"/>
            </w:tcBorders>
            <w:shd w:val="clear" w:color="auto" w:fill="auto"/>
            <w:noWrap/>
            <w:vAlign w:val="bottom"/>
            <w:hideMark/>
          </w:tcPr>
          <w:p w14:paraId="1DDB6B94" w14:textId="77777777" w:rsidR="00D07B68" w:rsidRDefault="00D07B68">
            <w:pPr>
              <w:jc w:val="right"/>
              <w:rPr>
                <w:rFonts w:ascii="Arial" w:hAnsi="Arial" w:cs="Arial"/>
                <w:b/>
                <w:bCs/>
                <w:color w:val="000000"/>
                <w:sz w:val="22"/>
                <w:szCs w:val="22"/>
              </w:rPr>
            </w:pPr>
            <w:r>
              <w:rPr>
                <w:rFonts w:ascii="Arial" w:hAnsi="Arial" w:cs="Arial"/>
                <w:b/>
                <w:bCs/>
                <w:color w:val="000000"/>
                <w:sz w:val="22"/>
                <w:szCs w:val="22"/>
              </w:rPr>
              <w:t>10,560</w:t>
            </w:r>
          </w:p>
        </w:tc>
        <w:tc>
          <w:tcPr>
            <w:tcW w:w="1113" w:type="dxa"/>
            <w:tcBorders>
              <w:top w:val="nil"/>
              <w:left w:val="single" w:sz="4" w:space="0" w:color="auto"/>
              <w:bottom w:val="nil"/>
              <w:right w:val="nil"/>
            </w:tcBorders>
            <w:shd w:val="clear" w:color="auto" w:fill="auto"/>
            <w:noWrap/>
            <w:vAlign w:val="bottom"/>
            <w:hideMark/>
          </w:tcPr>
          <w:p w14:paraId="05BAC172" w14:textId="77777777" w:rsidR="00D07B68" w:rsidRDefault="00D07B68">
            <w:pPr>
              <w:jc w:val="right"/>
              <w:rPr>
                <w:rFonts w:ascii="Arial" w:hAnsi="Arial" w:cs="Arial"/>
                <w:b/>
                <w:bCs/>
                <w:color w:val="000000"/>
                <w:sz w:val="22"/>
                <w:szCs w:val="22"/>
              </w:rPr>
            </w:pPr>
            <w:r>
              <w:rPr>
                <w:rFonts w:ascii="Arial" w:hAnsi="Arial" w:cs="Arial"/>
                <w:b/>
                <w:bCs/>
                <w:color w:val="000000"/>
                <w:sz w:val="22"/>
                <w:szCs w:val="22"/>
              </w:rPr>
              <w:t>0</w:t>
            </w:r>
          </w:p>
        </w:tc>
        <w:tc>
          <w:tcPr>
            <w:tcW w:w="1191" w:type="dxa"/>
            <w:tcBorders>
              <w:top w:val="nil"/>
              <w:left w:val="single" w:sz="4" w:space="0" w:color="auto"/>
              <w:bottom w:val="nil"/>
              <w:right w:val="nil"/>
            </w:tcBorders>
            <w:shd w:val="clear" w:color="auto" w:fill="auto"/>
            <w:noWrap/>
            <w:vAlign w:val="bottom"/>
            <w:hideMark/>
          </w:tcPr>
          <w:p w14:paraId="689BDA20" w14:textId="77777777" w:rsidR="00D07B68" w:rsidRDefault="00D07B68">
            <w:pPr>
              <w:jc w:val="right"/>
              <w:rPr>
                <w:rFonts w:ascii="Arial" w:hAnsi="Arial" w:cs="Arial"/>
                <w:b/>
                <w:bCs/>
                <w:color w:val="000000"/>
                <w:sz w:val="22"/>
                <w:szCs w:val="22"/>
              </w:rPr>
            </w:pPr>
            <w:r>
              <w:rPr>
                <w:rFonts w:ascii="Arial" w:hAnsi="Arial" w:cs="Arial"/>
                <w:b/>
                <w:bCs/>
                <w:color w:val="000000"/>
                <w:sz w:val="22"/>
                <w:szCs w:val="22"/>
              </w:rPr>
              <w:t>12,849</w:t>
            </w:r>
          </w:p>
        </w:tc>
        <w:tc>
          <w:tcPr>
            <w:tcW w:w="1191" w:type="dxa"/>
            <w:tcBorders>
              <w:top w:val="nil"/>
              <w:left w:val="single" w:sz="4" w:space="0" w:color="auto"/>
              <w:bottom w:val="nil"/>
              <w:right w:val="nil"/>
            </w:tcBorders>
            <w:shd w:val="clear" w:color="auto" w:fill="auto"/>
            <w:noWrap/>
            <w:vAlign w:val="bottom"/>
            <w:hideMark/>
          </w:tcPr>
          <w:p w14:paraId="3E0BE1CE" w14:textId="77777777" w:rsidR="00D07B68" w:rsidRDefault="00D07B68">
            <w:pPr>
              <w:jc w:val="right"/>
              <w:rPr>
                <w:rFonts w:ascii="Arial" w:hAnsi="Arial" w:cs="Arial"/>
                <w:b/>
                <w:bCs/>
                <w:color w:val="000000"/>
                <w:sz w:val="22"/>
                <w:szCs w:val="22"/>
              </w:rPr>
            </w:pPr>
            <w:r>
              <w:rPr>
                <w:rFonts w:ascii="Arial" w:hAnsi="Arial" w:cs="Arial"/>
                <w:b/>
                <w:bCs/>
                <w:color w:val="000000"/>
                <w:sz w:val="22"/>
                <w:szCs w:val="22"/>
              </w:rPr>
              <w:t>16,188</w:t>
            </w:r>
          </w:p>
        </w:tc>
        <w:tc>
          <w:tcPr>
            <w:tcW w:w="1191" w:type="dxa"/>
            <w:tcBorders>
              <w:top w:val="nil"/>
              <w:left w:val="single" w:sz="4" w:space="0" w:color="auto"/>
              <w:bottom w:val="nil"/>
              <w:right w:val="single" w:sz="4" w:space="0" w:color="auto"/>
            </w:tcBorders>
            <w:shd w:val="clear" w:color="auto" w:fill="auto"/>
            <w:noWrap/>
            <w:vAlign w:val="bottom"/>
            <w:hideMark/>
          </w:tcPr>
          <w:p w14:paraId="68E2700E" w14:textId="77777777" w:rsidR="00D07B68" w:rsidRDefault="00D07B68">
            <w:pPr>
              <w:jc w:val="right"/>
              <w:rPr>
                <w:rFonts w:ascii="Arial" w:hAnsi="Arial" w:cs="Arial"/>
                <w:b/>
                <w:bCs/>
                <w:color w:val="000000"/>
                <w:sz w:val="22"/>
                <w:szCs w:val="22"/>
              </w:rPr>
            </w:pPr>
            <w:r>
              <w:rPr>
                <w:rFonts w:ascii="Arial" w:hAnsi="Arial" w:cs="Arial"/>
                <w:b/>
                <w:bCs/>
                <w:color w:val="000000"/>
                <w:sz w:val="22"/>
                <w:szCs w:val="22"/>
              </w:rPr>
              <w:t>26,334</w:t>
            </w:r>
          </w:p>
        </w:tc>
      </w:tr>
      <w:tr w:rsidR="00D07B68" w14:paraId="30B42B21" w14:textId="77777777" w:rsidTr="00D07B68">
        <w:trPr>
          <w:trHeight w:val="312"/>
        </w:trPr>
        <w:tc>
          <w:tcPr>
            <w:tcW w:w="3568" w:type="dxa"/>
            <w:tcBorders>
              <w:top w:val="nil"/>
              <w:left w:val="single" w:sz="4" w:space="0" w:color="auto"/>
              <w:bottom w:val="single" w:sz="4" w:space="0" w:color="auto"/>
              <w:right w:val="single" w:sz="4" w:space="0" w:color="auto"/>
            </w:tcBorders>
            <w:shd w:val="clear" w:color="auto" w:fill="auto"/>
            <w:noWrap/>
            <w:vAlign w:val="bottom"/>
            <w:hideMark/>
          </w:tcPr>
          <w:p w14:paraId="3EF5A4E8" w14:textId="77777777" w:rsidR="00D07B68" w:rsidRDefault="00D07B68">
            <w:pPr>
              <w:rPr>
                <w:rFonts w:ascii="Arial" w:hAnsi="Arial" w:cs="Arial"/>
                <w:b/>
                <w:bCs/>
                <w:color w:val="000000"/>
                <w:sz w:val="22"/>
                <w:szCs w:val="22"/>
              </w:rPr>
            </w:pPr>
            <w:r>
              <w:rPr>
                <w:rFonts w:ascii="Arial" w:hAnsi="Arial" w:cs="Arial"/>
                <w:b/>
                <w:bCs/>
                <w:color w:val="000000"/>
                <w:sz w:val="22"/>
                <w:szCs w:val="22"/>
              </w:rPr>
              <w:t>Gross Debt &lt;= CFR</w:t>
            </w:r>
          </w:p>
        </w:tc>
        <w:tc>
          <w:tcPr>
            <w:tcW w:w="1099" w:type="dxa"/>
            <w:tcBorders>
              <w:top w:val="single" w:sz="4" w:space="0" w:color="auto"/>
              <w:left w:val="nil"/>
              <w:bottom w:val="single" w:sz="4" w:space="0" w:color="auto"/>
              <w:right w:val="single" w:sz="4" w:space="0" w:color="auto"/>
            </w:tcBorders>
            <w:shd w:val="clear" w:color="auto" w:fill="auto"/>
            <w:noWrap/>
            <w:vAlign w:val="bottom"/>
            <w:hideMark/>
          </w:tcPr>
          <w:p w14:paraId="70C430C5" w14:textId="77777777" w:rsidR="00D07B68" w:rsidRDefault="00D07B68">
            <w:pPr>
              <w:jc w:val="center"/>
              <w:rPr>
                <w:rFonts w:ascii="Arial" w:hAnsi="Arial" w:cs="Arial"/>
                <w:b/>
                <w:bCs/>
                <w:color w:val="000000"/>
                <w:sz w:val="22"/>
                <w:szCs w:val="22"/>
              </w:rPr>
            </w:pPr>
            <w:r>
              <w:rPr>
                <w:rFonts w:ascii="Arial" w:hAnsi="Arial" w:cs="Arial"/>
                <w:b/>
                <w:bCs/>
                <w:color w:val="000000"/>
                <w:sz w:val="22"/>
                <w:szCs w:val="22"/>
              </w:rPr>
              <w:t>No</w:t>
            </w:r>
          </w:p>
        </w:tc>
        <w:tc>
          <w:tcPr>
            <w:tcW w:w="1113" w:type="dxa"/>
            <w:tcBorders>
              <w:top w:val="single" w:sz="4" w:space="0" w:color="auto"/>
              <w:left w:val="nil"/>
              <w:bottom w:val="single" w:sz="4" w:space="0" w:color="auto"/>
              <w:right w:val="single" w:sz="4" w:space="0" w:color="auto"/>
            </w:tcBorders>
            <w:shd w:val="clear" w:color="auto" w:fill="auto"/>
            <w:noWrap/>
            <w:vAlign w:val="bottom"/>
            <w:hideMark/>
          </w:tcPr>
          <w:p w14:paraId="318FE343" w14:textId="7840B99C" w:rsidR="00D07B68" w:rsidRDefault="00D07B68">
            <w:pPr>
              <w:jc w:val="center"/>
              <w:rPr>
                <w:rFonts w:ascii="Arial" w:hAnsi="Arial" w:cs="Arial"/>
                <w:b/>
                <w:bCs/>
                <w:color w:val="000000"/>
                <w:sz w:val="22"/>
                <w:szCs w:val="22"/>
              </w:rPr>
            </w:pPr>
            <w:r>
              <w:rPr>
                <w:rFonts w:ascii="Arial" w:hAnsi="Arial" w:cs="Arial"/>
                <w:b/>
                <w:bCs/>
                <w:color w:val="000000"/>
                <w:sz w:val="22"/>
                <w:szCs w:val="22"/>
              </w:rPr>
              <w:t>Yes</w:t>
            </w:r>
          </w:p>
        </w:tc>
        <w:tc>
          <w:tcPr>
            <w:tcW w:w="1191" w:type="dxa"/>
            <w:tcBorders>
              <w:top w:val="single" w:sz="4" w:space="0" w:color="auto"/>
              <w:left w:val="nil"/>
              <w:bottom w:val="single" w:sz="4" w:space="0" w:color="auto"/>
              <w:right w:val="single" w:sz="4" w:space="0" w:color="auto"/>
            </w:tcBorders>
            <w:shd w:val="clear" w:color="auto" w:fill="auto"/>
            <w:noWrap/>
            <w:vAlign w:val="bottom"/>
            <w:hideMark/>
          </w:tcPr>
          <w:p w14:paraId="780E582E" w14:textId="69DFC956" w:rsidR="00D07B68" w:rsidRDefault="00D07B68">
            <w:pPr>
              <w:jc w:val="center"/>
              <w:rPr>
                <w:rFonts w:ascii="Arial" w:hAnsi="Arial" w:cs="Arial"/>
                <w:b/>
                <w:bCs/>
                <w:color w:val="000000"/>
                <w:sz w:val="22"/>
                <w:szCs w:val="22"/>
              </w:rPr>
            </w:pPr>
            <w:r>
              <w:rPr>
                <w:rFonts w:ascii="Arial" w:hAnsi="Arial" w:cs="Arial"/>
                <w:b/>
                <w:bCs/>
                <w:color w:val="000000"/>
                <w:sz w:val="22"/>
                <w:szCs w:val="22"/>
              </w:rPr>
              <w:t>Yes</w:t>
            </w:r>
          </w:p>
        </w:tc>
        <w:tc>
          <w:tcPr>
            <w:tcW w:w="1191" w:type="dxa"/>
            <w:tcBorders>
              <w:top w:val="single" w:sz="4" w:space="0" w:color="auto"/>
              <w:left w:val="nil"/>
              <w:bottom w:val="single" w:sz="4" w:space="0" w:color="auto"/>
              <w:right w:val="single" w:sz="4" w:space="0" w:color="auto"/>
            </w:tcBorders>
            <w:shd w:val="clear" w:color="auto" w:fill="auto"/>
            <w:noWrap/>
            <w:vAlign w:val="bottom"/>
            <w:hideMark/>
          </w:tcPr>
          <w:p w14:paraId="5959CA8E" w14:textId="77777777" w:rsidR="00D07B68" w:rsidRDefault="00D07B68">
            <w:pPr>
              <w:jc w:val="center"/>
              <w:rPr>
                <w:rFonts w:ascii="Arial" w:hAnsi="Arial" w:cs="Arial"/>
                <w:b/>
                <w:bCs/>
                <w:color w:val="000000"/>
                <w:sz w:val="22"/>
                <w:szCs w:val="22"/>
              </w:rPr>
            </w:pPr>
            <w:r>
              <w:rPr>
                <w:rFonts w:ascii="Arial" w:hAnsi="Arial" w:cs="Arial"/>
                <w:b/>
                <w:bCs/>
                <w:color w:val="000000"/>
                <w:sz w:val="22"/>
                <w:szCs w:val="22"/>
              </w:rPr>
              <w:t>No</w:t>
            </w:r>
          </w:p>
        </w:tc>
        <w:tc>
          <w:tcPr>
            <w:tcW w:w="1191" w:type="dxa"/>
            <w:tcBorders>
              <w:top w:val="single" w:sz="4" w:space="0" w:color="auto"/>
              <w:left w:val="nil"/>
              <w:bottom w:val="single" w:sz="4" w:space="0" w:color="auto"/>
              <w:right w:val="single" w:sz="4" w:space="0" w:color="auto"/>
            </w:tcBorders>
            <w:shd w:val="clear" w:color="auto" w:fill="auto"/>
            <w:noWrap/>
            <w:vAlign w:val="bottom"/>
            <w:hideMark/>
          </w:tcPr>
          <w:p w14:paraId="64BC8E83" w14:textId="77777777" w:rsidR="00D07B68" w:rsidRDefault="00D07B68">
            <w:pPr>
              <w:jc w:val="center"/>
              <w:rPr>
                <w:rFonts w:ascii="Arial" w:hAnsi="Arial" w:cs="Arial"/>
                <w:b/>
                <w:bCs/>
                <w:color w:val="000000"/>
                <w:sz w:val="22"/>
                <w:szCs w:val="22"/>
              </w:rPr>
            </w:pPr>
            <w:r>
              <w:rPr>
                <w:rFonts w:ascii="Arial" w:hAnsi="Arial" w:cs="Arial"/>
                <w:b/>
                <w:bCs/>
                <w:color w:val="000000"/>
                <w:sz w:val="22"/>
                <w:szCs w:val="22"/>
              </w:rPr>
              <w:t>No</w:t>
            </w:r>
          </w:p>
        </w:tc>
      </w:tr>
    </w:tbl>
    <w:p w14:paraId="4E39EE9D" w14:textId="77777777" w:rsidR="00667A91" w:rsidRDefault="00667A91" w:rsidP="008B69B3">
      <w:pPr>
        <w:numPr>
          <w:ilvl w:val="12"/>
          <w:numId w:val="0"/>
        </w:numPr>
        <w:ind w:left="709" w:hanging="709"/>
        <w:jc w:val="both"/>
        <w:rPr>
          <w:rFonts w:ascii="Arial" w:hAnsi="Arial" w:cs="Arial"/>
          <w:bCs/>
          <w:noProof/>
          <w:sz w:val="22"/>
          <w:szCs w:val="22"/>
        </w:rPr>
      </w:pPr>
    </w:p>
    <w:p w14:paraId="1EA94EA1" w14:textId="77777777" w:rsidR="00652EE3" w:rsidRDefault="00652EE3" w:rsidP="00615280">
      <w:pPr>
        <w:pStyle w:val="BodyText"/>
        <w:ind w:left="709" w:hanging="709"/>
        <w:rPr>
          <w:rFonts w:ascii="Arial" w:hAnsi="Arial" w:cs="Arial"/>
        </w:rPr>
      </w:pPr>
      <w:r w:rsidRPr="00652EE3">
        <w:rPr>
          <w:rFonts w:ascii="Arial" w:hAnsi="Arial" w:cs="Arial"/>
        </w:rPr>
        <w:t>7.</w:t>
      </w:r>
      <w:r w:rsidR="002C3C29">
        <w:rPr>
          <w:rFonts w:ascii="Arial" w:hAnsi="Arial" w:cs="Arial"/>
        </w:rPr>
        <w:t>2</w:t>
      </w:r>
      <w:r w:rsidRPr="00652EE3">
        <w:rPr>
          <w:rFonts w:ascii="Arial" w:hAnsi="Arial" w:cs="Arial"/>
        </w:rPr>
        <w:tab/>
      </w:r>
      <w:r>
        <w:rPr>
          <w:rFonts w:ascii="Arial" w:hAnsi="Arial" w:cs="Arial"/>
        </w:rPr>
        <w:t>The next key indicator is t</w:t>
      </w:r>
      <w:r w:rsidRPr="00652EE3">
        <w:rPr>
          <w:rFonts w:ascii="Arial" w:hAnsi="Arial" w:cs="Arial"/>
        </w:rPr>
        <w:t xml:space="preserve">he operational boundary.  This is the limit beyond which external debt is not normally expected to exceed.  </w:t>
      </w:r>
    </w:p>
    <w:p w14:paraId="603A343A" w14:textId="77777777" w:rsidR="00F1211C" w:rsidRDefault="00F1211C" w:rsidP="00615280">
      <w:pPr>
        <w:pStyle w:val="BodyText"/>
        <w:ind w:left="709" w:hanging="709"/>
        <w:rPr>
          <w:rFonts w:ascii="Arial" w:hAnsi="Arial" w:cs="Arial"/>
        </w:rPr>
      </w:pPr>
    </w:p>
    <w:tbl>
      <w:tblPr>
        <w:tblW w:w="8784" w:type="dxa"/>
        <w:tblLook w:val="04A0" w:firstRow="1" w:lastRow="0" w:firstColumn="1" w:lastColumn="0" w:noHBand="0" w:noVBand="1"/>
      </w:tblPr>
      <w:tblGrid>
        <w:gridCol w:w="3256"/>
        <w:gridCol w:w="1134"/>
        <w:gridCol w:w="1137"/>
        <w:gridCol w:w="1217"/>
        <w:gridCol w:w="1217"/>
        <w:gridCol w:w="1217"/>
      </w:tblGrid>
      <w:tr w:rsidR="00D07B68" w14:paraId="02350C8C" w14:textId="77777777" w:rsidTr="00D07B68">
        <w:trPr>
          <w:trHeight w:val="288"/>
        </w:trPr>
        <w:tc>
          <w:tcPr>
            <w:tcW w:w="878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95A2473" w14:textId="77777777" w:rsidR="00D07B68" w:rsidRDefault="00D07B68">
            <w:pPr>
              <w:jc w:val="center"/>
              <w:rPr>
                <w:rFonts w:ascii="Arial" w:hAnsi="Arial" w:cs="Arial"/>
                <w:b/>
                <w:bCs/>
                <w:color w:val="000000"/>
              </w:rPr>
            </w:pPr>
            <w:r>
              <w:rPr>
                <w:rFonts w:ascii="Arial" w:hAnsi="Arial" w:cs="Arial"/>
                <w:b/>
                <w:bCs/>
                <w:color w:val="000000"/>
              </w:rPr>
              <w:t xml:space="preserve">Operational Boundary for Debt </w:t>
            </w:r>
            <w:proofErr w:type="gramStart"/>
            <w:r>
              <w:rPr>
                <w:rFonts w:ascii="Arial" w:hAnsi="Arial" w:cs="Arial"/>
                <w:b/>
                <w:bCs/>
                <w:color w:val="000000"/>
              </w:rPr>
              <w:t>at</w:t>
            </w:r>
            <w:proofErr w:type="gramEnd"/>
            <w:r>
              <w:rPr>
                <w:rFonts w:ascii="Arial" w:hAnsi="Arial" w:cs="Arial"/>
                <w:b/>
                <w:bCs/>
                <w:color w:val="000000"/>
              </w:rPr>
              <w:t xml:space="preserve"> 1st April</w:t>
            </w:r>
          </w:p>
        </w:tc>
      </w:tr>
      <w:tr w:rsidR="00D07B68" w14:paraId="3C44897C" w14:textId="77777777" w:rsidTr="00D07B68">
        <w:trPr>
          <w:trHeight w:val="274"/>
        </w:trPr>
        <w:tc>
          <w:tcPr>
            <w:tcW w:w="3256" w:type="dxa"/>
            <w:tcBorders>
              <w:top w:val="nil"/>
              <w:left w:val="single" w:sz="4" w:space="0" w:color="auto"/>
              <w:bottom w:val="nil"/>
              <w:right w:val="single" w:sz="4" w:space="0" w:color="auto"/>
            </w:tcBorders>
            <w:shd w:val="clear" w:color="auto" w:fill="auto"/>
            <w:noWrap/>
            <w:vAlign w:val="bottom"/>
            <w:hideMark/>
          </w:tcPr>
          <w:p w14:paraId="482F1640" w14:textId="77777777" w:rsidR="00D07B68" w:rsidRDefault="00D07B68">
            <w:pPr>
              <w:rPr>
                <w:rFonts w:ascii="Arial" w:hAnsi="Arial" w:cs="Arial"/>
                <w:color w:val="000000"/>
              </w:rPr>
            </w:pPr>
            <w:r>
              <w:rPr>
                <w:rFonts w:ascii="Arial" w:hAnsi="Arial" w:cs="Arial"/>
                <w:color w:val="000000"/>
              </w:rPr>
              <w:t> </w:t>
            </w:r>
          </w:p>
        </w:tc>
        <w:tc>
          <w:tcPr>
            <w:tcW w:w="1134" w:type="dxa"/>
            <w:tcBorders>
              <w:top w:val="nil"/>
              <w:left w:val="nil"/>
              <w:bottom w:val="nil"/>
              <w:right w:val="single" w:sz="4" w:space="0" w:color="auto"/>
            </w:tcBorders>
            <w:shd w:val="clear" w:color="auto" w:fill="auto"/>
            <w:noWrap/>
            <w:vAlign w:val="bottom"/>
            <w:hideMark/>
          </w:tcPr>
          <w:p w14:paraId="5175625A" w14:textId="77777777" w:rsidR="00D07B68" w:rsidRPr="00D07B68" w:rsidRDefault="00D07B68">
            <w:pPr>
              <w:rPr>
                <w:rFonts w:ascii="Arial" w:hAnsi="Arial" w:cs="Arial"/>
                <w:b/>
                <w:bCs/>
                <w:color w:val="000000"/>
              </w:rPr>
            </w:pPr>
            <w:r w:rsidRPr="00D07B68">
              <w:rPr>
                <w:rFonts w:ascii="Arial" w:hAnsi="Arial" w:cs="Arial"/>
                <w:b/>
                <w:bCs/>
                <w:color w:val="000000"/>
              </w:rPr>
              <w:t>2023/24</w:t>
            </w:r>
          </w:p>
        </w:tc>
        <w:tc>
          <w:tcPr>
            <w:tcW w:w="1084" w:type="dxa"/>
            <w:tcBorders>
              <w:top w:val="nil"/>
              <w:left w:val="nil"/>
              <w:bottom w:val="nil"/>
              <w:right w:val="single" w:sz="4" w:space="0" w:color="auto"/>
            </w:tcBorders>
            <w:shd w:val="clear" w:color="auto" w:fill="auto"/>
            <w:noWrap/>
            <w:vAlign w:val="bottom"/>
            <w:hideMark/>
          </w:tcPr>
          <w:p w14:paraId="1F4B0405" w14:textId="77777777" w:rsidR="00D07B68" w:rsidRPr="00D07B68" w:rsidRDefault="00D07B68">
            <w:pPr>
              <w:rPr>
                <w:rFonts w:ascii="Arial" w:hAnsi="Arial" w:cs="Arial"/>
                <w:b/>
                <w:bCs/>
                <w:color w:val="000000"/>
              </w:rPr>
            </w:pPr>
            <w:r w:rsidRPr="00D07B68">
              <w:rPr>
                <w:rFonts w:ascii="Arial" w:hAnsi="Arial" w:cs="Arial"/>
                <w:b/>
                <w:bCs/>
                <w:color w:val="000000"/>
              </w:rPr>
              <w:t>2023/24</w:t>
            </w:r>
          </w:p>
        </w:tc>
        <w:tc>
          <w:tcPr>
            <w:tcW w:w="1150" w:type="dxa"/>
            <w:tcBorders>
              <w:top w:val="nil"/>
              <w:left w:val="nil"/>
              <w:bottom w:val="nil"/>
              <w:right w:val="single" w:sz="4" w:space="0" w:color="auto"/>
            </w:tcBorders>
            <w:shd w:val="clear" w:color="auto" w:fill="auto"/>
            <w:noWrap/>
            <w:vAlign w:val="bottom"/>
            <w:hideMark/>
          </w:tcPr>
          <w:p w14:paraId="1BE5E7D2" w14:textId="77777777" w:rsidR="00D07B68" w:rsidRPr="00D07B68" w:rsidRDefault="00D07B68">
            <w:pPr>
              <w:rPr>
                <w:rFonts w:ascii="Arial" w:hAnsi="Arial" w:cs="Arial"/>
                <w:b/>
                <w:bCs/>
                <w:color w:val="000000"/>
              </w:rPr>
            </w:pPr>
            <w:r w:rsidRPr="00D07B68">
              <w:rPr>
                <w:rFonts w:ascii="Arial" w:hAnsi="Arial" w:cs="Arial"/>
                <w:b/>
                <w:bCs/>
                <w:color w:val="000000"/>
              </w:rPr>
              <w:t>2024/25</w:t>
            </w:r>
          </w:p>
        </w:tc>
        <w:tc>
          <w:tcPr>
            <w:tcW w:w="1150" w:type="dxa"/>
            <w:tcBorders>
              <w:top w:val="nil"/>
              <w:left w:val="nil"/>
              <w:bottom w:val="nil"/>
              <w:right w:val="single" w:sz="4" w:space="0" w:color="auto"/>
            </w:tcBorders>
            <w:shd w:val="clear" w:color="auto" w:fill="auto"/>
            <w:noWrap/>
            <w:vAlign w:val="bottom"/>
            <w:hideMark/>
          </w:tcPr>
          <w:p w14:paraId="5DFB1903" w14:textId="77777777" w:rsidR="00D07B68" w:rsidRPr="00D07B68" w:rsidRDefault="00D07B68">
            <w:pPr>
              <w:rPr>
                <w:rFonts w:ascii="Arial" w:hAnsi="Arial" w:cs="Arial"/>
                <w:b/>
                <w:bCs/>
                <w:color w:val="000000"/>
              </w:rPr>
            </w:pPr>
            <w:r w:rsidRPr="00D07B68">
              <w:rPr>
                <w:rFonts w:ascii="Arial" w:hAnsi="Arial" w:cs="Arial"/>
                <w:b/>
                <w:bCs/>
                <w:color w:val="000000"/>
              </w:rPr>
              <w:t>2025/26</w:t>
            </w:r>
          </w:p>
        </w:tc>
        <w:tc>
          <w:tcPr>
            <w:tcW w:w="1010" w:type="dxa"/>
            <w:tcBorders>
              <w:top w:val="nil"/>
              <w:left w:val="nil"/>
              <w:bottom w:val="nil"/>
              <w:right w:val="single" w:sz="4" w:space="0" w:color="auto"/>
            </w:tcBorders>
            <w:shd w:val="clear" w:color="auto" w:fill="auto"/>
            <w:noWrap/>
            <w:vAlign w:val="bottom"/>
            <w:hideMark/>
          </w:tcPr>
          <w:p w14:paraId="04FB6B00" w14:textId="77777777" w:rsidR="00D07B68" w:rsidRPr="00D07B68" w:rsidRDefault="00D07B68">
            <w:pPr>
              <w:rPr>
                <w:rFonts w:ascii="Arial" w:hAnsi="Arial" w:cs="Arial"/>
                <w:b/>
                <w:bCs/>
                <w:color w:val="000000"/>
              </w:rPr>
            </w:pPr>
            <w:r w:rsidRPr="00D07B68">
              <w:rPr>
                <w:rFonts w:ascii="Arial" w:hAnsi="Arial" w:cs="Arial"/>
                <w:b/>
                <w:bCs/>
                <w:color w:val="000000"/>
              </w:rPr>
              <w:t>2026/27</w:t>
            </w:r>
          </w:p>
        </w:tc>
      </w:tr>
      <w:tr w:rsidR="00D07B68" w14:paraId="7AB13287" w14:textId="77777777" w:rsidTr="00D07B68">
        <w:trPr>
          <w:trHeight w:val="274"/>
        </w:trPr>
        <w:tc>
          <w:tcPr>
            <w:tcW w:w="3256" w:type="dxa"/>
            <w:tcBorders>
              <w:top w:val="nil"/>
              <w:left w:val="single" w:sz="4" w:space="0" w:color="auto"/>
              <w:bottom w:val="nil"/>
              <w:right w:val="single" w:sz="4" w:space="0" w:color="auto"/>
            </w:tcBorders>
            <w:shd w:val="clear" w:color="auto" w:fill="auto"/>
            <w:noWrap/>
            <w:vAlign w:val="bottom"/>
            <w:hideMark/>
          </w:tcPr>
          <w:p w14:paraId="2C5B3383" w14:textId="77777777" w:rsidR="00D07B68" w:rsidRDefault="00D07B68">
            <w:pPr>
              <w:rPr>
                <w:rFonts w:ascii="Arial" w:hAnsi="Arial" w:cs="Arial"/>
                <w:color w:val="000000"/>
              </w:rPr>
            </w:pPr>
            <w:r>
              <w:rPr>
                <w:rFonts w:ascii="Arial" w:hAnsi="Arial" w:cs="Arial"/>
                <w:color w:val="000000"/>
              </w:rPr>
              <w:t> </w:t>
            </w:r>
          </w:p>
        </w:tc>
        <w:tc>
          <w:tcPr>
            <w:tcW w:w="1134" w:type="dxa"/>
            <w:tcBorders>
              <w:top w:val="nil"/>
              <w:left w:val="nil"/>
              <w:bottom w:val="nil"/>
              <w:right w:val="single" w:sz="4" w:space="0" w:color="auto"/>
            </w:tcBorders>
            <w:shd w:val="clear" w:color="auto" w:fill="auto"/>
            <w:noWrap/>
            <w:vAlign w:val="bottom"/>
            <w:hideMark/>
          </w:tcPr>
          <w:p w14:paraId="41D3FDC9" w14:textId="77777777" w:rsidR="00D07B68" w:rsidRPr="00D07B68" w:rsidRDefault="00D07B68">
            <w:pPr>
              <w:rPr>
                <w:rFonts w:ascii="Arial" w:hAnsi="Arial" w:cs="Arial"/>
                <w:b/>
                <w:bCs/>
                <w:color w:val="000000"/>
              </w:rPr>
            </w:pPr>
            <w:r w:rsidRPr="00D07B68">
              <w:rPr>
                <w:rFonts w:ascii="Arial" w:hAnsi="Arial" w:cs="Arial"/>
                <w:b/>
                <w:bCs/>
                <w:color w:val="000000"/>
              </w:rPr>
              <w:t>Original</w:t>
            </w:r>
          </w:p>
        </w:tc>
        <w:tc>
          <w:tcPr>
            <w:tcW w:w="1084" w:type="dxa"/>
            <w:tcBorders>
              <w:top w:val="nil"/>
              <w:left w:val="nil"/>
              <w:bottom w:val="nil"/>
              <w:right w:val="single" w:sz="4" w:space="0" w:color="auto"/>
            </w:tcBorders>
            <w:shd w:val="clear" w:color="auto" w:fill="auto"/>
            <w:noWrap/>
            <w:vAlign w:val="bottom"/>
            <w:hideMark/>
          </w:tcPr>
          <w:p w14:paraId="7CBBCFA6" w14:textId="77777777" w:rsidR="00D07B68" w:rsidRPr="00D07B68" w:rsidRDefault="00D07B68">
            <w:pPr>
              <w:rPr>
                <w:rFonts w:ascii="Arial" w:hAnsi="Arial" w:cs="Arial"/>
                <w:b/>
                <w:bCs/>
                <w:color w:val="000000"/>
              </w:rPr>
            </w:pPr>
            <w:r w:rsidRPr="00D07B68">
              <w:rPr>
                <w:rFonts w:ascii="Arial" w:hAnsi="Arial" w:cs="Arial"/>
                <w:b/>
                <w:bCs/>
                <w:color w:val="000000"/>
              </w:rPr>
              <w:t>Revised</w:t>
            </w:r>
          </w:p>
        </w:tc>
        <w:tc>
          <w:tcPr>
            <w:tcW w:w="1150" w:type="dxa"/>
            <w:tcBorders>
              <w:top w:val="nil"/>
              <w:left w:val="nil"/>
              <w:bottom w:val="nil"/>
              <w:right w:val="single" w:sz="4" w:space="0" w:color="auto"/>
            </w:tcBorders>
            <w:shd w:val="clear" w:color="auto" w:fill="auto"/>
            <w:noWrap/>
            <w:vAlign w:val="bottom"/>
            <w:hideMark/>
          </w:tcPr>
          <w:p w14:paraId="4C1A0605" w14:textId="77777777" w:rsidR="00D07B68" w:rsidRPr="00D07B68" w:rsidRDefault="00D07B68">
            <w:pPr>
              <w:rPr>
                <w:rFonts w:ascii="Arial" w:hAnsi="Arial" w:cs="Arial"/>
                <w:b/>
                <w:bCs/>
                <w:color w:val="000000"/>
              </w:rPr>
            </w:pPr>
            <w:r w:rsidRPr="00D07B68">
              <w:rPr>
                <w:rFonts w:ascii="Arial" w:hAnsi="Arial" w:cs="Arial"/>
                <w:b/>
                <w:bCs/>
                <w:color w:val="000000"/>
              </w:rPr>
              <w:t>Estimate</w:t>
            </w:r>
          </w:p>
        </w:tc>
        <w:tc>
          <w:tcPr>
            <w:tcW w:w="1150" w:type="dxa"/>
            <w:tcBorders>
              <w:top w:val="nil"/>
              <w:left w:val="nil"/>
              <w:bottom w:val="nil"/>
              <w:right w:val="single" w:sz="4" w:space="0" w:color="auto"/>
            </w:tcBorders>
            <w:shd w:val="clear" w:color="auto" w:fill="auto"/>
            <w:noWrap/>
            <w:vAlign w:val="bottom"/>
            <w:hideMark/>
          </w:tcPr>
          <w:p w14:paraId="1D65CB41" w14:textId="77777777" w:rsidR="00D07B68" w:rsidRPr="00D07B68" w:rsidRDefault="00D07B68">
            <w:pPr>
              <w:rPr>
                <w:rFonts w:ascii="Arial" w:hAnsi="Arial" w:cs="Arial"/>
                <w:b/>
                <w:bCs/>
                <w:color w:val="000000"/>
              </w:rPr>
            </w:pPr>
            <w:r w:rsidRPr="00D07B68">
              <w:rPr>
                <w:rFonts w:ascii="Arial" w:hAnsi="Arial" w:cs="Arial"/>
                <w:b/>
                <w:bCs/>
                <w:color w:val="000000"/>
              </w:rPr>
              <w:t>Estimate</w:t>
            </w:r>
          </w:p>
        </w:tc>
        <w:tc>
          <w:tcPr>
            <w:tcW w:w="1010" w:type="dxa"/>
            <w:tcBorders>
              <w:top w:val="nil"/>
              <w:left w:val="nil"/>
              <w:bottom w:val="nil"/>
              <w:right w:val="single" w:sz="4" w:space="0" w:color="auto"/>
            </w:tcBorders>
            <w:shd w:val="clear" w:color="auto" w:fill="auto"/>
            <w:noWrap/>
            <w:vAlign w:val="bottom"/>
            <w:hideMark/>
          </w:tcPr>
          <w:p w14:paraId="6533437E" w14:textId="77777777" w:rsidR="00D07B68" w:rsidRPr="00D07B68" w:rsidRDefault="00D07B68">
            <w:pPr>
              <w:rPr>
                <w:rFonts w:ascii="Arial" w:hAnsi="Arial" w:cs="Arial"/>
                <w:b/>
                <w:bCs/>
                <w:color w:val="000000"/>
              </w:rPr>
            </w:pPr>
            <w:r w:rsidRPr="00D07B68">
              <w:rPr>
                <w:rFonts w:ascii="Arial" w:hAnsi="Arial" w:cs="Arial"/>
                <w:b/>
                <w:bCs/>
                <w:color w:val="000000"/>
              </w:rPr>
              <w:t>Estimate</w:t>
            </w:r>
          </w:p>
        </w:tc>
      </w:tr>
      <w:tr w:rsidR="00D07B68" w14:paraId="716E9FC4" w14:textId="77777777" w:rsidTr="00D07B68">
        <w:trPr>
          <w:trHeight w:val="274"/>
        </w:trPr>
        <w:tc>
          <w:tcPr>
            <w:tcW w:w="3256" w:type="dxa"/>
            <w:tcBorders>
              <w:top w:val="nil"/>
              <w:left w:val="single" w:sz="4" w:space="0" w:color="auto"/>
              <w:bottom w:val="nil"/>
              <w:right w:val="single" w:sz="4" w:space="0" w:color="auto"/>
            </w:tcBorders>
            <w:shd w:val="clear" w:color="auto" w:fill="auto"/>
            <w:noWrap/>
            <w:vAlign w:val="bottom"/>
            <w:hideMark/>
          </w:tcPr>
          <w:p w14:paraId="7AEC6B9C" w14:textId="77777777" w:rsidR="00D07B68" w:rsidRDefault="00D07B68">
            <w:pPr>
              <w:rPr>
                <w:rFonts w:ascii="Arial" w:hAnsi="Arial" w:cs="Arial"/>
                <w:color w:val="000000"/>
              </w:rPr>
            </w:pPr>
            <w:r>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14:paraId="5AE94891" w14:textId="77777777" w:rsidR="00D07B68" w:rsidRPr="00D07B68" w:rsidRDefault="00D07B68">
            <w:pPr>
              <w:jc w:val="center"/>
              <w:rPr>
                <w:rFonts w:ascii="Arial" w:hAnsi="Arial" w:cs="Arial"/>
                <w:b/>
                <w:bCs/>
                <w:color w:val="000000"/>
              </w:rPr>
            </w:pPr>
            <w:r w:rsidRPr="00D07B68">
              <w:rPr>
                <w:rFonts w:ascii="Arial" w:hAnsi="Arial" w:cs="Arial"/>
                <w:b/>
                <w:bCs/>
                <w:color w:val="000000"/>
              </w:rPr>
              <w:t>£000's</w:t>
            </w:r>
          </w:p>
        </w:tc>
        <w:tc>
          <w:tcPr>
            <w:tcW w:w="1084" w:type="dxa"/>
            <w:tcBorders>
              <w:top w:val="nil"/>
              <w:left w:val="nil"/>
              <w:bottom w:val="single" w:sz="4" w:space="0" w:color="auto"/>
              <w:right w:val="single" w:sz="4" w:space="0" w:color="auto"/>
            </w:tcBorders>
            <w:shd w:val="clear" w:color="auto" w:fill="auto"/>
            <w:noWrap/>
            <w:vAlign w:val="bottom"/>
            <w:hideMark/>
          </w:tcPr>
          <w:p w14:paraId="4291B71F" w14:textId="77777777" w:rsidR="00D07B68" w:rsidRPr="00D07B68" w:rsidRDefault="00D07B68">
            <w:pPr>
              <w:jc w:val="center"/>
              <w:rPr>
                <w:rFonts w:ascii="Arial" w:hAnsi="Arial" w:cs="Arial"/>
                <w:b/>
                <w:bCs/>
                <w:color w:val="000000"/>
              </w:rPr>
            </w:pPr>
            <w:r w:rsidRPr="00D07B68">
              <w:rPr>
                <w:rFonts w:ascii="Arial" w:hAnsi="Arial" w:cs="Arial"/>
                <w:b/>
                <w:bCs/>
                <w:color w:val="000000"/>
              </w:rPr>
              <w:t>£000's</w:t>
            </w:r>
          </w:p>
        </w:tc>
        <w:tc>
          <w:tcPr>
            <w:tcW w:w="1150" w:type="dxa"/>
            <w:tcBorders>
              <w:top w:val="nil"/>
              <w:left w:val="nil"/>
              <w:bottom w:val="single" w:sz="4" w:space="0" w:color="auto"/>
              <w:right w:val="single" w:sz="4" w:space="0" w:color="auto"/>
            </w:tcBorders>
            <w:shd w:val="clear" w:color="auto" w:fill="auto"/>
            <w:noWrap/>
            <w:vAlign w:val="bottom"/>
            <w:hideMark/>
          </w:tcPr>
          <w:p w14:paraId="6B2AEEEF" w14:textId="77777777" w:rsidR="00D07B68" w:rsidRPr="00D07B68" w:rsidRDefault="00D07B68">
            <w:pPr>
              <w:jc w:val="center"/>
              <w:rPr>
                <w:rFonts w:ascii="Arial" w:hAnsi="Arial" w:cs="Arial"/>
                <w:b/>
                <w:bCs/>
                <w:color w:val="000000"/>
              </w:rPr>
            </w:pPr>
            <w:r w:rsidRPr="00D07B68">
              <w:rPr>
                <w:rFonts w:ascii="Arial" w:hAnsi="Arial" w:cs="Arial"/>
                <w:b/>
                <w:bCs/>
                <w:color w:val="000000"/>
              </w:rPr>
              <w:t>£000's</w:t>
            </w:r>
          </w:p>
        </w:tc>
        <w:tc>
          <w:tcPr>
            <w:tcW w:w="1150" w:type="dxa"/>
            <w:tcBorders>
              <w:top w:val="nil"/>
              <w:left w:val="nil"/>
              <w:bottom w:val="single" w:sz="4" w:space="0" w:color="auto"/>
              <w:right w:val="single" w:sz="4" w:space="0" w:color="auto"/>
            </w:tcBorders>
            <w:shd w:val="clear" w:color="auto" w:fill="auto"/>
            <w:noWrap/>
            <w:vAlign w:val="bottom"/>
            <w:hideMark/>
          </w:tcPr>
          <w:p w14:paraId="691D3C62" w14:textId="77777777" w:rsidR="00D07B68" w:rsidRPr="00D07B68" w:rsidRDefault="00D07B68">
            <w:pPr>
              <w:jc w:val="center"/>
              <w:rPr>
                <w:rFonts w:ascii="Arial" w:hAnsi="Arial" w:cs="Arial"/>
                <w:b/>
                <w:bCs/>
                <w:color w:val="000000"/>
              </w:rPr>
            </w:pPr>
            <w:r w:rsidRPr="00D07B68">
              <w:rPr>
                <w:rFonts w:ascii="Arial" w:hAnsi="Arial" w:cs="Arial"/>
                <w:b/>
                <w:bCs/>
                <w:color w:val="000000"/>
              </w:rPr>
              <w:t>£000's</w:t>
            </w:r>
          </w:p>
        </w:tc>
        <w:tc>
          <w:tcPr>
            <w:tcW w:w="1010" w:type="dxa"/>
            <w:tcBorders>
              <w:top w:val="nil"/>
              <w:left w:val="nil"/>
              <w:bottom w:val="single" w:sz="4" w:space="0" w:color="auto"/>
              <w:right w:val="single" w:sz="4" w:space="0" w:color="auto"/>
            </w:tcBorders>
            <w:shd w:val="clear" w:color="auto" w:fill="auto"/>
            <w:noWrap/>
            <w:vAlign w:val="bottom"/>
            <w:hideMark/>
          </w:tcPr>
          <w:p w14:paraId="21A27BA8" w14:textId="77777777" w:rsidR="00D07B68" w:rsidRPr="00D07B68" w:rsidRDefault="00D07B68">
            <w:pPr>
              <w:jc w:val="center"/>
              <w:rPr>
                <w:rFonts w:ascii="Arial" w:hAnsi="Arial" w:cs="Arial"/>
                <w:b/>
                <w:bCs/>
                <w:color w:val="000000"/>
              </w:rPr>
            </w:pPr>
            <w:r w:rsidRPr="00D07B68">
              <w:rPr>
                <w:rFonts w:ascii="Arial" w:hAnsi="Arial" w:cs="Arial"/>
                <w:b/>
                <w:bCs/>
                <w:color w:val="000000"/>
              </w:rPr>
              <w:t>£000's</w:t>
            </w:r>
          </w:p>
        </w:tc>
      </w:tr>
      <w:tr w:rsidR="00D07B68" w14:paraId="41FAE84B" w14:textId="77777777" w:rsidTr="00D07B68">
        <w:trPr>
          <w:trHeight w:val="288"/>
        </w:trPr>
        <w:tc>
          <w:tcPr>
            <w:tcW w:w="3256" w:type="dxa"/>
            <w:tcBorders>
              <w:top w:val="nil"/>
              <w:left w:val="single" w:sz="4" w:space="0" w:color="auto"/>
              <w:bottom w:val="nil"/>
              <w:right w:val="single" w:sz="4" w:space="0" w:color="auto"/>
            </w:tcBorders>
            <w:shd w:val="clear" w:color="auto" w:fill="auto"/>
            <w:noWrap/>
            <w:vAlign w:val="bottom"/>
            <w:hideMark/>
          </w:tcPr>
          <w:p w14:paraId="3BF403D6" w14:textId="77777777" w:rsidR="00D07B68" w:rsidRDefault="00D07B68">
            <w:pPr>
              <w:rPr>
                <w:rFonts w:ascii="Arial" w:hAnsi="Arial" w:cs="Arial"/>
                <w:b/>
                <w:bCs/>
                <w:color w:val="000000"/>
              </w:rPr>
            </w:pPr>
            <w:r>
              <w:rPr>
                <w:rFonts w:ascii="Arial" w:hAnsi="Arial" w:cs="Arial"/>
                <w:b/>
                <w:bCs/>
                <w:color w:val="000000"/>
              </w:rPr>
              <w:t> </w:t>
            </w:r>
          </w:p>
        </w:tc>
        <w:tc>
          <w:tcPr>
            <w:tcW w:w="1134" w:type="dxa"/>
            <w:tcBorders>
              <w:top w:val="nil"/>
              <w:left w:val="nil"/>
              <w:bottom w:val="nil"/>
              <w:right w:val="single" w:sz="4" w:space="0" w:color="auto"/>
            </w:tcBorders>
            <w:shd w:val="clear" w:color="auto" w:fill="auto"/>
            <w:noWrap/>
            <w:vAlign w:val="bottom"/>
            <w:hideMark/>
          </w:tcPr>
          <w:p w14:paraId="1B43F64C" w14:textId="77777777" w:rsidR="00D07B68" w:rsidRDefault="00D07B68">
            <w:pPr>
              <w:jc w:val="center"/>
              <w:rPr>
                <w:rFonts w:ascii="Arial" w:hAnsi="Arial" w:cs="Arial"/>
                <w:color w:val="000000"/>
              </w:rPr>
            </w:pPr>
            <w:r>
              <w:rPr>
                <w:rFonts w:ascii="Arial" w:hAnsi="Arial" w:cs="Arial"/>
                <w:color w:val="000000"/>
              </w:rPr>
              <w:t> </w:t>
            </w:r>
          </w:p>
        </w:tc>
        <w:tc>
          <w:tcPr>
            <w:tcW w:w="1084" w:type="dxa"/>
            <w:tcBorders>
              <w:top w:val="nil"/>
              <w:left w:val="nil"/>
              <w:bottom w:val="nil"/>
              <w:right w:val="nil"/>
            </w:tcBorders>
            <w:shd w:val="clear" w:color="auto" w:fill="auto"/>
            <w:noWrap/>
            <w:vAlign w:val="bottom"/>
            <w:hideMark/>
          </w:tcPr>
          <w:p w14:paraId="194C7503" w14:textId="77777777" w:rsidR="00D07B68" w:rsidRDefault="00D07B68">
            <w:pPr>
              <w:jc w:val="center"/>
              <w:rPr>
                <w:rFonts w:ascii="Arial" w:hAnsi="Arial" w:cs="Arial"/>
                <w:color w:val="000000"/>
              </w:rPr>
            </w:pPr>
            <w:r>
              <w:rPr>
                <w:rFonts w:ascii="Arial" w:hAnsi="Arial" w:cs="Arial"/>
                <w:color w:val="000000"/>
              </w:rPr>
              <w:t> </w:t>
            </w:r>
          </w:p>
        </w:tc>
        <w:tc>
          <w:tcPr>
            <w:tcW w:w="1150" w:type="dxa"/>
            <w:tcBorders>
              <w:top w:val="nil"/>
              <w:left w:val="single" w:sz="4" w:space="0" w:color="auto"/>
              <w:bottom w:val="nil"/>
              <w:right w:val="single" w:sz="4" w:space="0" w:color="auto"/>
            </w:tcBorders>
            <w:shd w:val="clear" w:color="auto" w:fill="auto"/>
            <w:noWrap/>
            <w:vAlign w:val="bottom"/>
            <w:hideMark/>
          </w:tcPr>
          <w:p w14:paraId="2531BECC" w14:textId="77777777" w:rsidR="00D07B68" w:rsidRDefault="00D07B68">
            <w:pPr>
              <w:jc w:val="center"/>
              <w:rPr>
                <w:rFonts w:ascii="Arial" w:hAnsi="Arial" w:cs="Arial"/>
                <w:color w:val="000000"/>
              </w:rPr>
            </w:pPr>
            <w:r>
              <w:rPr>
                <w:rFonts w:ascii="Arial" w:hAnsi="Arial" w:cs="Arial"/>
                <w:color w:val="000000"/>
              </w:rPr>
              <w:t> </w:t>
            </w:r>
          </w:p>
        </w:tc>
        <w:tc>
          <w:tcPr>
            <w:tcW w:w="1150" w:type="dxa"/>
            <w:tcBorders>
              <w:top w:val="nil"/>
              <w:left w:val="nil"/>
              <w:bottom w:val="nil"/>
              <w:right w:val="single" w:sz="4" w:space="0" w:color="auto"/>
            </w:tcBorders>
            <w:shd w:val="clear" w:color="auto" w:fill="auto"/>
            <w:noWrap/>
            <w:vAlign w:val="bottom"/>
            <w:hideMark/>
          </w:tcPr>
          <w:p w14:paraId="00714F43" w14:textId="77777777" w:rsidR="00D07B68" w:rsidRDefault="00D07B68">
            <w:pPr>
              <w:jc w:val="center"/>
              <w:rPr>
                <w:rFonts w:ascii="Arial" w:hAnsi="Arial" w:cs="Arial"/>
                <w:color w:val="000000"/>
              </w:rPr>
            </w:pPr>
            <w:r>
              <w:rPr>
                <w:rFonts w:ascii="Arial" w:hAnsi="Arial" w:cs="Arial"/>
                <w:color w:val="000000"/>
              </w:rPr>
              <w:t> </w:t>
            </w:r>
          </w:p>
        </w:tc>
        <w:tc>
          <w:tcPr>
            <w:tcW w:w="1010" w:type="dxa"/>
            <w:tcBorders>
              <w:top w:val="nil"/>
              <w:left w:val="nil"/>
              <w:bottom w:val="nil"/>
              <w:right w:val="single" w:sz="4" w:space="0" w:color="auto"/>
            </w:tcBorders>
            <w:shd w:val="clear" w:color="auto" w:fill="auto"/>
            <w:noWrap/>
            <w:vAlign w:val="bottom"/>
            <w:hideMark/>
          </w:tcPr>
          <w:p w14:paraId="15FA64D4" w14:textId="77777777" w:rsidR="00D07B68" w:rsidRDefault="00D07B68">
            <w:pPr>
              <w:jc w:val="center"/>
              <w:rPr>
                <w:rFonts w:ascii="Arial" w:hAnsi="Arial" w:cs="Arial"/>
                <w:color w:val="000000"/>
              </w:rPr>
            </w:pPr>
            <w:r>
              <w:rPr>
                <w:rFonts w:ascii="Arial" w:hAnsi="Arial" w:cs="Arial"/>
                <w:color w:val="000000"/>
              </w:rPr>
              <w:t> </w:t>
            </w:r>
          </w:p>
        </w:tc>
      </w:tr>
      <w:tr w:rsidR="00D07B68" w14:paraId="4E79C960" w14:textId="77777777" w:rsidTr="00D07B68">
        <w:trPr>
          <w:trHeight w:val="274"/>
        </w:trPr>
        <w:tc>
          <w:tcPr>
            <w:tcW w:w="3256" w:type="dxa"/>
            <w:tcBorders>
              <w:top w:val="nil"/>
              <w:left w:val="single" w:sz="4" w:space="0" w:color="auto"/>
              <w:bottom w:val="nil"/>
              <w:right w:val="single" w:sz="4" w:space="0" w:color="auto"/>
            </w:tcBorders>
            <w:shd w:val="clear" w:color="auto" w:fill="auto"/>
            <w:noWrap/>
            <w:vAlign w:val="bottom"/>
            <w:hideMark/>
          </w:tcPr>
          <w:p w14:paraId="51AE4AF7" w14:textId="77777777" w:rsidR="00D07B68" w:rsidRDefault="00D07B68">
            <w:pPr>
              <w:rPr>
                <w:rFonts w:ascii="Arial" w:hAnsi="Arial" w:cs="Arial"/>
                <w:color w:val="000000"/>
              </w:rPr>
            </w:pPr>
            <w:r>
              <w:rPr>
                <w:rFonts w:ascii="Arial" w:hAnsi="Arial" w:cs="Arial"/>
                <w:color w:val="000000"/>
              </w:rPr>
              <w:t>Debt</w:t>
            </w:r>
          </w:p>
        </w:tc>
        <w:tc>
          <w:tcPr>
            <w:tcW w:w="1134" w:type="dxa"/>
            <w:tcBorders>
              <w:top w:val="nil"/>
              <w:left w:val="nil"/>
              <w:bottom w:val="nil"/>
              <w:right w:val="single" w:sz="4" w:space="0" w:color="auto"/>
            </w:tcBorders>
            <w:shd w:val="clear" w:color="auto" w:fill="auto"/>
            <w:noWrap/>
            <w:vAlign w:val="bottom"/>
            <w:hideMark/>
          </w:tcPr>
          <w:p w14:paraId="267ED36D" w14:textId="77777777" w:rsidR="00D07B68" w:rsidRDefault="00D07B68">
            <w:pPr>
              <w:jc w:val="right"/>
              <w:rPr>
                <w:rFonts w:ascii="Arial" w:hAnsi="Arial" w:cs="Arial"/>
                <w:color w:val="000000"/>
              </w:rPr>
            </w:pPr>
            <w:r>
              <w:rPr>
                <w:rFonts w:ascii="Arial" w:hAnsi="Arial" w:cs="Arial"/>
                <w:color w:val="000000"/>
              </w:rPr>
              <w:t>11,000</w:t>
            </w:r>
          </w:p>
        </w:tc>
        <w:tc>
          <w:tcPr>
            <w:tcW w:w="1084" w:type="dxa"/>
            <w:tcBorders>
              <w:top w:val="nil"/>
              <w:left w:val="nil"/>
              <w:bottom w:val="nil"/>
              <w:right w:val="single" w:sz="4" w:space="0" w:color="auto"/>
            </w:tcBorders>
            <w:shd w:val="clear" w:color="auto" w:fill="auto"/>
            <w:noWrap/>
            <w:vAlign w:val="bottom"/>
            <w:hideMark/>
          </w:tcPr>
          <w:p w14:paraId="6A81D370" w14:textId="77777777" w:rsidR="00D07B68" w:rsidRDefault="00D07B68">
            <w:pPr>
              <w:jc w:val="right"/>
              <w:rPr>
                <w:rFonts w:ascii="Arial" w:hAnsi="Arial" w:cs="Arial"/>
                <w:color w:val="000000"/>
              </w:rPr>
            </w:pPr>
            <w:r>
              <w:rPr>
                <w:rFonts w:ascii="Arial" w:hAnsi="Arial" w:cs="Arial"/>
                <w:color w:val="000000"/>
              </w:rPr>
              <w:t>0</w:t>
            </w:r>
          </w:p>
        </w:tc>
        <w:tc>
          <w:tcPr>
            <w:tcW w:w="1150" w:type="dxa"/>
            <w:tcBorders>
              <w:top w:val="nil"/>
              <w:left w:val="nil"/>
              <w:bottom w:val="nil"/>
              <w:right w:val="single" w:sz="4" w:space="0" w:color="auto"/>
            </w:tcBorders>
            <w:shd w:val="clear" w:color="auto" w:fill="auto"/>
            <w:noWrap/>
            <w:vAlign w:val="bottom"/>
            <w:hideMark/>
          </w:tcPr>
          <w:p w14:paraId="11995D89" w14:textId="77777777" w:rsidR="00D07B68" w:rsidRDefault="00D07B68">
            <w:pPr>
              <w:jc w:val="right"/>
              <w:rPr>
                <w:rFonts w:ascii="Arial" w:hAnsi="Arial" w:cs="Arial"/>
                <w:color w:val="000000"/>
              </w:rPr>
            </w:pPr>
            <w:r>
              <w:rPr>
                <w:rFonts w:ascii="Arial" w:hAnsi="Arial" w:cs="Arial"/>
                <w:color w:val="000000"/>
              </w:rPr>
              <w:t>12,000</w:t>
            </w:r>
          </w:p>
        </w:tc>
        <w:tc>
          <w:tcPr>
            <w:tcW w:w="1150" w:type="dxa"/>
            <w:tcBorders>
              <w:top w:val="nil"/>
              <w:left w:val="nil"/>
              <w:bottom w:val="nil"/>
              <w:right w:val="single" w:sz="4" w:space="0" w:color="auto"/>
            </w:tcBorders>
            <w:shd w:val="clear" w:color="auto" w:fill="auto"/>
            <w:noWrap/>
            <w:vAlign w:val="bottom"/>
            <w:hideMark/>
          </w:tcPr>
          <w:p w14:paraId="43A60F2F" w14:textId="77777777" w:rsidR="00D07B68" w:rsidRDefault="00D07B68">
            <w:pPr>
              <w:jc w:val="right"/>
              <w:rPr>
                <w:rFonts w:ascii="Arial" w:hAnsi="Arial" w:cs="Arial"/>
                <w:color w:val="000000"/>
              </w:rPr>
            </w:pPr>
            <w:r>
              <w:rPr>
                <w:rFonts w:ascii="Arial" w:hAnsi="Arial" w:cs="Arial"/>
                <w:color w:val="000000"/>
              </w:rPr>
              <w:t>16,000</w:t>
            </w:r>
          </w:p>
        </w:tc>
        <w:tc>
          <w:tcPr>
            <w:tcW w:w="1010" w:type="dxa"/>
            <w:tcBorders>
              <w:top w:val="nil"/>
              <w:left w:val="nil"/>
              <w:bottom w:val="nil"/>
              <w:right w:val="single" w:sz="4" w:space="0" w:color="auto"/>
            </w:tcBorders>
            <w:shd w:val="clear" w:color="auto" w:fill="auto"/>
            <w:noWrap/>
            <w:vAlign w:val="bottom"/>
            <w:hideMark/>
          </w:tcPr>
          <w:p w14:paraId="54A163AD" w14:textId="77777777" w:rsidR="00D07B68" w:rsidRDefault="00D07B68">
            <w:pPr>
              <w:jc w:val="right"/>
              <w:rPr>
                <w:rFonts w:ascii="Arial" w:hAnsi="Arial" w:cs="Arial"/>
                <w:color w:val="000000"/>
              </w:rPr>
            </w:pPr>
            <w:r>
              <w:rPr>
                <w:rFonts w:ascii="Arial" w:hAnsi="Arial" w:cs="Arial"/>
                <w:color w:val="000000"/>
              </w:rPr>
              <w:t>26,500</w:t>
            </w:r>
          </w:p>
        </w:tc>
      </w:tr>
      <w:tr w:rsidR="00D07B68" w14:paraId="21036CDA" w14:textId="77777777" w:rsidTr="00D07B68">
        <w:trPr>
          <w:trHeight w:val="274"/>
        </w:trPr>
        <w:tc>
          <w:tcPr>
            <w:tcW w:w="3256" w:type="dxa"/>
            <w:tcBorders>
              <w:top w:val="nil"/>
              <w:left w:val="single" w:sz="4" w:space="0" w:color="auto"/>
              <w:bottom w:val="nil"/>
              <w:right w:val="single" w:sz="4" w:space="0" w:color="auto"/>
            </w:tcBorders>
            <w:shd w:val="clear" w:color="auto" w:fill="auto"/>
            <w:noWrap/>
            <w:vAlign w:val="bottom"/>
            <w:hideMark/>
          </w:tcPr>
          <w:p w14:paraId="312F4670" w14:textId="77777777" w:rsidR="00D07B68" w:rsidRDefault="00D07B68">
            <w:pPr>
              <w:rPr>
                <w:rFonts w:ascii="Arial" w:hAnsi="Arial" w:cs="Arial"/>
                <w:color w:val="000000"/>
              </w:rPr>
            </w:pPr>
            <w:r>
              <w:rPr>
                <w:rFonts w:ascii="Arial" w:hAnsi="Arial" w:cs="Arial"/>
                <w:color w:val="000000"/>
              </w:rPr>
              <w:t xml:space="preserve">Other </w:t>
            </w:r>
            <w:proofErr w:type="gramStart"/>
            <w:r>
              <w:rPr>
                <w:rFonts w:ascii="Arial" w:hAnsi="Arial" w:cs="Arial"/>
                <w:color w:val="000000"/>
              </w:rPr>
              <w:t>Long Term</w:t>
            </w:r>
            <w:proofErr w:type="gramEnd"/>
            <w:r>
              <w:rPr>
                <w:rFonts w:ascii="Arial" w:hAnsi="Arial" w:cs="Arial"/>
                <w:color w:val="000000"/>
              </w:rPr>
              <w:t xml:space="preserve"> Liabilities</w:t>
            </w:r>
          </w:p>
        </w:tc>
        <w:tc>
          <w:tcPr>
            <w:tcW w:w="1134" w:type="dxa"/>
            <w:tcBorders>
              <w:top w:val="nil"/>
              <w:left w:val="nil"/>
              <w:bottom w:val="nil"/>
              <w:right w:val="single" w:sz="4" w:space="0" w:color="auto"/>
            </w:tcBorders>
            <w:shd w:val="clear" w:color="auto" w:fill="auto"/>
            <w:noWrap/>
            <w:vAlign w:val="bottom"/>
            <w:hideMark/>
          </w:tcPr>
          <w:p w14:paraId="7DADF300" w14:textId="77777777" w:rsidR="00D07B68" w:rsidRDefault="00D07B68">
            <w:pPr>
              <w:jc w:val="right"/>
              <w:rPr>
                <w:rFonts w:ascii="Arial" w:hAnsi="Arial" w:cs="Arial"/>
                <w:color w:val="000000"/>
              </w:rPr>
            </w:pPr>
            <w:r>
              <w:rPr>
                <w:rFonts w:ascii="Arial" w:hAnsi="Arial" w:cs="Arial"/>
                <w:color w:val="000000"/>
              </w:rPr>
              <w:t>0</w:t>
            </w:r>
          </w:p>
        </w:tc>
        <w:tc>
          <w:tcPr>
            <w:tcW w:w="1084" w:type="dxa"/>
            <w:tcBorders>
              <w:top w:val="nil"/>
              <w:left w:val="nil"/>
              <w:bottom w:val="nil"/>
              <w:right w:val="single" w:sz="4" w:space="0" w:color="auto"/>
            </w:tcBorders>
            <w:shd w:val="clear" w:color="auto" w:fill="auto"/>
            <w:noWrap/>
            <w:vAlign w:val="bottom"/>
            <w:hideMark/>
          </w:tcPr>
          <w:p w14:paraId="15504FAC" w14:textId="77777777" w:rsidR="00D07B68" w:rsidRDefault="00D07B68">
            <w:pPr>
              <w:jc w:val="right"/>
              <w:rPr>
                <w:rFonts w:ascii="Arial" w:hAnsi="Arial" w:cs="Arial"/>
                <w:color w:val="000000"/>
              </w:rPr>
            </w:pPr>
            <w:r>
              <w:rPr>
                <w:rFonts w:ascii="Arial" w:hAnsi="Arial" w:cs="Arial"/>
                <w:color w:val="000000"/>
              </w:rPr>
              <w:t>0</w:t>
            </w:r>
          </w:p>
        </w:tc>
        <w:tc>
          <w:tcPr>
            <w:tcW w:w="1150" w:type="dxa"/>
            <w:tcBorders>
              <w:top w:val="nil"/>
              <w:left w:val="nil"/>
              <w:bottom w:val="nil"/>
              <w:right w:val="single" w:sz="4" w:space="0" w:color="auto"/>
            </w:tcBorders>
            <w:shd w:val="clear" w:color="auto" w:fill="auto"/>
            <w:noWrap/>
            <w:vAlign w:val="bottom"/>
            <w:hideMark/>
          </w:tcPr>
          <w:p w14:paraId="450D38F3" w14:textId="77777777" w:rsidR="00D07B68" w:rsidRDefault="00D07B68">
            <w:pPr>
              <w:jc w:val="right"/>
              <w:rPr>
                <w:rFonts w:ascii="Arial" w:hAnsi="Arial" w:cs="Arial"/>
                <w:color w:val="000000"/>
              </w:rPr>
            </w:pPr>
            <w:r>
              <w:rPr>
                <w:rFonts w:ascii="Arial" w:hAnsi="Arial" w:cs="Arial"/>
                <w:color w:val="000000"/>
              </w:rPr>
              <w:t>1,116</w:t>
            </w:r>
          </w:p>
        </w:tc>
        <w:tc>
          <w:tcPr>
            <w:tcW w:w="1150" w:type="dxa"/>
            <w:tcBorders>
              <w:top w:val="nil"/>
              <w:left w:val="nil"/>
              <w:bottom w:val="nil"/>
              <w:right w:val="single" w:sz="4" w:space="0" w:color="auto"/>
            </w:tcBorders>
            <w:shd w:val="clear" w:color="auto" w:fill="auto"/>
            <w:noWrap/>
            <w:vAlign w:val="bottom"/>
            <w:hideMark/>
          </w:tcPr>
          <w:p w14:paraId="274E9659" w14:textId="77777777" w:rsidR="00D07B68" w:rsidRDefault="00D07B68">
            <w:pPr>
              <w:jc w:val="right"/>
              <w:rPr>
                <w:rFonts w:ascii="Arial" w:hAnsi="Arial" w:cs="Arial"/>
                <w:color w:val="000000"/>
              </w:rPr>
            </w:pPr>
            <w:r>
              <w:rPr>
                <w:rFonts w:ascii="Arial" w:hAnsi="Arial" w:cs="Arial"/>
                <w:color w:val="000000"/>
              </w:rPr>
              <w:t>668</w:t>
            </w:r>
          </w:p>
        </w:tc>
        <w:tc>
          <w:tcPr>
            <w:tcW w:w="1010" w:type="dxa"/>
            <w:tcBorders>
              <w:top w:val="nil"/>
              <w:left w:val="nil"/>
              <w:bottom w:val="nil"/>
              <w:right w:val="single" w:sz="4" w:space="0" w:color="auto"/>
            </w:tcBorders>
            <w:shd w:val="clear" w:color="auto" w:fill="auto"/>
            <w:noWrap/>
            <w:vAlign w:val="bottom"/>
            <w:hideMark/>
          </w:tcPr>
          <w:p w14:paraId="0CEAA688" w14:textId="77777777" w:rsidR="00D07B68" w:rsidRDefault="00D07B68">
            <w:pPr>
              <w:jc w:val="right"/>
              <w:rPr>
                <w:rFonts w:ascii="Arial" w:hAnsi="Arial" w:cs="Arial"/>
                <w:color w:val="000000"/>
              </w:rPr>
            </w:pPr>
            <w:r>
              <w:rPr>
                <w:rFonts w:ascii="Arial" w:hAnsi="Arial" w:cs="Arial"/>
                <w:color w:val="000000"/>
              </w:rPr>
              <w:t>473</w:t>
            </w:r>
          </w:p>
        </w:tc>
      </w:tr>
      <w:tr w:rsidR="00D07B68" w14:paraId="3CDFDEB8" w14:textId="77777777" w:rsidTr="00D07B68">
        <w:trPr>
          <w:trHeight w:val="274"/>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1B739893" w14:textId="77777777" w:rsidR="00D07B68" w:rsidRPr="00D07B68" w:rsidRDefault="00D07B68">
            <w:pPr>
              <w:rPr>
                <w:rFonts w:ascii="Arial" w:hAnsi="Arial" w:cs="Arial"/>
                <w:b/>
                <w:bCs/>
                <w:color w:val="000000"/>
              </w:rPr>
            </w:pPr>
            <w:r w:rsidRPr="00D07B68">
              <w:rPr>
                <w:rFonts w:ascii="Arial" w:hAnsi="Arial" w:cs="Arial"/>
                <w:b/>
                <w:bCs/>
                <w:color w:val="000000"/>
              </w:rPr>
              <w:lastRenderedPageBreak/>
              <w:t>Net Borrowing</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CB10DC7" w14:textId="77777777" w:rsidR="00D07B68" w:rsidRPr="00D07B68" w:rsidRDefault="00D07B68">
            <w:pPr>
              <w:jc w:val="right"/>
              <w:rPr>
                <w:rFonts w:ascii="Arial" w:hAnsi="Arial" w:cs="Arial"/>
                <w:b/>
                <w:bCs/>
                <w:color w:val="000000"/>
              </w:rPr>
            </w:pPr>
            <w:r w:rsidRPr="00D07B68">
              <w:rPr>
                <w:rFonts w:ascii="Arial" w:hAnsi="Arial" w:cs="Arial"/>
                <w:b/>
                <w:bCs/>
                <w:color w:val="000000"/>
              </w:rPr>
              <w:t>11,000</w:t>
            </w:r>
          </w:p>
        </w:tc>
        <w:tc>
          <w:tcPr>
            <w:tcW w:w="1084" w:type="dxa"/>
            <w:tcBorders>
              <w:top w:val="single" w:sz="4" w:space="0" w:color="auto"/>
              <w:left w:val="nil"/>
              <w:bottom w:val="single" w:sz="4" w:space="0" w:color="auto"/>
              <w:right w:val="single" w:sz="4" w:space="0" w:color="auto"/>
            </w:tcBorders>
            <w:shd w:val="clear" w:color="auto" w:fill="auto"/>
            <w:noWrap/>
            <w:vAlign w:val="bottom"/>
            <w:hideMark/>
          </w:tcPr>
          <w:p w14:paraId="6F6A64FB" w14:textId="77777777" w:rsidR="00D07B68" w:rsidRPr="00D07B68" w:rsidRDefault="00D07B68">
            <w:pPr>
              <w:jc w:val="right"/>
              <w:rPr>
                <w:rFonts w:ascii="Arial" w:hAnsi="Arial" w:cs="Arial"/>
                <w:b/>
                <w:bCs/>
                <w:color w:val="000000"/>
              </w:rPr>
            </w:pPr>
            <w:r w:rsidRPr="00D07B68">
              <w:rPr>
                <w:rFonts w:ascii="Arial" w:hAnsi="Arial" w:cs="Arial"/>
                <w:b/>
                <w:bCs/>
                <w:color w:val="000000"/>
              </w:rPr>
              <w:t>0</w:t>
            </w:r>
          </w:p>
        </w:tc>
        <w:tc>
          <w:tcPr>
            <w:tcW w:w="1150" w:type="dxa"/>
            <w:tcBorders>
              <w:top w:val="single" w:sz="4" w:space="0" w:color="auto"/>
              <w:left w:val="nil"/>
              <w:bottom w:val="single" w:sz="4" w:space="0" w:color="auto"/>
              <w:right w:val="single" w:sz="4" w:space="0" w:color="auto"/>
            </w:tcBorders>
            <w:shd w:val="clear" w:color="auto" w:fill="auto"/>
            <w:noWrap/>
            <w:vAlign w:val="bottom"/>
            <w:hideMark/>
          </w:tcPr>
          <w:p w14:paraId="5FB0DB48" w14:textId="77777777" w:rsidR="00D07B68" w:rsidRPr="00D07B68" w:rsidRDefault="00D07B68">
            <w:pPr>
              <w:jc w:val="right"/>
              <w:rPr>
                <w:rFonts w:ascii="Arial" w:hAnsi="Arial" w:cs="Arial"/>
                <w:b/>
                <w:bCs/>
                <w:color w:val="000000"/>
              </w:rPr>
            </w:pPr>
            <w:r w:rsidRPr="00D07B68">
              <w:rPr>
                <w:rFonts w:ascii="Arial" w:hAnsi="Arial" w:cs="Arial"/>
                <w:b/>
                <w:bCs/>
                <w:color w:val="000000"/>
              </w:rPr>
              <w:t>13,116</w:t>
            </w:r>
          </w:p>
        </w:tc>
        <w:tc>
          <w:tcPr>
            <w:tcW w:w="1150" w:type="dxa"/>
            <w:tcBorders>
              <w:top w:val="single" w:sz="4" w:space="0" w:color="auto"/>
              <w:left w:val="nil"/>
              <w:bottom w:val="single" w:sz="4" w:space="0" w:color="auto"/>
              <w:right w:val="single" w:sz="4" w:space="0" w:color="auto"/>
            </w:tcBorders>
            <w:shd w:val="clear" w:color="auto" w:fill="auto"/>
            <w:noWrap/>
            <w:vAlign w:val="bottom"/>
            <w:hideMark/>
          </w:tcPr>
          <w:p w14:paraId="1ED93ACA" w14:textId="77777777" w:rsidR="00D07B68" w:rsidRPr="00D07B68" w:rsidRDefault="00D07B68">
            <w:pPr>
              <w:jc w:val="right"/>
              <w:rPr>
                <w:rFonts w:ascii="Arial" w:hAnsi="Arial" w:cs="Arial"/>
                <w:b/>
                <w:bCs/>
                <w:color w:val="000000"/>
              </w:rPr>
            </w:pPr>
            <w:r w:rsidRPr="00D07B68">
              <w:rPr>
                <w:rFonts w:ascii="Arial" w:hAnsi="Arial" w:cs="Arial"/>
                <w:b/>
                <w:bCs/>
                <w:color w:val="000000"/>
              </w:rPr>
              <w:t>16,668</w:t>
            </w:r>
          </w:p>
        </w:tc>
        <w:tc>
          <w:tcPr>
            <w:tcW w:w="1010" w:type="dxa"/>
            <w:tcBorders>
              <w:top w:val="single" w:sz="4" w:space="0" w:color="auto"/>
              <w:left w:val="nil"/>
              <w:bottom w:val="single" w:sz="4" w:space="0" w:color="auto"/>
              <w:right w:val="single" w:sz="4" w:space="0" w:color="auto"/>
            </w:tcBorders>
            <w:shd w:val="clear" w:color="auto" w:fill="auto"/>
            <w:noWrap/>
            <w:vAlign w:val="bottom"/>
            <w:hideMark/>
          </w:tcPr>
          <w:p w14:paraId="0EB124DD" w14:textId="77777777" w:rsidR="00D07B68" w:rsidRPr="00D07B68" w:rsidRDefault="00D07B68">
            <w:pPr>
              <w:jc w:val="right"/>
              <w:rPr>
                <w:rFonts w:ascii="Arial" w:hAnsi="Arial" w:cs="Arial"/>
                <w:b/>
                <w:bCs/>
                <w:color w:val="000000"/>
              </w:rPr>
            </w:pPr>
            <w:r w:rsidRPr="00D07B68">
              <w:rPr>
                <w:rFonts w:ascii="Arial" w:hAnsi="Arial" w:cs="Arial"/>
                <w:b/>
                <w:bCs/>
                <w:color w:val="000000"/>
              </w:rPr>
              <w:t>26,973</w:t>
            </w:r>
          </w:p>
        </w:tc>
      </w:tr>
    </w:tbl>
    <w:p w14:paraId="585FE796" w14:textId="77777777" w:rsidR="00AA056E" w:rsidRDefault="00AA056E" w:rsidP="00615280">
      <w:pPr>
        <w:pStyle w:val="BodyText"/>
        <w:ind w:left="709" w:hanging="709"/>
        <w:rPr>
          <w:rFonts w:ascii="Arial" w:hAnsi="Arial" w:cs="Arial"/>
        </w:rPr>
      </w:pPr>
    </w:p>
    <w:p w14:paraId="3FBCEBDC" w14:textId="77777777" w:rsidR="00312F78" w:rsidRDefault="00BE269E" w:rsidP="00AA056E">
      <w:pPr>
        <w:pStyle w:val="BodyText"/>
        <w:ind w:left="709" w:hanging="709"/>
        <w:rPr>
          <w:rFonts w:ascii="Arial" w:hAnsi="Arial"/>
          <w:sz w:val="22"/>
          <w:szCs w:val="22"/>
        </w:rPr>
      </w:pPr>
      <w:r>
        <w:rPr>
          <w:rFonts w:ascii="Arial" w:hAnsi="Arial"/>
        </w:rPr>
        <w:t>7.3</w:t>
      </w:r>
      <w:r>
        <w:rPr>
          <w:rFonts w:ascii="Arial" w:hAnsi="Arial"/>
        </w:rPr>
        <w:tab/>
      </w:r>
      <w:r w:rsidR="00E25F68" w:rsidRPr="004C63FC">
        <w:rPr>
          <w:rFonts w:ascii="Arial" w:hAnsi="Arial"/>
        </w:rPr>
        <w:t>A further key prudential indicator representing a control on the overall level of borrowing is the Authorised Limit for External Debt.</w:t>
      </w:r>
      <w:r w:rsidR="00447A47">
        <w:rPr>
          <w:rFonts w:ascii="Arial" w:hAnsi="Arial"/>
        </w:rPr>
        <w:t xml:space="preserve">  </w:t>
      </w:r>
      <w:r w:rsidR="00B917C0" w:rsidRPr="00E404E7">
        <w:rPr>
          <w:rFonts w:ascii="Arial" w:hAnsi="Arial"/>
        </w:rPr>
        <w:t>This is calculated on a 5%</w:t>
      </w:r>
      <w:r w:rsidR="009C2583" w:rsidRPr="00B12139">
        <w:rPr>
          <w:rFonts w:ascii="Arial" w:hAnsi="Arial"/>
        </w:rPr>
        <w:t xml:space="preserve"> mark up on the operational boundary</w:t>
      </w:r>
      <w:r w:rsidR="00B917C0" w:rsidRPr="00306D07">
        <w:rPr>
          <w:rFonts w:ascii="Arial" w:hAnsi="Arial"/>
        </w:rPr>
        <w:t xml:space="preserve">.  </w:t>
      </w:r>
      <w:r w:rsidR="00E25F68" w:rsidRPr="009719D8">
        <w:rPr>
          <w:rFonts w:ascii="Arial" w:hAnsi="Arial"/>
        </w:rPr>
        <w:t>T</w:t>
      </w:r>
      <w:r w:rsidR="00E25F68" w:rsidRPr="00ED5AD3">
        <w:rPr>
          <w:rFonts w:ascii="Arial" w:hAnsi="Arial"/>
        </w:rPr>
        <w:t>his represents a limit beyond wh</w:t>
      </w:r>
      <w:r w:rsidR="00447A47">
        <w:rPr>
          <w:rFonts w:ascii="Arial" w:hAnsi="Arial"/>
        </w:rPr>
        <w:t>ich external debt is prohibited</w:t>
      </w:r>
      <w:r w:rsidR="00E25F68" w:rsidRPr="00ED5AD3">
        <w:rPr>
          <w:rFonts w:ascii="Arial" w:hAnsi="Arial"/>
        </w:rPr>
        <w:t xml:space="preserve"> and this limit needs to be set or revised by the </w:t>
      </w:r>
      <w:r w:rsidR="002B29DB" w:rsidRPr="00257330">
        <w:rPr>
          <w:rFonts w:ascii="Arial" w:hAnsi="Arial"/>
        </w:rPr>
        <w:t>Commissioner</w:t>
      </w:r>
      <w:r w:rsidR="00E25F68" w:rsidRPr="00AA0F52">
        <w:rPr>
          <w:rFonts w:ascii="Arial" w:hAnsi="Arial"/>
        </w:rPr>
        <w:t>.  It reflects the level of external debt which, while not desired, could be afforded in the short term, but is not sustainable in</w:t>
      </w:r>
      <w:r w:rsidR="00E25F68" w:rsidRPr="003E64A8">
        <w:rPr>
          <w:rFonts w:ascii="Arial" w:hAnsi="Arial"/>
        </w:rPr>
        <w:t xml:space="preserve"> the longer term.  This is the statutory limit determined under section 3 (1) of the Local Government Act 2003.  The Government retains an option to </w:t>
      </w:r>
      <w:r w:rsidR="002B29DB" w:rsidRPr="007557D6">
        <w:rPr>
          <w:rFonts w:ascii="Arial" w:hAnsi="Arial"/>
        </w:rPr>
        <w:t xml:space="preserve">control either the total </w:t>
      </w:r>
      <w:r w:rsidR="00E25F68" w:rsidRPr="007557D6">
        <w:rPr>
          <w:rFonts w:ascii="Arial" w:hAnsi="Arial"/>
        </w:rPr>
        <w:t>plans</w:t>
      </w:r>
      <w:r w:rsidR="00020F8B" w:rsidRPr="007557D6">
        <w:rPr>
          <w:rFonts w:ascii="Arial" w:hAnsi="Arial"/>
        </w:rPr>
        <w:t xml:space="preserve"> of all Local Authorities and C</w:t>
      </w:r>
      <w:r w:rsidR="002B29DB" w:rsidRPr="007557D6">
        <w:rPr>
          <w:rFonts w:ascii="Arial" w:hAnsi="Arial"/>
        </w:rPr>
        <w:t>ommissioners</w:t>
      </w:r>
      <w:r w:rsidR="00E25F68" w:rsidRPr="007557D6">
        <w:rPr>
          <w:rFonts w:ascii="Arial" w:hAnsi="Arial"/>
        </w:rPr>
        <w:t xml:space="preserve">, or those of a specific </w:t>
      </w:r>
      <w:r w:rsidR="00020F8B" w:rsidRPr="00B25C01">
        <w:rPr>
          <w:rFonts w:ascii="Arial" w:hAnsi="Arial"/>
        </w:rPr>
        <w:t>A</w:t>
      </w:r>
      <w:r w:rsidR="00E25F68" w:rsidRPr="003020CB">
        <w:rPr>
          <w:rFonts w:ascii="Arial" w:hAnsi="Arial"/>
        </w:rPr>
        <w:t>uthority</w:t>
      </w:r>
      <w:r w:rsidR="00020F8B" w:rsidRPr="0007384A">
        <w:rPr>
          <w:rFonts w:ascii="Arial" w:hAnsi="Arial"/>
        </w:rPr>
        <w:t xml:space="preserve"> or C</w:t>
      </w:r>
      <w:r w:rsidR="002B29DB" w:rsidRPr="0007384A">
        <w:rPr>
          <w:rFonts w:ascii="Arial" w:hAnsi="Arial"/>
        </w:rPr>
        <w:t>ommissioner</w:t>
      </w:r>
      <w:r w:rsidR="00E25F68" w:rsidRPr="0007384A">
        <w:rPr>
          <w:rFonts w:ascii="Arial" w:hAnsi="Arial"/>
        </w:rPr>
        <w:t xml:space="preserve">, although no control has yet been exercised.  The </w:t>
      </w:r>
      <w:r w:rsidR="002B29DB" w:rsidRPr="004911F6">
        <w:rPr>
          <w:rFonts w:ascii="Arial" w:hAnsi="Arial"/>
        </w:rPr>
        <w:t>Commissioner</w:t>
      </w:r>
      <w:r w:rsidR="00E25F68" w:rsidRPr="004911F6">
        <w:rPr>
          <w:rFonts w:ascii="Arial" w:hAnsi="Arial"/>
        </w:rPr>
        <w:t xml:space="preserve"> is asked to approve the following Authorised Limit:</w:t>
      </w:r>
      <w:r w:rsidR="00F1211C" w:rsidRPr="00312F78">
        <w:rPr>
          <w:rFonts w:ascii="Arial" w:hAnsi="Arial"/>
          <w:sz w:val="22"/>
          <w:szCs w:val="22"/>
        </w:rPr>
        <w:tab/>
      </w:r>
    </w:p>
    <w:p w14:paraId="11EB225C" w14:textId="0491EBF5" w:rsidR="003838F9" w:rsidRDefault="003838F9" w:rsidP="00AA056E">
      <w:pPr>
        <w:pStyle w:val="BodyText"/>
        <w:ind w:left="709" w:hanging="709"/>
        <w:rPr>
          <w:rFonts w:ascii="Arial" w:hAnsi="Arial"/>
        </w:rPr>
      </w:pPr>
    </w:p>
    <w:tbl>
      <w:tblPr>
        <w:tblW w:w="8985" w:type="dxa"/>
        <w:tblLook w:val="04A0" w:firstRow="1" w:lastRow="0" w:firstColumn="1" w:lastColumn="0" w:noHBand="0" w:noVBand="1"/>
      </w:tblPr>
      <w:tblGrid>
        <w:gridCol w:w="3235"/>
        <w:gridCol w:w="1123"/>
        <w:gridCol w:w="1137"/>
        <w:gridCol w:w="1217"/>
        <w:gridCol w:w="1217"/>
        <w:gridCol w:w="1217"/>
      </w:tblGrid>
      <w:tr w:rsidR="00D07B68" w14:paraId="7EA1D823" w14:textId="77777777" w:rsidTr="00D07B68">
        <w:trPr>
          <w:trHeight w:val="306"/>
        </w:trPr>
        <w:tc>
          <w:tcPr>
            <w:tcW w:w="8985"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D64C9E2" w14:textId="77777777" w:rsidR="00D07B68" w:rsidRDefault="00D07B68">
            <w:pPr>
              <w:jc w:val="center"/>
              <w:rPr>
                <w:rFonts w:ascii="Arial" w:hAnsi="Arial" w:cs="Arial"/>
                <w:b/>
                <w:bCs/>
                <w:color w:val="000000"/>
              </w:rPr>
            </w:pPr>
            <w:r>
              <w:rPr>
                <w:rFonts w:ascii="Arial" w:hAnsi="Arial" w:cs="Arial"/>
                <w:b/>
                <w:bCs/>
                <w:color w:val="000000"/>
              </w:rPr>
              <w:t xml:space="preserve">Authorised Limit for Debt </w:t>
            </w:r>
            <w:proofErr w:type="gramStart"/>
            <w:r>
              <w:rPr>
                <w:rFonts w:ascii="Arial" w:hAnsi="Arial" w:cs="Arial"/>
                <w:b/>
                <w:bCs/>
                <w:color w:val="000000"/>
              </w:rPr>
              <w:t>at</w:t>
            </w:r>
            <w:proofErr w:type="gramEnd"/>
            <w:r>
              <w:rPr>
                <w:rFonts w:ascii="Arial" w:hAnsi="Arial" w:cs="Arial"/>
                <w:b/>
                <w:bCs/>
                <w:color w:val="000000"/>
              </w:rPr>
              <w:t xml:space="preserve"> 1st April</w:t>
            </w:r>
          </w:p>
        </w:tc>
      </w:tr>
      <w:tr w:rsidR="00D07B68" w14:paraId="6FA3822A" w14:textId="77777777" w:rsidTr="00D07B68">
        <w:trPr>
          <w:trHeight w:val="306"/>
        </w:trPr>
        <w:tc>
          <w:tcPr>
            <w:tcW w:w="3235" w:type="dxa"/>
            <w:tcBorders>
              <w:top w:val="nil"/>
              <w:left w:val="single" w:sz="4" w:space="0" w:color="auto"/>
              <w:bottom w:val="nil"/>
              <w:right w:val="single" w:sz="4" w:space="0" w:color="auto"/>
            </w:tcBorders>
            <w:shd w:val="clear" w:color="auto" w:fill="auto"/>
            <w:noWrap/>
            <w:vAlign w:val="bottom"/>
            <w:hideMark/>
          </w:tcPr>
          <w:p w14:paraId="21EDAC48" w14:textId="77777777" w:rsidR="00D07B68" w:rsidRDefault="00D07B68">
            <w:pPr>
              <w:rPr>
                <w:rFonts w:ascii="Arial" w:hAnsi="Arial" w:cs="Arial"/>
                <w:color w:val="000000"/>
              </w:rPr>
            </w:pPr>
            <w:r>
              <w:rPr>
                <w:rFonts w:ascii="Arial" w:hAnsi="Arial" w:cs="Arial"/>
                <w:color w:val="000000"/>
              </w:rPr>
              <w:t> </w:t>
            </w:r>
          </w:p>
        </w:tc>
        <w:tc>
          <w:tcPr>
            <w:tcW w:w="1093" w:type="dxa"/>
            <w:tcBorders>
              <w:top w:val="nil"/>
              <w:left w:val="nil"/>
              <w:bottom w:val="nil"/>
              <w:right w:val="single" w:sz="4" w:space="0" w:color="auto"/>
            </w:tcBorders>
            <w:shd w:val="clear" w:color="auto" w:fill="auto"/>
            <w:noWrap/>
            <w:vAlign w:val="bottom"/>
            <w:hideMark/>
          </w:tcPr>
          <w:p w14:paraId="35F6F97C" w14:textId="77777777" w:rsidR="00D07B68" w:rsidRDefault="00D07B68">
            <w:pPr>
              <w:rPr>
                <w:rFonts w:ascii="Arial" w:hAnsi="Arial" w:cs="Arial"/>
                <w:b/>
                <w:bCs/>
                <w:color w:val="000000"/>
              </w:rPr>
            </w:pPr>
            <w:r>
              <w:rPr>
                <w:rFonts w:ascii="Arial" w:hAnsi="Arial" w:cs="Arial"/>
                <w:b/>
                <w:bCs/>
                <w:color w:val="000000"/>
              </w:rPr>
              <w:t>2023/24</w:t>
            </w:r>
          </w:p>
        </w:tc>
        <w:tc>
          <w:tcPr>
            <w:tcW w:w="1106" w:type="dxa"/>
            <w:tcBorders>
              <w:top w:val="nil"/>
              <w:left w:val="nil"/>
              <w:bottom w:val="nil"/>
              <w:right w:val="single" w:sz="4" w:space="0" w:color="auto"/>
            </w:tcBorders>
            <w:shd w:val="clear" w:color="auto" w:fill="auto"/>
            <w:noWrap/>
            <w:vAlign w:val="bottom"/>
            <w:hideMark/>
          </w:tcPr>
          <w:p w14:paraId="5ECDCDC8" w14:textId="77777777" w:rsidR="00D07B68" w:rsidRDefault="00D07B68">
            <w:pPr>
              <w:rPr>
                <w:rFonts w:ascii="Arial" w:hAnsi="Arial" w:cs="Arial"/>
                <w:b/>
                <w:bCs/>
                <w:color w:val="000000"/>
              </w:rPr>
            </w:pPr>
            <w:r>
              <w:rPr>
                <w:rFonts w:ascii="Arial" w:hAnsi="Arial" w:cs="Arial"/>
                <w:b/>
                <w:bCs/>
                <w:color w:val="000000"/>
              </w:rPr>
              <w:t>2023/24</w:t>
            </w:r>
          </w:p>
        </w:tc>
        <w:tc>
          <w:tcPr>
            <w:tcW w:w="1184" w:type="dxa"/>
            <w:tcBorders>
              <w:top w:val="nil"/>
              <w:left w:val="nil"/>
              <w:bottom w:val="nil"/>
              <w:right w:val="single" w:sz="4" w:space="0" w:color="auto"/>
            </w:tcBorders>
            <w:shd w:val="clear" w:color="auto" w:fill="auto"/>
            <w:noWrap/>
            <w:vAlign w:val="bottom"/>
            <w:hideMark/>
          </w:tcPr>
          <w:p w14:paraId="185C534A" w14:textId="77777777" w:rsidR="00D07B68" w:rsidRDefault="00D07B68">
            <w:pPr>
              <w:rPr>
                <w:rFonts w:ascii="Arial" w:hAnsi="Arial" w:cs="Arial"/>
                <w:b/>
                <w:bCs/>
                <w:color w:val="000000"/>
              </w:rPr>
            </w:pPr>
            <w:r>
              <w:rPr>
                <w:rFonts w:ascii="Arial" w:hAnsi="Arial" w:cs="Arial"/>
                <w:b/>
                <w:bCs/>
                <w:color w:val="000000"/>
              </w:rPr>
              <w:t>2024/25</w:t>
            </w:r>
          </w:p>
        </w:tc>
        <w:tc>
          <w:tcPr>
            <w:tcW w:w="1184" w:type="dxa"/>
            <w:tcBorders>
              <w:top w:val="nil"/>
              <w:left w:val="nil"/>
              <w:bottom w:val="nil"/>
              <w:right w:val="single" w:sz="4" w:space="0" w:color="auto"/>
            </w:tcBorders>
            <w:shd w:val="clear" w:color="auto" w:fill="auto"/>
            <w:noWrap/>
            <w:vAlign w:val="bottom"/>
            <w:hideMark/>
          </w:tcPr>
          <w:p w14:paraId="28F40B5C" w14:textId="77777777" w:rsidR="00D07B68" w:rsidRDefault="00D07B68">
            <w:pPr>
              <w:rPr>
                <w:rFonts w:ascii="Arial" w:hAnsi="Arial" w:cs="Arial"/>
                <w:b/>
                <w:bCs/>
                <w:color w:val="000000"/>
              </w:rPr>
            </w:pPr>
            <w:r>
              <w:rPr>
                <w:rFonts w:ascii="Arial" w:hAnsi="Arial" w:cs="Arial"/>
                <w:b/>
                <w:bCs/>
                <w:color w:val="000000"/>
              </w:rPr>
              <w:t>2025/26</w:t>
            </w:r>
          </w:p>
        </w:tc>
        <w:tc>
          <w:tcPr>
            <w:tcW w:w="1181" w:type="dxa"/>
            <w:tcBorders>
              <w:top w:val="nil"/>
              <w:left w:val="nil"/>
              <w:bottom w:val="nil"/>
              <w:right w:val="single" w:sz="4" w:space="0" w:color="auto"/>
            </w:tcBorders>
            <w:shd w:val="clear" w:color="auto" w:fill="auto"/>
            <w:noWrap/>
            <w:vAlign w:val="bottom"/>
            <w:hideMark/>
          </w:tcPr>
          <w:p w14:paraId="35649B38" w14:textId="77777777" w:rsidR="00D07B68" w:rsidRDefault="00D07B68">
            <w:pPr>
              <w:rPr>
                <w:rFonts w:ascii="Arial" w:hAnsi="Arial" w:cs="Arial"/>
                <w:b/>
                <w:bCs/>
                <w:color w:val="000000"/>
              </w:rPr>
            </w:pPr>
            <w:r>
              <w:rPr>
                <w:rFonts w:ascii="Arial" w:hAnsi="Arial" w:cs="Arial"/>
                <w:b/>
                <w:bCs/>
                <w:color w:val="000000"/>
              </w:rPr>
              <w:t>2026/27</w:t>
            </w:r>
          </w:p>
        </w:tc>
      </w:tr>
      <w:tr w:rsidR="00D07B68" w14:paraId="2AFFE5A0" w14:textId="77777777" w:rsidTr="00D07B68">
        <w:trPr>
          <w:trHeight w:val="306"/>
        </w:trPr>
        <w:tc>
          <w:tcPr>
            <w:tcW w:w="3235" w:type="dxa"/>
            <w:tcBorders>
              <w:top w:val="nil"/>
              <w:left w:val="single" w:sz="4" w:space="0" w:color="auto"/>
              <w:bottom w:val="nil"/>
              <w:right w:val="single" w:sz="4" w:space="0" w:color="auto"/>
            </w:tcBorders>
            <w:shd w:val="clear" w:color="auto" w:fill="auto"/>
            <w:noWrap/>
            <w:vAlign w:val="bottom"/>
            <w:hideMark/>
          </w:tcPr>
          <w:p w14:paraId="6EC588C1" w14:textId="77777777" w:rsidR="00D07B68" w:rsidRDefault="00D07B68">
            <w:pPr>
              <w:rPr>
                <w:rFonts w:ascii="Arial" w:hAnsi="Arial" w:cs="Arial"/>
                <w:color w:val="000000"/>
              </w:rPr>
            </w:pPr>
            <w:r>
              <w:rPr>
                <w:rFonts w:ascii="Arial" w:hAnsi="Arial" w:cs="Arial"/>
                <w:color w:val="000000"/>
              </w:rPr>
              <w:t> </w:t>
            </w:r>
          </w:p>
        </w:tc>
        <w:tc>
          <w:tcPr>
            <w:tcW w:w="1093" w:type="dxa"/>
            <w:tcBorders>
              <w:top w:val="nil"/>
              <w:left w:val="nil"/>
              <w:bottom w:val="nil"/>
              <w:right w:val="single" w:sz="4" w:space="0" w:color="auto"/>
            </w:tcBorders>
            <w:shd w:val="clear" w:color="auto" w:fill="auto"/>
            <w:noWrap/>
            <w:vAlign w:val="bottom"/>
            <w:hideMark/>
          </w:tcPr>
          <w:p w14:paraId="2B1C4BED" w14:textId="77777777" w:rsidR="00D07B68" w:rsidRDefault="00D07B68">
            <w:pPr>
              <w:rPr>
                <w:rFonts w:ascii="Arial" w:hAnsi="Arial" w:cs="Arial"/>
                <w:b/>
                <w:bCs/>
                <w:color w:val="000000"/>
              </w:rPr>
            </w:pPr>
            <w:r>
              <w:rPr>
                <w:rFonts w:ascii="Arial" w:hAnsi="Arial" w:cs="Arial"/>
                <w:b/>
                <w:bCs/>
                <w:color w:val="000000"/>
              </w:rPr>
              <w:t>Original</w:t>
            </w:r>
          </w:p>
        </w:tc>
        <w:tc>
          <w:tcPr>
            <w:tcW w:w="1106" w:type="dxa"/>
            <w:tcBorders>
              <w:top w:val="nil"/>
              <w:left w:val="nil"/>
              <w:bottom w:val="nil"/>
              <w:right w:val="nil"/>
            </w:tcBorders>
            <w:shd w:val="clear" w:color="auto" w:fill="auto"/>
            <w:noWrap/>
            <w:vAlign w:val="bottom"/>
            <w:hideMark/>
          </w:tcPr>
          <w:p w14:paraId="779987A7" w14:textId="77777777" w:rsidR="00D07B68" w:rsidRDefault="00D07B68">
            <w:pPr>
              <w:jc w:val="center"/>
              <w:rPr>
                <w:rFonts w:ascii="Arial" w:hAnsi="Arial" w:cs="Arial"/>
                <w:b/>
                <w:bCs/>
                <w:color w:val="000000"/>
              </w:rPr>
            </w:pPr>
            <w:r>
              <w:rPr>
                <w:rFonts w:ascii="Arial" w:hAnsi="Arial" w:cs="Arial"/>
                <w:b/>
                <w:bCs/>
                <w:color w:val="000000"/>
              </w:rPr>
              <w:t>Revised</w:t>
            </w:r>
          </w:p>
        </w:tc>
        <w:tc>
          <w:tcPr>
            <w:tcW w:w="1184" w:type="dxa"/>
            <w:tcBorders>
              <w:top w:val="nil"/>
              <w:left w:val="single" w:sz="4" w:space="0" w:color="auto"/>
              <w:bottom w:val="nil"/>
              <w:right w:val="single" w:sz="4" w:space="0" w:color="auto"/>
            </w:tcBorders>
            <w:shd w:val="clear" w:color="auto" w:fill="auto"/>
            <w:noWrap/>
            <w:vAlign w:val="bottom"/>
            <w:hideMark/>
          </w:tcPr>
          <w:p w14:paraId="57F61996" w14:textId="77777777" w:rsidR="00D07B68" w:rsidRDefault="00D07B68">
            <w:pPr>
              <w:rPr>
                <w:rFonts w:ascii="Arial" w:hAnsi="Arial" w:cs="Arial"/>
                <w:b/>
                <w:bCs/>
                <w:color w:val="000000"/>
              </w:rPr>
            </w:pPr>
            <w:r>
              <w:rPr>
                <w:rFonts w:ascii="Arial" w:hAnsi="Arial" w:cs="Arial"/>
                <w:b/>
                <w:bCs/>
                <w:color w:val="000000"/>
              </w:rPr>
              <w:t>Estimate</w:t>
            </w:r>
          </w:p>
        </w:tc>
        <w:tc>
          <w:tcPr>
            <w:tcW w:w="1184" w:type="dxa"/>
            <w:tcBorders>
              <w:top w:val="nil"/>
              <w:left w:val="nil"/>
              <w:bottom w:val="nil"/>
              <w:right w:val="single" w:sz="4" w:space="0" w:color="auto"/>
            </w:tcBorders>
            <w:shd w:val="clear" w:color="auto" w:fill="auto"/>
            <w:noWrap/>
            <w:vAlign w:val="bottom"/>
            <w:hideMark/>
          </w:tcPr>
          <w:p w14:paraId="17407C84" w14:textId="77777777" w:rsidR="00D07B68" w:rsidRDefault="00D07B68">
            <w:pPr>
              <w:rPr>
                <w:rFonts w:ascii="Arial" w:hAnsi="Arial" w:cs="Arial"/>
                <w:b/>
                <w:bCs/>
                <w:color w:val="000000"/>
              </w:rPr>
            </w:pPr>
            <w:r>
              <w:rPr>
                <w:rFonts w:ascii="Arial" w:hAnsi="Arial" w:cs="Arial"/>
                <w:b/>
                <w:bCs/>
                <w:color w:val="000000"/>
              </w:rPr>
              <w:t>Estimate</w:t>
            </w:r>
          </w:p>
        </w:tc>
        <w:tc>
          <w:tcPr>
            <w:tcW w:w="1181" w:type="dxa"/>
            <w:tcBorders>
              <w:top w:val="nil"/>
              <w:left w:val="nil"/>
              <w:bottom w:val="nil"/>
              <w:right w:val="single" w:sz="4" w:space="0" w:color="auto"/>
            </w:tcBorders>
            <w:shd w:val="clear" w:color="auto" w:fill="auto"/>
            <w:noWrap/>
            <w:vAlign w:val="bottom"/>
            <w:hideMark/>
          </w:tcPr>
          <w:p w14:paraId="1FF59272" w14:textId="77777777" w:rsidR="00D07B68" w:rsidRDefault="00D07B68">
            <w:pPr>
              <w:rPr>
                <w:rFonts w:ascii="Arial" w:hAnsi="Arial" w:cs="Arial"/>
                <w:b/>
                <w:bCs/>
                <w:color w:val="000000"/>
              </w:rPr>
            </w:pPr>
            <w:r>
              <w:rPr>
                <w:rFonts w:ascii="Arial" w:hAnsi="Arial" w:cs="Arial"/>
                <w:b/>
                <w:bCs/>
                <w:color w:val="000000"/>
              </w:rPr>
              <w:t>Estimate</w:t>
            </w:r>
          </w:p>
        </w:tc>
      </w:tr>
      <w:tr w:rsidR="00D07B68" w14:paraId="1CE8555E" w14:textId="77777777" w:rsidTr="00D07B68">
        <w:trPr>
          <w:trHeight w:val="306"/>
        </w:trPr>
        <w:tc>
          <w:tcPr>
            <w:tcW w:w="3235" w:type="dxa"/>
            <w:tcBorders>
              <w:top w:val="nil"/>
              <w:left w:val="single" w:sz="4" w:space="0" w:color="auto"/>
              <w:bottom w:val="nil"/>
              <w:right w:val="single" w:sz="4" w:space="0" w:color="auto"/>
            </w:tcBorders>
            <w:shd w:val="clear" w:color="auto" w:fill="auto"/>
            <w:noWrap/>
            <w:vAlign w:val="bottom"/>
            <w:hideMark/>
          </w:tcPr>
          <w:p w14:paraId="3618E62B" w14:textId="77777777" w:rsidR="00D07B68" w:rsidRDefault="00D07B68">
            <w:pPr>
              <w:rPr>
                <w:rFonts w:ascii="Arial" w:hAnsi="Arial" w:cs="Arial"/>
                <w:color w:val="000000"/>
              </w:rPr>
            </w:pPr>
            <w:r>
              <w:rPr>
                <w:rFonts w:ascii="Arial" w:hAnsi="Arial" w:cs="Arial"/>
                <w:color w:val="000000"/>
              </w:rPr>
              <w:t> </w:t>
            </w:r>
          </w:p>
        </w:tc>
        <w:tc>
          <w:tcPr>
            <w:tcW w:w="1093" w:type="dxa"/>
            <w:tcBorders>
              <w:top w:val="nil"/>
              <w:left w:val="nil"/>
              <w:bottom w:val="single" w:sz="4" w:space="0" w:color="auto"/>
              <w:right w:val="single" w:sz="4" w:space="0" w:color="auto"/>
            </w:tcBorders>
            <w:shd w:val="clear" w:color="auto" w:fill="auto"/>
            <w:noWrap/>
            <w:vAlign w:val="bottom"/>
            <w:hideMark/>
          </w:tcPr>
          <w:p w14:paraId="7442DE8D" w14:textId="77777777" w:rsidR="00D07B68" w:rsidRDefault="00D07B68">
            <w:pPr>
              <w:jc w:val="center"/>
              <w:rPr>
                <w:rFonts w:ascii="Arial" w:hAnsi="Arial" w:cs="Arial"/>
                <w:b/>
                <w:bCs/>
                <w:color w:val="000000"/>
              </w:rPr>
            </w:pPr>
            <w:r>
              <w:rPr>
                <w:rFonts w:ascii="Arial" w:hAnsi="Arial" w:cs="Arial"/>
                <w:b/>
                <w:bCs/>
                <w:color w:val="000000"/>
              </w:rPr>
              <w:t>£000's</w:t>
            </w:r>
          </w:p>
        </w:tc>
        <w:tc>
          <w:tcPr>
            <w:tcW w:w="1106" w:type="dxa"/>
            <w:tcBorders>
              <w:top w:val="nil"/>
              <w:left w:val="nil"/>
              <w:bottom w:val="single" w:sz="4" w:space="0" w:color="auto"/>
              <w:right w:val="single" w:sz="4" w:space="0" w:color="auto"/>
            </w:tcBorders>
            <w:shd w:val="clear" w:color="auto" w:fill="auto"/>
            <w:noWrap/>
            <w:vAlign w:val="bottom"/>
            <w:hideMark/>
          </w:tcPr>
          <w:p w14:paraId="4460CCBF" w14:textId="77777777" w:rsidR="00D07B68" w:rsidRDefault="00D07B68">
            <w:pPr>
              <w:jc w:val="center"/>
              <w:rPr>
                <w:rFonts w:ascii="Arial" w:hAnsi="Arial" w:cs="Arial"/>
                <w:b/>
                <w:bCs/>
                <w:color w:val="000000"/>
              </w:rPr>
            </w:pPr>
            <w:r>
              <w:rPr>
                <w:rFonts w:ascii="Arial" w:hAnsi="Arial" w:cs="Arial"/>
                <w:b/>
                <w:bCs/>
                <w:color w:val="000000"/>
              </w:rPr>
              <w:t>£000's</w:t>
            </w:r>
          </w:p>
        </w:tc>
        <w:tc>
          <w:tcPr>
            <w:tcW w:w="1184" w:type="dxa"/>
            <w:tcBorders>
              <w:top w:val="nil"/>
              <w:left w:val="nil"/>
              <w:bottom w:val="single" w:sz="4" w:space="0" w:color="auto"/>
              <w:right w:val="single" w:sz="4" w:space="0" w:color="auto"/>
            </w:tcBorders>
            <w:shd w:val="clear" w:color="auto" w:fill="auto"/>
            <w:noWrap/>
            <w:vAlign w:val="bottom"/>
            <w:hideMark/>
          </w:tcPr>
          <w:p w14:paraId="509B893D" w14:textId="77777777" w:rsidR="00D07B68" w:rsidRDefault="00D07B68">
            <w:pPr>
              <w:jc w:val="center"/>
              <w:rPr>
                <w:rFonts w:ascii="Arial" w:hAnsi="Arial" w:cs="Arial"/>
                <w:b/>
                <w:bCs/>
                <w:color w:val="000000"/>
              </w:rPr>
            </w:pPr>
            <w:r>
              <w:rPr>
                <w:rFonts w:ascii="Arial" w:hAnsi="Arial" w:cs="Arial"/>
                <w:b/>
                <w:bCs/>
                <w:color w:val="000000"/>
              </w:rPr>
              <w:t>£000's</w:t>
            </w:r>
          </w:p>
        </w:tc>
        <w:tc>
          <w:tcPr>
            <w:tcW w:w="1184" w:type="dxa"/>
            <w:tcBorders>
              <w:top w:val="nil"/>
              <w:left w:val="nil"/>
              <w:bottom w:val="single" w:sz="4" w:space="0" w:color="auto"/>
              <w:right w:val="single" w:sz="4" w:space="0" w:color="auto"/>
            </w:tcBorders>
            <w:shd w:val="clear" w:color="auto" w:fill="auto"/>
            <w:noWrap/>
            <w:vAlign w:val="bottom"/>
            <w:hideMark/>
          </w:tcPr>
          <w:p w14:paraId="79ECB86E" w14:textId="77777777" w:rsidR="00D07B68" w:rsidRDefault="00D07B68">
            <w:pPr>
              <w:jc w:val="center"/>
              <w:rPr>
                <w:rFonts w:ascii="Arial" w:hAnsi="Arial" w:cs="Arial"/>
                <w:b/>
                <w:bCs/>
                <w:color w:val="000000"/>
              </w:rPr>
            </w:pPr>
            <w:r>
              <w:rPr>
                <w:rFonts w:ascii="Arial" w:hAnsi="Arial" w:cs="Arial"/>
                <w:b/>
                <w:bCs/>
                <w:color w:val="000000"/>
              </w:rPr>
              <w:t>£000's</w:t>
            </w:r>
          </w:p>
        </w:tc>
        <w:tc>
          <w:tcPr>
            <w:tcW w:w="1181" w:type="dxa"/>
            <w:tcBorders>
              <w:top w:val="nil"/>
              <w:left w:val="nil"/>
              <w:bottom w:val="single" w:sz="4" w:space="0" w:color="auto"/>
              <w:right w:val="single" w:sz="4" w:space="0" w:color="auto"/>
            </w:tcBorders>
            <w:shd w:val="clear" w:color="auto" w:fill="auto"/>
            <w:noWrap/>
            <w:vAlign w:val="bottom"/>
            <w:hideMark/>
          </w:tcPr>
          <w:p w14:paraId="096C5AE9" w14:textId="77777777" w:rsidR="00D07B68" w:rsidRDefault="00D07B68">
            <w:pPr>
              <w:jc w:val="center"/>
              <w:rPr>
                <w:rFonts w:ascii="Arial" w:hAnsi="Arial" w:cs="Arial"/>
                <w:b/>
                <w:bCs/>
                <w:color w:val="000000"/>
              </w:rPr>
            </w:pPr>
            <w:r>
              <w:rPr>
                <w:rFonts w:ascii="Arial" w:hAnsi="Arial" w:cs="Arial"/>
                <w:b/>
                <w:bCs/>
                <w:color w:val="000000"/>
              </w:rPr>
              <w:t>£000's</w:t>
            </w:r>
          </w:p>
        </w:tc>
      </w:tr>
      <w:tr w:rsidR="00D07B68" w14:paraId="76819990" w14:textId="77777777" w:rsidTr="00D07B68">
        <w:trPr>
          <w:trHeight w:val="306"/>
        </w:trPr>
        <w:tc>
          <w:tcPr>
            <w:tcW w:w="3235" w:type="dxa"/>
            <w:tcBorders>
              <w:top w:val="nil"/>
              <w:left w:val="single" w:sz="4" w:space="0" w:color="auto"/>
              <w:bottom w:val="nil"/>
              <w:right w:val="single" w:sz="4" w:space="0" w:color="auto"/>
            </w:tcBorders>
            <w:shd w:val="clear" w:color="auto" w:fill="auto"/>
            <w:noWrap/>
            <w:vAlign w:val="bottom"/>
            <w:hideMark/>
          </w:tcPr>
          <w:p w14:paraId="181FBDE2" w14:textId="77777777" w:rsidR="00D07B68" w:rsidRDefault="00D07B68">
            <w:pPr>
              <w:rPr>
                <w:rFonts w:ascii="Arial" w:hAnsi="Arial" w:cs="Arial"/>
                <w:b/>
                <w:bCs/>
                <w:color w:val="000000"/>
              </w:rPr>
            </w:pPr>
            <w:r>
              <w:rPr>
                <w:rFonts w:ascii="Arial" w:hAnsi="Arial" w:cs="Arial"/>
                <w:b/>
                <w:bCs/>
                <w:color w:val="000000"/>
              </w:rPr>
              <w:t> </w:t>
            </w:r>
          </w:p>
        </w:tc>
        <w:tc>
          <w:tcPr>
            <w:tcW w:w="1093" w:type="dxa"/>
            <w:tcBorders>
              <w:top w:val="nil"/>
              <w:left w:val="nil"/>
              <w:bottom w:val="nil"/>
              <w:right w:val="single" w:sz="4" w:space="0" w:color="auto"/>
            </w:tcBorders>
            <w:shd w:val="clear" w:color="auto" w:fill="auto"/>
            <w:noWrap/>
            <w:vAlign w:val="bottom"/>
            <w:hideMark/>
          </w:tcPr>
          <w:p w14:paraId="14C44C90" w14:textId="77777777" w:rsidR="00D07B68" w:rsidRDefault="00D07B68">
            <w:pPr>
              <w:jc w:val="center"/>
              <w:rPr>
                <w:rFonts w:ascii="Arial" w:hAnsi="Arial" w:cs="Arial"/>
                <w:color w:val="000000"/>
              </w:rPr>
            </w:pPr>
            <w:r>
              <w:rPr>
                <w:rFonts w:ascii="Arial" w:hAnsi="Arial" w:cs="Arial"/>
                <w:color w:val="000000"/>
              </w:rPr>
              <w:t> </w:t>
            </w:r>
          </w:p>
        </w:tc>
        <w:tc>
          <w:tcPr>
            <w:tcW w:w="1106" w:type="dxa"/>
            <w:tcBorders>
              <w:top w:val="nil"/>
              <w:left w:val="nil"/>
              <w:bottom w:val="nil"/>
              <w:right w:val="nil"/>
            </w:tcBorders>
            <w:shd w:val="clear" w:color="auto" w:fill="auto"/>
            <w:noWrap/>
            <w:vAlign w:val="bottom"/>
            <w:hideMark/>
          </w:tcPr>
          <w:p w14:paraId="49B9F266" w14:textId="77777777" w:rsidR="00D07B68" w:rsidRDefault="00D07B68">
            <w:pPr>
              <w:jc w:val="center"/>
              <w:rPr>
                <w:rFonts w:ascii="Arial" w:hAnsi="Arial" w:cs="Arial"/>
                <w:color w:val="000000"/>
              </w:rPr>
            </w:pPr>
            <w:r>
              <w:rPr>
                <w:rFonts w:ascii="Arial" w:hAnsi="Arial" w:cs="Arial"/>
                <w:color w:val="000000"/>
              </w:rPr>
              <w:t> </w:t>
            </w:r>
          </w:p>
        </w:tc>
        <w:tc>
          <w:tcPr>
            <w:tcW w:w="1184" w:type="dxa"/>
            <w:tcBorders>
              <w:top w:val="nil"/>
              <w:left w:val="single" w:sz="4" w:space="0" w:color="auto"/>
              <w:bottom w:val="nil"/>
              <w:right w:val="single" w:sz="4" w:space="0" w:color="auto"/>
            </w:tcBorders>
            <w:shd w:val="clear" w:color="auto" w:fill="auto"/>
            <w:noWrap/>
            <w:vAlign w:val="bottom"/>
            <w:hideMark/>
          </w:tcPr>
          <w:p w14:paraId="7D9514D5" w14:textId="77777777" w:rsidR="00D07B68" w:rsidRDefault="00D07B68">
            <w:pPr>
              <w:jc w:val="center"/>
              <w:rPr>
                <w:rFonts w:ascii="Arial" w:hAnsi="Arial" w:cs="Arial"/>
                <w:color w:val="000000"/>
              </w:rPr>
            </w:pPr>
            <w:r>
              <w:rPr>
                <w:rFonts w:ascii="Arial" w:hAnsi="Arial" w:cs="Arial"/>
                <w:color w:val="000000"/>
              </w:rPr>
              <w:t> </w:t>
            </w:r>
          </w:p>
        </w:tc>
        <w:tc>
          <w:tcPr>
            <w:tcW w:w="1184" w:type="dxa"/>
            <w:tcBorders>
              <w:top w:val="nil"/>
              <w:left w:val="nil"/>
              <w:bottom w:val="nil"/>
              <w:right w:val="single" w:sz="4" w:space="0" w:color="auto"/>
            </w:tcBorders>
            <w:shd w:val="clear" w:color="auto" w:fill="auto"/>
            <w:noWrap/>
            <w:vAlign w:val="bottom"/>
            <w:hideMark/>
          </w:tcPr>
          <w:p w14:paraId="5B4D3127" w14:textId="77777777" w:rsidR="00D07B68" w:rsidRDefault="00D07B68">
            <w:pPr>
              <w:jc w:val="center"/>
              <w:rPr>
                <w:rFonts w:ascii="Arial" w:hAnsi="Arial" w:cs="Arial"/>
                <w:color w:val="000000"/>
              </w:rPr>
            </w:pPr>
            <w:r>
              <w:rPr>
                <w:rFonts w:ascii="Arial" w:hAnsi="Arial" w:cs="Arial"/>
                <w:color w:val="000000"/>
              </w:rPr>
              <w:t> </w:t>
            </w:r>
          </w:p>
        </w:tc>
        <w:tc>
          <w:tcPr>
            <w:tcW w:w="1181" w:type="dxa"/>
            <w:tcBorders>
              <w:top w:val="nil"/>
              <w:left w:val="nil"/>
              <w:bottom w:val="nil"/>
              <w:right w:val="single" w:sz="4" w:space="0" w:color="auto"/>
            </w:tcBorders>
            <w:shd w:val="clear" w:color="auto" w:fill="auto"/>
            <w:noWrap/>
            <w:vAlign w:val="bottom"/>
            <w:hideMark/>
          </w:tcPr>
          <w:p w14:paraId="3B639616" w14:textId="77777777" w:rsidR="00D07B68" w:rsidRDefault="00D07B68">
            <w:pPr>
              <w:jc w:val="center"/>
              <w:rPr>
                <w:rFonts w:ascii="Arial" w:hAnsi="Arial" w:cs="Arial"/>
                <w:color w:val="000000"/>
              </w:rPr>
            </w:pPr>
            <w:r>
              <w:rPr>
                <w:rFonts w:ascii="Arial" w:hAnsi="Arial" w:cs="Arial"/>
                <w:color w:val="000000"/>
              </w:rPr>
              <w:t> </w:t>
            </w:r>
          </w:p>
        </w:tc>
      </w:tr>
      <w:tr w:rsidR="00D07B68" w14:paraId="38A41165" w14:textId="77777777" w:rsidTr="00D07B68">
        <w:trPr>
          <w:trHeight w:val="291"/>
        </w:trPr>
        <w:tc>
          <w:tcPr>
            <w:tcW w:w="3235" w:type="dxa"/>
            <w:tcBorders>
              <w:top w:val="nil"/>
              <w:left w:val="single" w:sz="4" w:space="0" w:color="auto"/>
              <w:bottom w:val="nil"/>
              <w:right w:val="single" w:sz="4" w:space="0" w:color="auto"/>
            </w:tcBorders>
            <w:shd w:val="clear" w:color="auto" w:fill="auto"/>
            <w:noWrap/>
            <w:vAlign w:val="bottom"/>
            <w:hideMark/>
          </w:tcPr>
          <w:p w14:paraId="64ED25C4" w14:textId="77777777" w:rsidR="00D07B68" w:rsidRDefault="00D07B68">
            <w:pPr>
              <w:rPr>
                <w:rFonts w:ascii="Arial" w:hAnsi="Arial" w:cs="Arial"/>
                <w:color w:val="000000"/>
              </w:rPr>
            </w:pPr>
            <w:r>
              <w:rPr>
                <w:rFonts w:ascii="Arial" w:hAnsi="Arial" w:cs="Arial"/>
                <w:color w:val="000000"/>
              </w:rPr>
              <w:t>Debt</w:t>
            </w:r>
          </w:p>
        </w:tc>
        <w:tc>
          <w:tcPr>
            <w:tcW w:w="1093" w:type="dxa"/>
            <w:tcBorders>
              <w:top w:val="nil"/>
              <w:left w:val="nil"/>
              <w:bottom w:val="nil"/>
              <w:right w:val="single" w:sz="4" w:space="0" w:color="auto"/>
            </w:tcBorders>
            <w:shd w:val="clear" w:color="auto" w:fill="auto"/>
            <w:noWrap/>
            <w:vAlign w:val="bottom"/>
            <w:hideMark/>
          </w:tcPr>
          <w:p w14:paraId="78CEC52A" w14:textId="77777777" w:rsidR="00D07B68" w:rsidRDefault="00D07B68">
            <w:pPr>
              <w:jc w:val="right"/>
              <w:rPr>
                <w:rFonts w:ascii="Arial" w:hAnsi="Arial" w:cs="Arial"/>
                <w:color w:val="000000"/>
              </w:rPr>
            </w:pPr>
            <w:r>
              <w:rPr>
                <w:rFonts w:ascii="Arial" w:hAnsi="Arial" w:cs="Arial"/>
                <w:color w:val="000000"/>
              </w:rPr>
              <w:t>11,550</w:t>
            </w:r>
          </w:p>
        </w:tc>
        <w:tc>
          <w:tcPr>
            <w:tcW w:w="1106" w:type="dxa"/>
            <w:tcBorders>
              <w:top w:val="nil"/>
              <w:left w:val="nil"/>
              <w:bottom w:val="nil"/>
              <w:right w:val="single" w:sz="4" w:space="0" w:color="auto"/>
            </w:tcBorders>
            <w:shd w:val="clear" w:color="auto" w:fill="auto"/>
            <w:noWrap/>
            <w:vAlign w:val="bottom"/>
            <w:hideMark/>
          </w:tcPr>
          <w:p w14:paraId="2F6ECADA" w14:textId="77777777" w:rsidR="00D07B68" w:rsidRDefault="00D07B68">
            <w:pPr>
              <w:jc w:val="right"/>
              <w:rPr>
                <w:rFonts w:ascii="Arial" w:hAnsi="Arial" w:cs="Arial"/>
                <w:color w:val="000000"/>
              </w:rPr>
            </w:pPr>
            <w:r>
              <w:rPr>
                <w:rFonts w:ascii="Arial" w:hAnsi="Arial" w:cs="Arial"/>
                <w:color w:val="000000"/>
              </w:rPr>
              <w:t>0</w:t>
            </w:r>
          </w:p>
        </w:tc>
        <w:tc>
          <w:tcPr>
            <w:tcW w:w="1184" w:type="dxa"/>
            <w:tcBorders>
              <w:top w:val="nil"/>
              <w:left w:val="nil"/>
              <w:bottom w:val="nil"/>
              <w:right w:val="single" w:sz="4" w:space="0" w:color="auto"/>
            </w:tcBorders>
            <w:shd w:val="clear" w:color="auto" w:fill="auto"/>
            <w:noWrap/>
            <w:vAlign w:val="bottom"/>
            <w:hideMark/>
          </w:tcPr>
          <w:p w14:paraId="4868EAEE" w14:textId="77777777" w:rsidR="00D07B68" w:rsidRDefault="00D07B68">
            <w:pPr>
              <w:jc w:val="right"/>
              <w:rPr>
                <w:rFonts w:ascii="Arial" w:hAnsi="Arial" w:cs="Arial"/>
                <w:color w:val="000000"/>
              </w:rPr>
            </w:pPr>
            <w:r>
              <w:rPr>
                <w:rFonts w:ascii="Arial" w:hAnsi="Arial" w:cs="Arial"/>
                <w:color w:val="000000"/>
              </w:rPr>
              <w:t>12,600</w:t>
            </w:r>
          </w:p>
        </w:tc>
        <w:tc>
          <w:tcPr>
            <w:tcW w:w="1184" w:type="dxa"/>
            <w:tcBorders>
              <w:top w:val="nil"/>
              <w:left w:val="nil"/>
              <w:bottom w:val="nil"/>
              <w:right w:val="single" w:sz="4" w:space="0" w:color="auto"/>
            </w:tcBorders>
            <w:shd w:val="clear" w:color="auto" w:fill="auto"/>
            <w:noWrap/>
            <w:vAlign w:val="bottom"/>
            <w:hideMark/>
          </w:tcPr>
          <w:p w14:paraId="7C098F37" w14:textId="77777777" w:rsidR="00D07B68" w:rsidRDefault="00D07B68">
            <w:pPr>
              <w:jc w:val="right"/>
              <w:rPr>
                <w:rFonts w:ascii="Arial" w:hAnsi="Arial" w:cs="Arial"/>
                <w:color w:val="000000"/>
              </w:rPr>
            </w:pPr>
            <w:r>
              <w:rPr>
                <w:rFonts w:ascii="Arial" w:hAnsi="Arial" w:cs="Arial"/>
                <w:color w:val="000000"/>
              </w:rPr>
              <w:t>16,800</w:t>
            </w:r>
          </w:p>
        </w:tc>
        <w:tc>
          <w:tcPr>
            <w:tcW w:w="1181" w:type="dxa"/>
            <w:tcBorders>
              <w:top w:val="nil"/>
              <w:left w:val="nil"/>
              <w:bottom w:val="nil"/>
              <w:right w:val="single" w:sz="4" w:space="0" w:color="auto"/>
            </w:tcBorders>
            <w:shd w:val="clear" w:color="auto" w:fill="auto"/>
            <w:noWrap/>
            <w:vAlign w:val="bottom"/>
            <w:hideMark/>
          </w:tcPr>
          <w:p w14:paraId="15C81A42" w14:textId="77777777" w:rsidR="00D07B68" w:rsidRDefault="00D07B68">
            <w:pPr>
              <w:jc w:val="right"/>
              <w:rPr>
                <w:rFonts w:ascii="Arial" w:hAnsi="Arial" w:cs="Arial"/>
                <w:color w:val="000000"/>
              </w:rPr>
            </w:pPr>
            <w:r>
              <w:rPr>
                <w:rFonts w:ascii="Arial" w:hAnsi="Arial" w:cs="Arial"/>
                <w:color w:val="000000"/>
              </w:rPr>
              <w:t>27,825</w:t>
            </w:r>
          </w:p>
        </w:tc>
      </w:tr>
      <w:tr w:rsidR="00D07B68" w14:paraId="00CD59C6" w14:textId="77777777" w:rsidTr="00D07B68">
        <w:trPr>
          <w:trHeight w:val="291"/>
        </w:trPr>
        <w:tc>
          <w:tcPr>
            <w:tcW w:w="3235" w:type="dxa"/>
            <w:tcBorders>
              <w:top w:val="nil"/>
              <w:left w:val="single" w:sz="4" w:space="0" w:color="auto"/>
              <w:bottom w:val="nil"/>
              <w:right w:val="single" w:sz="4" w:space="0" w:color="auto"/>
            </w:tcBorders>
            <w:shd w:val="clear" w:color="auto" w:fill="auto"/>
            <w:noWrap/>
            <w:vAlign w:val="bottom"/>
            <w:hideMark/>
          </w:tcPr>
          <w:p w14:paraId="093C2B1C" w14:textId="77777777" w:rsidR="00D07B68" w:rsidRDefault="00D07B68">
            <w:pPr>
              <w:rPr>
                <w:rFonts w:ascii="Arial" w:hAnsi="Arial" w:cs="Arial"/>
                <w:color w:val="000000"/>
              </w:rPr>
            </w:pPr>
            <w:r>
              <w:rPr>
                <w:rFonts w:ascii="Arial" w:hAnsi="Arial" w:cs="Arial"/>
                <w:color w:val="000000"/>
              </w:rPr>
              <w:t xml:space="preserve">Other </w:t>
            </w:r>
            <w:proofErr w:type="gramStart"/>
            <w:r>
              <w:rPr>
                <w:rFonts w:ascii="Arial" w:hAnsi="Arial" w:cs="Arial"/>
                <w:color w:val="000000"/>
              </w:rPr>
              <w:t>Long Term</w:t>
            </w:r>
            <w:proofErr w:type="gramEnd"/>
            <w:r>
              <w:rPr>
                <w:rFonts w:ascii="Arial" w:hAnsi="Arial" w:cs="Arial"/>
                <w:color w:val="000000"/>
              </w:rPr>
              <w:t xml:space="preserve"> Liabilities</w:t>
            </w:r>
          </w:p>
        </w:tc>
        <w:tc>
          <w:tcPr>
            <w:tcW w:w="1093" w:type="dxa"/>
            <w:tcBorders>
              <w:top w:val="nil"/>
              <w:left w:val="nil"/>
              <w:bottom w:val="nil"/>
              <w:right w:val="single" w:sz="4" w:space="0" w:color="auto"/>
            </w:tcBorders>
            <w:shd w:val="clear" w:color="auto" w:fill="auto"/>
            <w:noWrap/>
            <w:vAlign w:val="bottom"/>
            <w:hideMark/>
          </w:tcPr>
          <w:p w14:paraId="644E755C" w14:textId="77777777" w:rsidR="00D07B68" w:rsidRDefault="00D07B68">
            <w:pPr>
              <w:jc w:val="right"/>
              <w:rPr>
                <w:rFonts w:ascii="Arial" w:hAnsi="Arial" w:cs="Arial"/>
                <w:color w:val="000000"/>
              </w:rPr>
            </w:pPr>
            <w:r>
              <w:rPr>
                <w:rFonts w:ascii="Arial" w:hAnsi="Arial" w:cs="Arial"/>
                <w:color w:val="000000"/>
              </w:rPr>
              <w:t>0</w:t>
            </w:r>
          </w:p>
        </w:tc>
        <w:tc>
          <w:tcPr>
            <w:tcW w:w="1106" w:type="dxa"/>
            <w:tcBorders>
              <w:top w:val="nil"/>
              <w:left w:val="nil"/>
              <w:bottom w:val="nil"/>
              <w:right w:val="single" w:sz="4" w:space="0" w:color="auto"/>
            </w:tcBorders>
            <w:shd w:val="clear" w:color="auto" w:fill="auto"/>
            <w:noWrap/>
            <w:vAlign w:val="bottom"/>
            <w:hideMark/>
          </w:tcPr>
          <w:p w14:paraId="30F9405C" w14:textId="77777777" w:rsidR="00D07B68" w:rsidRDefault="00D07B68">
            <w:pPr>
              <w:jc w:val="right"/>
              <w:rPr>
                <w:rFonts w:ascii="Arial" w:hAnsi="Arial" w:cs="Arial"/>
                <w:color w:val="000000"/>
              </w:rPr>
            </w:pPr>
            <w:r>
              <w:rPr>
                <w:rFonts w:ascii="Arial" w:hAnsi="Arial" w:cs="Arial"/>
                <w:color w:val="000000"/>
              </w:rPr>
              <w:t>0</w:t>
            </w:r>
          </w:p>
        </w:tc>
        <w:tc>
          <w:tcPr>
            <w:tcW w:w="1184" w:type="dxa"/>
            <w:tcBorders>
              <w:top w:val="nil"/>
              <w:left w:val="nil"/>
              <w:bottom w:val="nil"/>
              <w:right w:val="single" w:sz="4" w:space="0" w:color="auto"/>
            </w:tcBorders>
            <w:shd w:val="clear" w:color="auto" w:fill="auto"/>
            <w:noWrap/>
            <w:vAlign w:val="bottom"/>
            <w:hideMark/>
          </w:tcPr>
          <w:p w14:paraId="6526DF83" w14:textId="77777777" w:rsidR="00D07B68" w:rsidRDefault="00D07B68">
            <w:pPr>
              <w:jc w:val="right"/>
              <w:rPr>
                <w:rFonts w:ascii="Arial" w:hAnsi="Arial" w:cs="Arial"/>
                <w:color w:val="000000"/>
              </w:rPr>
            </w:pPr>
            <w:r>
              <w:rPr>
                <w:rFonts w:ascii="Arial" w:hAnsi="Arial" w:cs="Arial"/>
                <w:color w:val="000000"/>
              </w:rPr>
              <w:t>1,116</w:t>
            </w:r>
          </w:p>
        </w:tc>
        <w:tc>
          <w:tcPr>
            <w:tcW w:w="1184" w:type="dxa"/>
            <w:tcBorders>
              <w:top w:val="nil"/>
              <w:left w:val="nil"/>
              <w:bottom w:val="nil"/>
              <w:right w:val="single" w:sz="4" w:space="0" w:color="auto"/>
            </w:tcBorders>
            <w:shd w:val="clear" w:color="auto" w:fill="auto"/>
            <w:noWrap/>
            <w:vAlign w:val="bottom"/>
            <w:hideMark/>
          </w:tcPr>
          <w:p w14:paraId="1F59997B" w14:textId="77777777" w:rsidR="00D07B68" w:rsidRDefault="00D07B68">
            <w:pPr>
              <w:jc w:val="right"/>
              <w:rPr>
                <w:rFonts w:ascii="Arial" w:hAnsi="Arial" w:cs="Arial"/>
                <w:color w:val="000000"/>
              </w:rPr>
            </w:pPr>
            <w:r>
              <w:rPr>
                <w:rFonts w:ascii="Arial" w:hAnsi="Arial" w:cs="Arial"/>
                <w:color w:val="000000"/>
              </w:rPr>
              <w:t>668</w:t>
            </w:r>
          </w:p>
        </w:tc>
        <w:tc>
          <w:tcPr>
            <w:tcW w:w="1181" w:type="dxa"/>
            <w:tcBorders>
              <w:top w:val="nil"/>
              <w:left w:val="nil"/>
              <w:bottom w:val="nil"/>
              <w:right w:val="single" w:sz="4" w:space="0" w:color="auto"/>
            </w:tcBorders>
            <w:shd w:val="clear" w:color="auto" w:fill="auto"/>
            <w:noWrap/>
            <w:vAlign w:val="bottom"/>
            <w:hideMark/>
          </w:tcPr>
          <w:p w14:paraId="4B61C4F2" w14:textId="77777777" w:rsidR="00D07B68" w:rsidRDefault="00D07B68">
            <w:pPr>
              <w:jc w:val="right"/>
              <w:rPr>
                <w:rFonts w:ascii="Arial" w:hAnsi="Arial" w:cs="Arial"/>
                <w:color w:val="000000"/>
              </w:rPr>
            </w:pPr>
            <w:r>
              <w:rPr>
                <w:rFonts w:ascii="Arial" w:hAnsi="Arial" w:cs="Arial"/>
                <w:color w:val="000000"/>
              </w:rPr>
              <w:t>473</w:t>
            </w:r>
          </w:p>
        </w:tc>
      </w:tr>
      <w:tr w:rsidR="00D07B68" w14:paraId="66306F77" w14:textId="77777777" w:rsidTr="00D07B68">
        <w:trPr>
          <w:trHeight w:val="291"/>
        </w:trPr>
        <w:tc>
          <w:tcPr>
            <w:tcW w:w="3235" w:type="dxa"/>
            <w:tcBorders>
              <w:top w:val="nil"/>
              <w:left w:val="single" w:sz="4" w:space="0" w:color="auto"/>
              <w:bottom w:val="nil"/>
              <w:right w:val="single" w:sz="4" w:space="0" w:color="auto"/>
            </w:tcBorders>
            <w:shd w:val="clear" w:color="auto" w:fill="auto"/>
            <w:noWrap/>
            <w:vAlign w:val="bottom"/>
            <w:hideMark/>
          </w:tcPr>
          <w:p w14:paraId="60F9BCF2" w14:textId="77777777" w:rsidR="00D07B68" w:rsidRDefault="00D07B68">
            <w:pPr>
              <w:rPr>
                <w:rFonts w:ascii="Arial" w:hAnsi="Arial" w:cs="Arial"/>
                <w:color w:val="000000"/>
              </w:rPr>
            </w:pPr>
            <w:r>
              <w:rPr>
                <w:rFonts w:ascii="Arial" w:hAnsi="Arial" w:cs="Arial"/>
                <w:color w:val="000000"/>
              </w:rPr>
              <w:t>Working Capital Requirement</w:t>
            </w:r>
          </w:p>
        </w:tc>
        <w:tc>
          <w:tcPr>
            <w:tcW w:w="1093" w:type="dxa"/>
            <w:tcBorders>
              <w:top w:val="nil"/>
              <w:left w:val="nil"/>
              <w:bottom w:val="nil"/>
              <w:right w:val="single" w:sz="4" w:space="0" w:color="auto"/>
            </w:tcBorders>
            <w:shd w:val="clear" w:color="auto" w:fill="auto"/>
            <w:noWrap/>
            <w:vAlign w:val="bottom"/>
            <w:hideMark/>
          </w:tcPr>
          <w:p w14:paraId="67D27CB6" w14:textId="77777777" w:rsidR="00D07B68" w:rsidRDefault="00D07B68">
            <w:pPr>
              <w:jc w:val="right"/>
              <w:rPr>
                <w:rFonts w:ascii="Arial" w:hAnsi="Arial" w:cs="Arial"/>
                <w:color w:val="000000"/>
              </w:rPr>
            </w:pPr>
            <w:r>
              <w:rPr>
                <w:rFonts w:ascii="Arial" w:hAnsi="Arial" w:cs="Arial"/>
                <w:color w:val="000000"/>
              </w:rPr>
              <w:t>679</w:t>
            </w:r>
          </w:p>
        </w:tc>
        <w:tc>
          <w:tcPr>
            <w:tcW w:w="1106" w:type="dxa"/>
            <w:tcBorders>
              <w:top w:val="nil"/>
              <w:left w:val="nil"/>
              <w:bottom w:val="nil"/>
              <w:right w:val="single" w:sz="4" w:space="0" w:color="auto"/>
            </w:tcBorders>
            <w:shd w:val="clear" w:color="auto" w:fill="auto"/>
            <w:noWrap/>
            <w:vAlign w:val="bottom"/>
            <w:hideMark/>
          </w:tcPr>
          <w:p w14:paraId="11072D88" w14:textId="77777777" w:rsidR="00D07B68" w:rsidRDefault="00D07B68">
            <w:pPr>
              <w:jc w:val="right"/>
              <w:rPr>
                <w:rFonts w:ascii="Arial" w:hAnsi="Arial" w:cs="Arial"/>
                <w:color w:val="000000"/>
              </w:rPr>
            </w:pPr>
            <w:r>
              <w:rPr>
                <w:rFonts w:ascii="Arial" w:hAnsi="Arial" w:cs="Arial"/>
                <w:color w:val="000000"/>
              </w:rPr>
              <w:t>(5,491)</w:t>
            </w:r>
          </w:p>
        </w:tc>
        <w:tc>
          <w:tcPr>
            <w:tcW w:w="1184" w:type="dxa"/>
            <w:tcBorders>
              <w:top w:val="nil"/>
              <w:left w:val="nil"/>
              <w:bottom w:val="nil"/>
              <w:right w:val="single" w:sz="4" w:space="0" w:color="auto"/>
            </w:tcBorders>
            <w:shd w:val="clear" w:color="auto" w:fill="auto"/>
            <w:noWrap/>
            <w:vAlign w:val="bottom"/>
            <w:hideMark/>
          </w:tcPr>
          <w:p w14:paraId="5B6A84F5" w14:textId="77777777" w:rsidR="00D07B68" w:rsidRDefault="00D07B68">
            <w:pPr>
              <w:jc w:val="right"/>
              <w:rPr>
                <w:rFonts w:ascii="Arial" w:hAnsi="Arial" w:cs="Arial"/>
                <w:color w:val="000000"/>
              </w:rPr>
            </w:pPr>
            <w:r>
              <w:rPr>
                <w:rFonts w:ascii="Arial" w:hAnsi="Arial" w:cs="Arial"/>
                <w:color w:val="000000"/>
              </w:rPr>
              <w:t>(5,491)</w:t>
            </w:r>
          </w:p>
        </w:tc>
        <w:tc>
          <w:tcPr>
            <w:tcW w:w="1184" w:type="dxa"/>
            <w:tcBorders>
              <w:top w:val="nil"/>
              <w:left w:val="nil"/>
              <w:bottom w:val="nil"/>
              <w:right w:val="single" w:sz="4" w:space="0" w:color="auto"/>
            </w:tcBorders>
            <w:shd w:val="clear" w:color="auto" w:fill="auto"/>
            <w:noWrap/>
            <w:vAlign w:val="bottom"/>
            <w:hideMark/>
          </w:tcPr>
          <w:p w14:paraId="207BA0F1" w14:textId="77777777" w:rsidR="00D07B68" w:rsidRDefault="00D07B68">
            <w:pPr>
              <w:jc w:val="right"/>
              <w:rPr>
                <w:rFonts w:ascii="Arial" w:hAnsi="Arial" w:cs="Arial"/>
                <w:color w:val="000000"/>
              </w:rPr>
            </w:pPr>
            <w:r>
              <w:rPr>
                <w:rFonts w:ascii="Arial" w:hAnsi="Arial" w:cs="Arial"/>
                <w:color w:val="000000"/>
              </w:rPr>
              <w:t>(5,491)</w:t>
            </w:r>
          </w:p>
        </w:tc>
        <w:tc>
          <w:tcPr>
            <w:tcW w:w="1181" w:type="dxa"/>
            <w:tcBorders>
              <w:top w:val="nil"/>
              <w:left w:val="nil"/>
              <w:bottom w:val="nil"/>
              <w:right w:val="single" w:sz="4" w:space="0" w:color="auto"/>
            </w:tcBorders>
            <w:shd w:val="clear" w:color="auto" w:fill="auto"/>
            <w:noWrap/>
            <w:vAlign w:val="bottom"/>
            <w:hideMark/>
          </w:tcPr>
          <w:p w14:paraId="41DA13A5" w14:textId="77777777" w:rsidR="00D07B68" w:rsidRDefault="00D07B68">
            <w:pPr>
              <w:jc w:val="right"/>
              <w:rPr>
                <w:rFonts w:ascii="Arial" w:hAnsi="Arial" w:cs="Arial"/>
                <w:color w:val="000000"/>
              </w:rPr>
            </w:pPr>
            <w:r>
              <w:rPr>
                <w:rFonts w:ascii="Arial" w:hAnsi="Arial" w:cs="Arial"/>
                <w:color w:val="000000"/>
              </w:rPr>
              <w:t>(5,491)</w:t>
            </w:r>
          </w:p>
        </w:tc>
      </w:tr>
      <w:tr w:rsidR="00D07B68" w14:paraId="64D0A729" w14:textId="77777777" w:rsidTr="00D07B68">
        <w:trPr>
          <w:trHeight w:val="306"/>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6B310FDB" w14:textId="77777777" w:rsidR="00D07B68" w:rsidRDefault="00D07B68">
            <w:pPr>
              <w:rPr>
                <w:rFonts w:ascii="Arial" w:hAnsi="Arial" w:cs="Arial"/>
                <w:b/>
                <w:bCs/>
                <w:color w:val="000000"/>
              </w:rPr>
            </w:pPr>
            <w:r>
              <w:rPr>
                <w:rFonts w:ascii="Arial" w:hAnsi="Arial" w:cs="Arial"/>
                <w:b/>
                <w:bCs/>
                <w:color w:val="000000"/>
              </w:rPr>
              <w:t>Authorised Limit</w:t>
            </w:r>
          </w:p>
        </w:tc>
        <w:tc>
          <w:tcPr>
            <w:tcW w:w="1093" w:type="dxa"/>
            <w:tcBorders>
              <w:top w:val="single" w:sz="4" w:space="0" w:color="auto"/>
              <w:left w:val="nil"/>
              <w:bottom w:val="single" w:sz="4" w:space="0" w:color="auto"/>
              <w:right w:val="single" w:sz="4" w:space="0" w:color="auto"/>
            </w:tcBorders>
            <w:shd w:val="clear" w:color="auto" w:fill="auto"/>
            <w:noWrap/>
            <w:vAlign w:val="bottom"/>
            <w:hideMark/>
          </w:tcPr>
          <w:p w14:paraId="543A266A" w14:textId="77777777" w:rsidR="00D07B68" w:rsidRDefault="00D07B68">
            <w:pPr>
              <w:jc w:val="right"/>
              <w:rPr>
                <w:rFonts w:ascii="Arial" w:hAnsi="Arial" w:cs="Arial"/>
                <w:b/>
                <w:bCs/>
                <w:color w:val="000000"/>
              </w:rPr>
            </w:pPr>
            <w:r>
              <w:rPr>
                <w:rFonts w:ascii="Arial" w:hAnsi="Arial" w:cs="Arial"/>
                <w:b/>
                <w:bCs/>
                <w:color w:val="000000"/>
              </w:rPr>
              <w:t>12,229</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14:paraId="55E0930A" w14:textId="77777777" w:rsidR="00D07B68" w:rsidRDefault="00D07B68">
            <w:pPr>
              <w:jc w:val="right"/>
              <w:rPr>
                <w:rFonts w:ascii="Arial" w:hAnsi="Arial" w:cs="Arial"/>
                <w:b/>
                <w:bCs/>
                <w:color w:val="000000"/>
              </w:rPr>
            </w:pPr>
            <w:r>
              <w:rPr>
                <w:rFonts w:ascii="Arial" w:hAnsi="Arial" w:cs="Arial"/>
                <w:b/>
                <w:bCs/>
                <w:color w:val="000000"/>
              </w:rPr>
              <w:t>(5,491)</w:t>
            </w:r>
          </w:p>
        </w:tc>
        <w:tc>
          <w:tcPr>
            <w:tcW w:w="1184" w:type="dxa"/>
            <w:tcBorders>
              <w:top w:val="single" w:sz="4" w:space="0" w:color="auto"/>
              <w:left w:val="nil"/>
              <w:bottom w:val="single" w:sz="4" w:space="0" w:color="auto"/>
              <w:right w:val="single" w:sz="4" w:space="0" w:color="auto"/>
            </w:tcBorders>
            <w:shd w:val="clear" w:color="auto" w:fill="auto"/>
            <w:noWrap/>
            <w:vAlign w:val="bottom"/>
            <w:hideMark/>
          </w:tcPr>
          <w:p w14:paraId="2375BB01" w14:textId="77777777" w:rsidR="00D07B68" w:rsidRDefault="00D07B68">
            <w:pPr>
              <w:jc w:val="right"/>
              <w:rPr>
                <w:rFonts w:ascii="Arial" w:hAnsi="Arial" w:cs="Arial"/>
                <w:b/>
                <w:bCs/>
                <w:color w:val="000000"/>
              </w:rPr>
            </w:pPr>
            <w:r>
              <w:rPr>
                <w:rFonts w:ascii="Arial" w:hAnsi="Arial" w:cs="Arial"/>
                <w:b/>
                <w:bCs/>
                <w:color w:val="000000"/>
              </w:rPr>
              <w:t>8,225</w:t>
            </w:r>
          </w:p>
        </w:tc>
        <w:tc>
          <w:tcPr>
            <w:tcW w:w="1184" w:type="dxa"/>
            <w:tcBorders>
              <w:top w:val="single" w:sz="4" w:space="0" w:color="auto"/>
              <w:left w:val="nil"/>
              <w:bottom w:val="single" w:sz="4" w:space="0" w:color="auto"/>
              <w:right w:val="single" w:sz="4" w:space="0" w:color="auto"/>
            </w:tcBorders>
            <w:shd w:val="clear" w:color="auto" w:fill="auto"/>
            <w:noWrap/>
            <w:vAlign w:val="bottom"/>
            <w:hideMark/>
          </w:tcPr>
          <w:p w14:paraId="7693DD11" w14:textId="77777777" w:rsidR="00D07B68" w:rsidRDefault="00D07B68">
            <w:pPr>
              <w:jc w:val="right"/>
              <w:rPr>
                <w:rFonts w:ascii="Arial" w:hAnsi="Arial" w:cs="Arial"/>
                <w:b/>
                <w:bCs/>
                <w:color w:val="000000"/>
              </w:rPr>
            </w:pPr>
            <w:r>
              <w:rPr>
                <w:rFonts w:ascii="Arial" w:hAnsi="Arial" w:cs="Arial"/>
                <w:b/>
                <w:bCs/>
                <w:color w:val="000000"/>
              </w:rPr>
              <w:t>11,977</w:t>
            </w:r>
          </w:p>
        </w:tc>
        <w:tc>
          <w:tcPr>
            <w:tcW w:w="1181" w:type="dxa"/>
            <w:tcBorders>
              <w:top w:val="single" w:sz="4" w:space="0" w:color="auto"/>
              <w:left w:val="nil"/>
              <w:bottom w:val="single" w:sz="4" w:space="0" w:color="auto"/>
              <w:right w:val="single" w:sz="4" w:space="0" w:color="auto"/>
            </w:tcBorders>
            <w:shd w:val="clear" w:color="auto" w:fill="auto"/>
            <w:noWrap/>
            <w:vAlign w:val="bottom"/>
            <w:hideMark/>
          </w:tcPr>
          <w:p w14:paraId="2194CEDD" w14:textId="77777777" w:rsidR="00D07B68" w:rsidRDefault="00D07B68">
            <w:pPr>
              <w:jc w:val="right"/>
              <w:rPr>
                <w:rFonts w:ascii="Arial" w:hAnsi="Arial" w:cs="Arial"/>
                <w:b/>
                <w:bCs/>
                <w:color w:val="000000"/>
              </w:rPr>
            </w:pPr>
            <w:r>
              <w:rPr>
                <w:rFonts w:ascii="Arial" w:hAnsi="Arial" w:cs="Arial"/>
                <w:b/>
                <w:bCs/>
                <w:color w:val="000000"/>
              </w:rPr>
              <w:t>22,807</w:t>
            </w:r>
          </w:p>
        </w:tc>
      </w:tr>
    </w:tbl>
    <w:p w14:paraId="6D15C2E2" w14:textId="6F9DD3AB" w:rsidR="003838F9" w:rsidRDefault="003838F9" w:rsidP="00AA056E">
      <w:pPr>
        <w:pStyle w:val="BodyText"/>
        <w:ind w:left="709" w:hanging="709"/>
        <w:rPr>
          <w:rFonts w:ascii="Arial" w:hAnsi="Arial"/>
        </w:rPr>
      </w:pPr>
    </w:p>
    <w:p w14:paraId="70B39EA8" w14:textId="77777777" w:rsidR="006374BB" w:rsidRDefault="00BE269E" w:rsidP="00AA056E">
      <w:pPr>
        <w:pStyle w:val="BodyText"/>
        <w:ind w:left="709" w:hanging="709"/>
        <w:rPr>
          <w:rFonts w:ascii="Arial" w:hAnsi="Arial"/>
          <w:sz w:val="22"/>
        </w:rPr>
      </w:pPr>
      <w:r>
        <w:rPr>
          <w:rFonts w:ascii="Arial" w:hAnsi="Arial"/>
        </w:rPr>
        <w:t>7.4</w:t>
      </w:r>
      <w:r w:rsidR="009D4260">
        <w:rPr>
          <w:rFonts w:ascii="Arial" w:hAnsi="Arial"/>
        </w:rPr>
        <w:tab/>
      </w:r>
      <w:r w:rsidR="00E25F68" w:rsidRPr="00DD1095">
        <w:rPr>
          <w:rFonts w:ascii="Arial" w:hAnsi="Arial"/>
        </w:rPr>
        <w:t>Risks associated with any advance borrowing activity will be subject to appraisal in advance and subsequent reporting through the mid-year or annual reporting mechanism</w:t>
      </w:r>
      <w:r w:rsidR="00E25F68">
        <w:rPr>
          <w:rFonts w:ascii="Arial" w:hAnsi="Arial"/>
          <w:sz w:val="22"/>
        </w:rPr>
        <w:t>.</w:t>
      </w:r>
      <w:r w:rsidR="006374BB">
        <w:rPr>
          <w:rFonts w:ascii="Arial" w:hAnsi="Arial"/>
          <w:sz w:val="22"/>
        </w:rPr>
        <w:t xml:space="preserve"> </w:t>
      </w:r>
    </w:p>
    <w:p w14:paraId="1C4F6222" w14:textId="77777777" w:rsidR="006374BB" w:rsidRDefault="006374BB" w:rsidP="00AA056E">
      <w:pPr>
        <w:pStyle w:val="BodyText"/>
        <w:ind w:left="709" w:hanging="709"/>
        <w:rPr>
          <w:rFonts w:ascii="Arial" w:hAnsi="Arial"/>
          <w:sz w:val="22"/>
        </w:rPr>
      </w:pPr>
    </w:p>
    <w:p w14:paraId="10080043" w14:textId="460336FB" w:rsidR="003528EE" w:rsidRPr="006374BB" w:rsidRDefault="006374BB" w:rsidP="006374BB">
      <w:pPr>
        <w:pStyle w:val="BodyText"/>
        <w:ind w:left="709" w:hanging="709"/>
        <w:rPr>
          <w:rFonts w:ascii="Arial" w:hAnsi="Arial"/>
        </w:rPr>
      </w:pPr>
      <w:r>
        <w:rPr>
          <w:rFonts w:ascii="Arial" w:hAnsi="Arial"/>
        </w:rPr>
        <w:t>7.5</w:t>
      </w:r>
      <w:r>
        <w:rPr>
          <w:rFonts w:ascii="Arial" w:hAnsi="Arial"/>
        </w:rPr>
        <w:tab/>
      </w:r>
      <w:r w:rsidRPr="006374BB">
        <w:rPr>
          <w:rFonts w:ascii="Arial" w:hAnsi="Arial"/>
        </w:rPr>
        <w:t xml:space="preserve">The working capital requirement for 2023-24 onwards is a </w:t>
      </w:r>
      <w:proofErr w:type="gramStart"/>
      <w:r w:rsidRPr="006374BB">
        <w:rPr>
          <w:rFonts w:ascii="Arial" w:hAnsi="Arial"/>
        </w:rPr>
        <w:t>snap-shot</w:t>
      </w:r>
      <w:proofErr w:type="gramEnd"/>
      <w:r w:rsidRPr="006374BB">
        <w:rPr>
          <w:rFonts w:ascii="Arial" w:hAnsi="Arial"/>
        </w:rPr>
        <w:t xml:space="preserve"> based on the 2022-23 actuals but is subject to change as cash flows from debtors and creditors come i</w:t>
      </w:r>
      <w:r>
        <w:rPr>
          <w:rFonts w:ascii="Arial" w:hAnsi="Arial"/>
        </w:rPr>
        <w:t>n/</w:t>
      </w:r>
      <w:r w:rsidRPr="006374BB">
        <w:rPr>
          <w:rFonts w:ascii="Arial" w:hAnsi="Arial"/>
        </w:rPr>
        <w:t>out, respectively, during the financial year</w:t>
      </w:r>
      <w:r>
        <w:rPr>
          <w:rFonts w:ascii="Arial" w:hAnsi="Arial"/>
          <w:sz w:val="22"/>
        </w:rPr>
        <w:t xml:space="preserve">. </w:t>
      </w:r>
      <w:r>
        <w:rPr>
          <w:rFonts w:ascii="Arial" w:hAnsi="Arial"/>
        </w:rPr>
        <w:t xml:space="preserve">As such, the Commissioner will review the Authorised </w:t>
      </w:r>
      <w:r w:rsidRPr="006374BB">
        <w:rPr>
          <w:rFonts w:ascii="Arial" w:hAnsi="Arial"/>
        </w:rPr>
        <w:t xml:space="preserve">Limit  prior to </w:t>
      </w:r>
      <w:r>
        <w:rPr>
          <w:rFonts w:ascii="Arial" w:hAnsi="Arial"/>
        </w:rPr>
        <w:t xml:space="preserve">arranging any </w:t>
      </w:r>
      <w:r w:rsidRPr="006374BB">
        <w:rPr>
          <w:rFonts w:ascii="Arial" w:hAnsi="Arial"/>
        </w:rPr>
        <w:t>borrowing</w:t>
      </w:r>
      <w:r>
        <w:rPr>
          <w:rFonts w:ascii="Arial" w:hAnsi="Arial"/>
          <w:sz w:val="22"/>
        </w:rPr>
        <w:t xml:space="preserve"> </w:t>
      </w:r>
      <w:r w:rsidRPr="006374BB">
        <w:rPr>
          <w:rFonts w:ascii="Arial" w:hAnsi="Arial"/>
        </w:rPr>
        <w:t>to ensure that the auth</w:t>
      </w:r>
      <w:r w:rsidR="00D71291">
        <w:rPr>
          <w:rFonts w:ascii="Arial" w:hAnsi="Arial"/>
        </w:rPr>
        <w:t>or</w:t>
      </w:r>
      <w:r w:rsidRPr="006374BB">
        <w:rPr>
          <w:rFonts w:ascii="Arial" w:hAnsi="Arial"/>
        </w:rPr>
        <w:t>ised Limit reflects current information</w:t>
      </w:r>
      <w:r w:rsidR="00D71291">
        <w:rPr>
          <w:rFonts w:ascii="Arial" w:hAnsi="Arial"/>
        </w:rPr>
        <w:t xml:space="preserve"> and, if necessary, approve any amendments</w:t>
      </w:r>
      <w:r w:rsidRPr="006374BB">
        <w:rPr>
          <w:rFonts w:ascii="Arial" w:hAnsi="Arial"/>
        </w:rPr>
        <w:t>.</w:t>
      </w:r>
    </w:p>
    <w:p w14:paraId="7D40FC86" w14:textId="2DC667B7" w:rsidR="009D6C5F" w:rsidRDefault="009D6C5F" w:rsidP="00615280">
      <w:pPr>
        <w:pStyle w:val="BodyText"/>
        <w:rPr>
          <w:rFonts w:ascii="Arial" w:hAnsi="Arial" w:cs="Arial"/>
          <w:b/>
          <w:bCs/>
          <w:noProof/>
        </w:rPr>
      </w:pPr>
    </w:p>
    <w:p w14:paraId="502C7374" w14:textId="1CF81347" w:rsidR="0046015B" w:rsidRPr="006E3BD2" w:rsidRDefault="00862B7D" w:rsidP="00615280">
      <w:pPr>
        <w:pStyle w:val="BodyText"/>
        <w:rPr>
          <w:rFonts w:ascii="Arial" w:hAnsi="Arial" w:cs="Arial"/>
          <w:b/>
          <w:bCs/>
          <w:noProof/>
        </w:rPr>
      </w:pPr>
      <w:r>
        <w:rPr>
          <w:rFonts w:ascii="Arial" w:hAnsi="Arial" w:cs="Arial"/>
          <w:b/>
          <w:bCs/>
          <w:noProof/>
        </w:rPr>
        <w:t>8</w:t>
      </w:r>
      <w:r w:rsidR="006E3BD2">
        <w:rPr>
          <w:rFonts w:ascii="Arial" w:hAnsi="Arial" w:cs="Arial"/>
          <w:b/>
          <w:bCs/>
          <w:noProof/>
        </w:rPr>
        <w:t>.</w:t>
      </w:r>
      <w:r w:rsidR="0046015B" w:rsidRPr="006E3BD2">
        <w:rPr>
          <w:rFonts w:ascii="Arial" w:hAnsi="Arial" w:cs="Arial"/>
          <w:b/>
          <w:bCs/>
          <w:noProof/>
        </w:rPr>
        <w:tab/>
        <w:t>P</w:t>
      </w:r>
      <w:r w:rsidR="000932D7">
        <w:rPr>
          <w:rFonts w:ascii="Arial" w:hAnsi="Arial" w:cs="Arial"/>
          <w:b/>
          <w:bCs/>
          <w:noProof/>
        </w:rPr>
        <w:t>ROSPECTS FOR INTEREST RATES</w:t>
      </w:r>
    </w:p>
    <w:p w14:paraId="5455F6C4" w14:textId="77777777" w:rsidR="00D07216" w:rsidRDefault="00D07216" w:rsidP="00932344">
      <w:pPr>
        <w:pStyle w:val="BodyText"/>
        <w:numPr>
          <w:ilvl w:val="12"/>
          <w:numId w:val="0"/>
        </w:numPr>
        <w:ind w:left="709" w:hanging="709"/>
        <w:rPr>
          <w:rFonts w:ascii="Arial" w:hAnsi="Arial" w:cs="Arial"/>
          <w:noProof/>
        </w:rPr>
      </w:pPr>
    </w:p>
    <w:p w14:paraId="00E89DF1" w14:textId="77777777" w:rsidR="0046015B" w:rsidRDefault="00862B7D" w:rsidP="00932344">
      <w:pPr>
        <w:pStyle w:val="BodyText"/>
        <w:numPr>
          <w:ilvl w:val="12"/>
          <w:numId w:val="0"/>
        </w:numPr>
        <w:ind w:left="709" w:hanging="709"/>
        <w:rPr>
          <w:rFonts w:ascii="Arial" w:hAnsi="Arial" w:cs="Arial"/>
          <w:noProof/>
        </w:rPr>
      </w:pPr>
      <w:r>
        <w:rPr>
          <w:rFonts w:ascii="Arial" w:hAnsi="Arial" w:cs="Arial"/>
          <w:noProof/>
        </w:rPr>
        <w:t>8</w:t>
      </w:r>
      <w:r w:rsidR="00932344">
        <w:rPr>
          <w:rFonts w:ascii="Arial" w:hAnsi="Arial" w:cs="Arial"/>
          <w:noProof/>
        </w:rPr>
        <w:t>.1</w:t>
      </w:r>
      <w:r w:rsidR="00932344">
        <w:rPr>
          <w:rFonts w:ascii="Arial" w:hAnsi="Arial" w:cs="Arial"/>
          <w:noProof/>
        </w:rPr>
        <w:tab/>
      </w:r>
      <w:r w:rsidR="0046015B" w:rsidRPr="0046015B">
        <w:rPr>
          <w:rFonts w:ascii="Arial" w:hAnsi="Arial" w:cs="Arial"/>
          <w:noProof/>
        </w:rPr>
        <w:t xml:space="preserve">The </w:t>
      </w:r>
      <w:r w:rsidR="000816E3">
        <w:rPr>
          <w:rFonts w:ascii="Arial" w:hAnsi="Arial" w:cs="Arial"/>
          <w:noProof/>
        </w:rPr>
        <w:t>Commissioner</w:t>
      </w:r>
      <w:r w:rsidR="0046015B" w:rsidRPr="0046015B">
        <w:rPr>
          <w:rFonts w:ascii="Arial" w:hAnsi="Arial" w:cs="Arial"/>
          <w:noProof/>
        </w:rPr>
        <w:t xml:space="preserve"> </w:t>
      </w:r>
      <w:r w:rsidR="00171FA9">
        <w:rPr>
          <w:rFonts w:ascii="Arial" w:hAnsi="Arial" w:cs="Arial"/>
          <w:noProof/>
        </w:rPr>
        <w:t>uses</w:t>
      </w:r>
      <w:r w:rsidR="0046015B" w:rsidRPr="0046015B">
        <w:rPr>
          <w:rFonts w:ascii="Arial" w:hAnsi="Arial" w:cs="Arial"/>
          <w:noProof/>
        </w:rPr>
        <w:t xml:space="preserve"> </w:t>
      </w:r>
      <w:r w:rsidR="00505E44">
        <w:rPr>
          <w:rFonts w:ascii="Arial" w:hAnsi="Arial" w:cs="Arial"/>
          <w:noProof/>
        </w:rPr>
        <w:t xml:space="preserve">Link </w:t>
      </w:r>
      <w:r w:rsidR="006B4F4E">
        <w:rPr>
          <w:rFonts w:ascii="Arial" w:hAnsi="Arial" w:cs="Arial"/>
          <w:noProof/>
        </w:rPr>
        <w:t>Asset Services</w:t>
      </w:r>
      <w:r w:rsidR="002646C0">
        <w:rPr>
          <w:rFonts w:ascii="Arial" w:hAnsi="Arial" w:cs="Arial"/>
          <w:noProof/>
        </w:rPr>
        <w:t xml:space="preserve"> </w:t>
      </w:r>
      <w:r w:rsidR="0046015B" w:rsidRPr="0046015B">
        <w:rPr>
          <w:rFonts w:ascii="Arial" w:hAnsi="Arial" w:cs="Arial"/>
          <w:noProof/>
        </w:rPr>
        <w:t xml:space="preserve">as </w:t>
      </w:r>
      <w:r w:rsidR="00F333F1">
        <w:rPr>
          <w:rFonts w:ascii="Arial" w:hAnsi="Arial" w:cs="Arial"/>
          <w:noProof/>
        </w:rPr>
        <w:t>t</w:t>
      </w:r>
      <w:r w:rsidR="0046015B" w:rsidRPr="0046015B">
        <w:rPr>
          <w:rFonts w:ascii="Arial" w:hAnsi="Arial" w:cs="Arial"/>
          <w:noProof/>
        </w:rPr>
        <w:t xml:space="preserve">reasury </w:t>
      </w:r>
      <w:r w:rsidR="00F333F1">
        <w:rPr>
          <w:rFonts w:ascii="Arial" w:hAnsi="Arial" w:cs="Arial"/>
          <w:noProof/>
        </w:rPr>
        <w:t>m</w:t>
      </w:r>
      <w:r w:rsidR="00EE216B">
        <w:rPr>
          <w:rFonts w:ascii="Arial" w:hAnsi="Arial" w:cs="Arial"/>
          <w:noProof/>
        </w:rPr>
        <w:t xml:space="preserve">anagement </w:t>
      </w:r>
      <w:r w:rsidR="0046015B" w:rsidRPr="0046015B">
        <w:rPr>
          <w:rFonts w:ascii="Arial" w:hAnsi="Arial" w:cs="Arial"/>
          <w:noProof/>
        </w:rPr>
        <w:t>advisor</w:t>
      </w:r>
      <w:r w:rsidR="00726BDB">
        <w:rPr>
          <w:rFonts w:ascii="Arial" w:hAnsi="Arial" w:cs="Arial"/>
          <w:noProof/>
        </w:rPr>
        <w:t>s</w:t>
      </w:r>
      <w:r w:rsidR="0046015B" w:rsidRPr="0046015B">
        <w:rPr>
          <w:rFonts w:ascii="Arial" w:hAnsi="Arial" w:cs="Arial"/>
          <w:noProof/>
        </w:rPr>
        <w:t xml:space="preserve"> and part of their service is to </w:t>
      </w:r>
      <w:r w:rsidR="00171FA9">
        <w:rPr>
          <w:rFonts w:ascii="Arial" w:hAnsi="Arial" w:cs="Arial"/>
          <w:noProof/>
        </w:rPr>
        <w:t xml:space="preserve">provide a view on the prospects for </w:t>
      </w:r>
      <w:r w:rsidR="0046015B" w:rsidRPr="0046015B">
        <w:rPr>
          <w:rFonts w:ascii="Arial" w:hAnsi="Arial" w:cs="Arial"/>
          <w:noProof/>
        </w:rPr>
        <w:t>interest rates</w:t>
      </w:r>
      <w:r w:rsidR="00427136">
        <w:rPr>
          <w:rFonts w:ascii="Arial" w:hAnsi="Arial" w:cs="Arial"/>
          <w:noProof/>
        </w:rPr>
        <w:t xml:space="preserve"> and economic growth</w:t>
      </w:r>
      <w:r w:rsidR="00171FA9">
        <w:rPr>
          <w:rFonts w:ascii="Arial" w:hAnsi="Arial" w:cs="Arial"/>
          <w:noProof/>
        </w:rPr>
        <w:t>.</w:t>
      </w:r>
      <w:r w:rsidR="0046015B" w:rsidRPr="0046015B">
        <w:rPr>
          <w:rFonts w:ascii="Arial" w:hAnsi="Arial" w:cs="Arial"/>
          <w:noProof/>
        </w:rPr>
        <w:t xml:space="preserve">  The following table gives th</w:t>
      </w:r>
      <w:r w:rsidR="00AC1F0C">
        <w:rPr>
          <w:rFonts w:ascii="Arial" w:hAnsi="Arial" w:cs="Arial"/>
          <w:noProof/>
        </w:rPr>
        <w:t xml:space="preserve">e </w:t>
      </w:r>
      <w:r w:rsidR="00505E44">
        <w:rPr>
          <w:rFonts w:ascii="Arial" w:hAnsi="Arial" w:cs="Arial"/>
          <w:noProof/>
        </w:rPr>
        <w:t xml:space="preserve">Link </w:t>
      </w:r>
      <w:r w:rsidR="006B4F4E">
        <w:rPr>
          <w:rFonts w:ascii="Arial" w:hAnsi="Arial" w:cs="Arial"/>
          <w:noProof/>
        </w:rPr>
        <w:t>Asset Services</w:t>
      </w:r>
      <w:r w:rsidR="001469AA">
        <w:rPr>
          <w:rFonts w:ascii="Arial" w:hAnsi="Arial" w:cs="Arial"/>
          <w:noProof/>
        </w:rPr>
        <w:t xml:space="preserve"> </w:t>
      </w:r>
      <w:r w:rsidR="00795692">
        <w:rPr>
          <w:rFonts w:ascii="Arial" w:hAnsi="Arial" w:cs="Arial"/>
          <w:noProof/>
        </w:rPr>
        <w:t xml:space="preserve">central </w:t>
      </w:r>
      <w:r w:rsidR="0046015B" w:rsidRPr="0046015B">
        <w:rPr>
          <w:rFonts w:ascii="Arial" w:hAnsi="Arial" w:cs="Arial"/>
          <w:noProof/>
        </w:rPr>
        <w:t>view</w:t>
      </w:r>
      <w:r w:rsidR="006763E9">
        <w:rPr>
          <w:rFonts w:ascii="Arial" w:hAnsi="Arial" w:cs="Arial"/>
          <w:noProof/>
        </w:rPr>
        <w:t xml:space="preserve"> on the prospe</w:t>
      </w:r>
      <w:r w:rsidR="0025332E">
        <w:rPr>
          <w:rFonts w:ascii="Arial" w:hAnsi="Arial" w:cs="Arial"/>
          <w:noProof/>
        </w:rPr>
        <w:t>cts for interest rates</w:t>
      </w:r>
      <w:r w:rsidR="0046015B" w:rsidRPr="0046015B">
        <w:rPr>
          <w:rFonts w:ascii="Arial" w:hAnsi="Arial" w:cs="Arial"/>
          <w:noProof/>
        </w:rPr>
        <w:t>.</w:t>
      </w:r>
    </w:p>
    <w:p w14:paraId="76FFC6C4" w14:textId="374EBA90" w:rsidR="00701EEA" w:rsidRDefault="00701EEA" w:rsidP="005D2D17">
      <w:pPr>
        <w:pStyle w:val="BodyText"/>
        <w:numPr>
          <w:ilvl w:val="12"/>
          <w:numId w:val="0"/>
        </w:numPr>
        <w:ind w:left="1418" w:hanging="709"/>
        <w:rPr>
          <w:noProof/>
        </w:rPr>
      </w:pPr>
    </w:p>
    <w:p w14:paraId="48866827" w14:textId="0D54DC86" w:rsidR="00D70B72" w:rsidRDefault="00C01196" w:rsidP="005D2D17">
      <w:pPr>
        <w:pStyle w:val="BodyText"/>
        <w:numPr>
          <w:ilvl w:val="12"/>
          <w:numId w:val="0"/>
        </w:numPr>
        <w:ind w:left="1418" w:hanging="709"/>
        <w:rPr>
          <w:rFonts w:ascii="Arial" w:hAnsi="Arial" w:cs="Arial"/>
          <w:noProof/>
        </w:rPr>
      </w:pPr>
      <w:r w:rsidRPr="00C01196">
        <w:rPr>
          <w:rFonts w:ascii="Arial" w:hAnsi="Arial" w:cs="Arial"/>
          <w:noProof/>
        </w:rPr>
        <w:lastRenderedPageBreak/>
        <w:drawing>
          <wp:inline distT="0" distB="0" distL="0" distR="0" wp14:anchorId="0B9CA613" wp14:editId="22A151FC">
            <wp:extent cx="5518150" cy="1731010"/>
            <wp:effectExtent l="0" t="0" r="635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18150" cy="1731010"/>
                    </a:xfrm>
                    <a:prstGeom prst="rect">
                      <a:avLst/>
                    </a:prstGeom>
                  </pic:spPr>
                </pic:pic>
              </a:graphicData>
            </a:graphic>
          </wp:inline>
        </w:drawing>
      </w:r>
    </w:p>
    <w:p w14:paraId="4D795174" w14:textId="77777777" w:rsidR="003662E7" w:rsidRPr="0046015B" w:rsidRDefault="003662E7" w:rsidP="00FB7755">
      <w:pPr>
        <w:pStyle w:val="BodyText"/>
        <w:numPr>
          <w:ilvl w:val="12"/>
          <w:numId w:val="0"/>
        </w:numPr>
        <w:ind w:left="709"/>
        <w:rPr>
          <w:rFonts w:ascii="Arial" w:hAnsi="Arial" w:cs="Arial"/>
          <w:noProof/>
        </w:rPr>
      </w:pPr>
    </w:p>
    <w:p w14:paraId="7CB8BEB2" w14:textId="41DABAFB" w:rsidR="000C60F5" w:rsidRDefault="00BE269E" w:rsidP="001248E5">
      <w:pPr>
        <w:ind w:left="709" w:hanging="709"/>
        <w:jc w:val="both"/>
        <w:rPr>
          <w:rFonts w:ascii="Arial" w:hAnsi="Arial" w:cs="Arial"/>
          <w:noProof/>
        </w:rPr>
      </w:pPr>
      <w:r>
        <w:rPr>
          <w:rFonts w:ascii="Arial" w:hAnsi="Arial" w:cs="Arial"/>
          <w:noProof/>
        </w:rPr>
        <w:t>8.2</w:t>
      </w:r>
      <w:r>
        <w:rPr>
          <w:rFonts w:ascii="Arial" w:hAnsi="Arial" w:cs="Arial"/>
          <w:noProof/>
        </w:rPr>
        <w:tab/>
      </w:r>
      <w:r w:rsidR="00FB56DB">
        <w:rPr>
          <w:rFonts w:ascii="Arial" w:hAnsi="Arial" w:cs="Arial"/>
          <w:noProof/>
        </w:rPr>
        <w:t>T</w:t>
      </w:r>
      <w:r w:rsidR="00795692" w:rsidRPr="00505EFE">
        <w:rPr>
          <w:rFonts w:ascii="Arial" w:hAnsi="Arial" w:cs="Arial"/>
          <w:noProof/>
        </w:rPr>
        <w:t>he Monetary Policy Committee (MPC)</w:t>
      </w:r>
      <w:r w:rsidR="00FB56DB">
        <w:rPr>
          <w:rFonts w:ascii="Arial" w:hAnsi="Arial" w:cs="Arial"/>
          <w:noProof/>
        </w:rPr>
        <w:t xml:space="preserve"> </w:t>
      </w:r>
      <w:r w:rsidR="00590233">
        <w:rPr>
          <w:rFonts w:ascii="Arial" w:hAnsi="Arial" w:cs="Arial"/>
          <w:noProof/>
        </w:rPr>
        <w:t xml:space="preserve">voted </w:t>
      </w:r>
      <w:r w:rsidR="004E2B75">
        <w:rPr>
          <w:rFonts w:ascii="Arial" w:hAnsi="Arial" w:cs="Arial"/>
          <w:noProof/>
        </w:rPr>
        <w:t>(</w:t>
      </w:r>
      <w:r w:rsidR="00886D5B">
        <w:rPr>
          <w:rFonts w:ascii="Arial" w:hAnsi="Arial" w:cs="Arial"/>
          <w:noProof/>
        </w:rPr>
        <w:t>6</w:t>
      </w:r>
      <w:r w:rsidR="004E2B75">
        <w:rPr>
          <w:rFonts w:ascii="Arial" w:hAnsi="Arial" w:cs="Arial"/>
          <w:noProof/>
        </w:rPr>
        <w:t>:</w:t>
      </w:r>
      <w:r w:rsidR="00886D5B">
        <w:rPr>
          <w:rFonts w:ascii="Arial" w:hAnsi="Arial" w:cs="Arial"/>
          <w:noProof/>
        </w:rPr>
        <w:t>3</w:t>
      </w:r>
      <w:r w:rsidR="004E2B75">
        <w:rPr>
          <w:rFonts w:ascii="Arial" w:hAnsi="Arial" w:cs="Arial"/>
          <w:noProof/>
        </w:rPr>
        <w:t xml:space="preserve">) </w:t>
      </w:r>
      <w:r w:rsidR="00590233">
        <w:rPr>
          <w:rFonts w:ascii="Arial" w:hAnsi="Arial" w:cs="Arial"/>
          <w:noProof/>
        </w:rPr>
        <w:t xml:space="preserve">to </w:t>
      </w:r>
      <w:r w:rsidR="00886D5B">
        <w:rPr>
          <w:rFonts w:ascii="Arial" w:hAnsi="Arial" w:cs="Arial"/>
          <w:noProof/>
        </w:rPr>
        <w:t>keep</w:t>
      </w:r>
      <w:r w:rsidR="00FD585A">
        <w:rPr>
          <w:rFonts w:ascii="Arial" w:hAnsi="Arial" w:cs="Arial"/>
          <w:noProof/>
        </w:rPr>
        <w:t xml:space="preserve"> </w:t>
      </w:r>
      <w:r w:rsidR="00CA2422">
        <w:rPr>
          <w:rFonts w:ascii="Arial" w:hAnsi="Arial" w:cs="Arial"/>
          <w:noProof/>
        </w:rPr>
        <w:t xml:space="preserve">the </w:t>
      </w:r>
      <w:r w:rsidR="00FB56DB">
        <w:rPr>
          <w:rFonts w:ascii="Arial" w:hAnsi="Arial" w:cs="Arial"/>
          <w:noProof/>
        </w:rPr>
        <w:t>Bank Rat</w:t>
      </w:r>
      <w:r w:rsidR="00886D5B">
        <w:rPr>
          <w:rFonts w:ascii="Arial" w:hAnsi="Arial" w:cs="Arial"/>
          <w:noProof/>
        </w:rPr>
        <w:t>e at 5.25% d</w:t>
      </w:r>
      <w:r w:rsidR="00FD585A">
        <w:rPr>
          <w:rFonts w:ascii="Arial" w:hAnsi="Arial" w:cs="Arial"/>
          <w:noProof/>
        </w:rPr>
        <w:t>uring the November 202</w:t>
      </w:r>
      <w:r w:rsidR="00886D5B">
        <w:rPr>
          <w:rFonts w:ascii="Arial" w:hAnsi="Arial" w:cs="Arial"/>
          <w:noProof/>
        </w:rPr>
        <w:t>3</w:t>
      </w:r>
      <w:r w:rsidR="00FD585A">
        <w:rPr>
          <w:rFonts w:ascii="Arial" w:hAnsi="Arial" w:cs="Arial"/>
          <w:noProof/>
        </w:rPr>
        <w:t xml:space="preserve"> </w:t>
      </w:r>
      <w:r w:rsidR="00590233">
        <w:rPr>
          <w:rFonts w:ascii="Arial" w:hAnsi="Arial" w:cs="Arial"/>
          <w:noProof/>
        </w:rPr>
        <w:t>meeeting</w:t>
      </w:r>
      <w:r w:rsidR="00FD585A">
        <w:rPr>
          <w:rFonts w:ascii="Arial" w:hAnsi="Arial" w:cs="Arial"/>
          <w:noProof/>
        </w:rPr>
        <w:t xml:space="preserve">. </w:t>
      </w:r>
      <w:r w:rsidR="001248E5" w:rsidRPr="001248E5">
        <w:rPr>
          <w:rFonts w:ascii="Arial" w:hAnsi="Arial" w:cs="Arial"/>
          <w:noProof/>
        </w:rPr>
        <w:t xml:space="preserve">Furthermore, in the November Quarterly Monetary Policy Report the Bank revised down its Q3 and Q4 GDP forecasts for this year and its annual forecast for 2024 from 0.4% to 0.0% (2023 stayed at 0.5%). In terms of messaging, the Bank once again said that “further tightening in monetary policy would be required if there were evidence of more persistent inflationary pressures”, citing the rise in global bond yields and the upside risks to inflation from “energy prices given events in the Middle East”. </w:t>
      </w:r>
      <w:r w:rsidR="000C60F5" w:rsidRPr="000C60F5">
        <w:rPr>
          <w:rFonts w:ascii="Arial" w:hAnsi="Arial" w:cs="Arial"/>
          <w:noProof/>
        </w:rPr>
        <w:t>A new addition to the statement, underlining the commitment to policy maintenance, said that the "MPC's projections indicate that monetary policy is likely to need to be restrictive for an extended period of time". In terms of forecasts, the modal (ie most likely) view on inflation is 1.9% two years ahead and 1.5% in three years' time. However, after adjusting for risk, the mean forecast is now 2.2% in 2</w:t>
      </w:r>
      <w:r w:rsidR="00175FCC">
        <w:rPr>
          <w:rFonts w:ascii="Arial" w:hAnsi="Arial" w:cs="Arial"/>
          <w:noProof/>
        </w:rPr>
        <w:t xml:space="preserve"> </w:t>
      </w:r>
      <w:r w:rsidR="000C60F5" w:rsidRPr="000C60F5">
        <w:rPr>
          <w:rFonts w:ascii="Arial" w:hAnsi="Arial" w:cs="Arial"/>
          <w:noProof/>
        </w:rPr>
        <w:t>y</w:t>
      </w:r>
      <w:r w:rsidR="00175FCC">
        <w:rPr>
          <w:rFonts w:ascii="Arial" w:hAnsi="Arial" w:cs="Arial"/>
          <w:noProof/>
        </w:rPr>
        <w:t>ea</w:t>
      </w:r>
      <w:r w:rsidR="000C60F5" w:rsidRPr="000C60F5">
        <w:rPr>
          <w:rFonts w:ascii="Arial" w:hAnsi="Arial" w:cs="Arial"/>
          <w:noProof/>
        </w:rPr>
        <w:t>rs and 1.9% in 3</w:t>
      </w:r>
      <w:r w:rsidR="00175FCC">
        <w:rPr>
          <w:rFonts w:ascii="Arial" w:hAnsi="Arial" w:cs="Arial"/>
          <w:noProof/>
        </w:rPr>
        <w:t xml:space="preserve"> </w:t>
      </w:r>
      <w:r w:rsidR="000C60F5" w:rsidRPr="000C60F5">
        <w:rPr>
          <w:rFonts w:ascii="Arial" w:hAnsi="Arial" w:cs="Arial"/>
          <w:noProof/>
        </w:rPr>
        <w:t>y</w:t>
      </w:r>
      <w:r w:rsidR="00175FCC">
        <w:rPr>
          <w:rFonts w:ascii="Arial" w:hAnsi="Arial" w:cs="Arial"/>
          <w:noProof/>
        </w:rPr>
        <w:t>ea</w:t>
      </w:r>
      <w:r w:rsidR="000C60F5" w:rsidRPr="000C60F5">
        <w:rPr>
          <w:rFonts w:ascii="Arial" w:hAnsi="Arial" w:cs="Arial"/>
          <w:noProof/>
        </w:rPr>
        <w:t>rs. These were fractionally higher than those of August. On growth, the projections were revised lower for the second half of this year (although 2023 as a whole was unchanged at 0.5%) while that for 2024 was dropped from 0.4% to 0.0%. Overall, the meeting underlined market views that policy rates have peaked, given there was little in the report to counter the previously held view that the Committee has a greater tolerance to upside data surprises. However, while the next move is expected to be a cut, this may not materialise until the latter stages of 2024, with Bailey reiterating that it was "much too early to be thinking about rate cuts".</w:t>
      </w:r>
    </w:p>
    <w:p w14:paraId="6DD4D304" w14:textId="77777777" w:rsidR="000C60F5" w:rsidRDefault="000C60F5" w:rsidP="001248E5">
      <w:pPr>
        <w:ind w:left="709" w:hanging="709"/>
        <w:jc w:val="both"/>
        <w:rPr>
          <w:rFonts w:ascii="Arial" w:hAnsi="Arial" w:cs="Arial"/>
          <w:noProof/>
        </w:rPr>
      </w:pPr>
    </w:p>
    <w:p w14:paraId="7811CB5A" w14:textId="17850317" w:rsidR="00E3778C" w:rsidRDefault="00F50C2A" w:rsidP="00E3778C">
      <w:pPr>
        <w:ind w:left="709" w:hanging="709"/>
        <w:jc w:val="both"/>
        <w:rPr>
          <w:rFonts w:ascii="Arial" w:hAnsi="Arial" w:cs="Arial"/>
          <w:noProof/>
        </w:rPr>
      </w:pPr>
      <w:r w:rsidRPr="00734144">
        <w:rPr>
          <w:rFonts w:ascii="Arial" w:hAnsi="Arial" w:cs="Arial"/>
          <w:noProof/>
        </w:rPr>
        <w:t>8.3</w:t>
      </w:r>
      <w:r w:rsidRPr="00734144">
        <w:rPr>
          <w:rFonts w:ascii="Arial" w:hAnsi="Arial" w:cs="Arial"/>
          <w:noProof/>
        </w:rPr>
        <w:tab/>
      </w:r>
      <w:r w:rsidR="000C60F5" w:rsidRPr="000C60F5">
        <w:rPr>
          <w:rFonts w:ascii="Arial" w:hAnsi="Arial" w:cs="Arial"/>
          <w:noProof/>
        </w:rPr>
        <w:t>In terms of market reaction, gilt yields pulled lower, while market rate expectations for the second half of next year also eased, given that many believe that the economic outlook painted by the Bank remains too optimistic</w:t>
      </w:r>
      <w:r w:rsidR="00630055">
        <w:rPr>
          <w:rFonts w:ascii="Arial" w:hAnsi="Arial" w:cs="Arial"/>
          <w:noProof/>
        </w:rPr>
        <w:t xml:space="preserve">. </w:t>
      </w:r>
      <w:r w:rsidR="00630055" w:rsidRPr="00630055">
        <w:rPr>
          <w:rFonts w:ascii="Arial" w:hAnsi="Arial" w:cs="Arial"/>
          <w:noProof/>
        </w:rPr>
        <w:t>Inflation figures have</w:t>
      </w:r>
      <w:r w:rsidR="00630055">
        <w:rPr>
          <w:rFonts w:ascii="Arial" w:hAnsi="Arial" w:cs="Arial"/>
          <w:noProof/>
        </w:rPr>
        <w:t xml:space="preserve"> </w:t>
      </w:r>
      <w:r w:rsidR="00630055" w:rsidRPr="00630055">
        <w:rPr>
          <w:rFonts w:ascii="Arial" w:hAnsi="Arial" w:cs="Arial"/>
          <w:noProof/>
        </w:rPr>
        <w:t>come in modestly lower than market expectations</w:t>
      </w:r>
      <w:r w:rsidR="00630055">
        <w:rPr>
          <w:rFonts w:ascii="Arial" w:hAnsi="Arial" w:cs="Arial"/>
          <w:noProof/>
        </w:rPr>
        <w:t xml:space="preserve"> during November</w:t>
      </w:r>
      <w:r w:rsidR="00630055" w:rsidRPr="00630055">
        <w:rPr>
          <w:rFonts w:ascii="Arial" w:hAnsi="Arial" w:cs="Arial"/>
          <w:noProof/>
        </w:rPr>
        <w:t>. The</w:t>
      </w:r>
      <w:r w:rsidR="00630055">
        <w:rPr>
          <w:rFonts w:ascii="Arial" w:hAnsi="Arial" w:cs="Arial"/>
          <w:noProof/>
        </w:rPr>
        <w:t xml:space="preserve"> </w:t>
      </w:r>
      <w:r w:rsidR="00630055" w:rsidRPr="00630055">
        <w:rPr>
          <w:rFonts w:ascii="Arial" w:hAnsi="Arial" w:cs="Arial"/>
          <w:noProof/>
        </w:rPr>
        <w:t xml:space="preserve">headline 4.6% annual rate was the lowest since October 2021, with the decline primarily driven by falls in housing and household services (which includes energy bills, reflecting energy price cap reduction alongside sharp falls in gas and electricity prices compared to a year earlier), food and non-alcoholic beverages, and restaurants and hotels, with recreation and culture the only large positive contribution. Core CPI and services CPI (a key consideration for the MPC) also fell by more than expected. </w:t>
      </w:r>
    </w:p>
    <w:p w14:paraId="64D44166" w14:textId="77777777" w:rsidR="00630055" w:rsidRDefault="00630055" w:rsidP="00E3778C">
      <w:pPr>
        <w:ind w:left="709" w:hanging="709"/>
        <w:jc w:val="both"/>
        <w:rPr>
          <w:rFonts w:ascii="Arial" w:hAnsi="Arial" w:cs="Arial"/>
          <w:noProof/>
        </w:rPr>
      </w:pPr>
    </w:p>
    <w:p w14:paraId="5AA570E0" w14:textId="7F441468" w:rsidR="00427136" w:rsidRDefault="00E3778C" w:rsidP="00630055">
      <w:pPr>
        <w:ind w:left="709" w:hanging="709"/>
        <w:jc w:val="both"/>
        <w:rPr>
          <w:rFonts w:ascii="Arial" w:hAnsi="Arial" w:cs="Arial"/>
          <w:noProof/>
        </w:rPr>
      </w:pPr>
      <w:r>
        <w:rPr>
          <w:rFonts w:ascii="Arial" w:hAnsi="Arial" w:cs="Arial"/>
          <w:noProof/>
        </w:rPr>
        <w:t>8.4</w:t>
      </w:r>
      <w:r>
        <w:rPr>
          <w:rFonts w:ascii="Arial" w:hAnsi="Arial" w:cs="Arial"/>
          <w:noProof/>
        </w:rPr>
        <w:tab/>
      </w:r>
      <w:r w:rsidR="00630055" w:rsidRPr="00630055">
        <w:rPr>
          <w:rFonts w:ascii="Arial" w:hAnsi="Arial" w:cs="Arial"/>
          <w:noProof/>
        </w:rPr>
        <w:t xml:space="preserve">The Office for National Statistics has released its reformatted employment figures, citing that previous iterations were becoming less relevant due to low response numbers. At the headline level, the figures showed that the </w:t>
      </w:r>
      <w:r w:rsidR="00630055" w:rsidRPr="00630055">
        <w:rPr>
          <w:rFonts w:ascii="Arial" w:hAnsi="Arial" w:cs="Arial"/>
          <w:noProof/>
        </w:rPr>
        <w:lastRenderedPageBreak/>
        <w:t>unemployment (claimant count) rate remained at 4</w:t>
      </w:r>
      <w:r w:rsidR="00630055">
        <w:rPr>
          <w:rFonts w:ascii="Arial" w:hAnsi="Arial" w:cs="Arial"/>
          <w:noProof/>
        </w:rPr>
        <w:t>.0</w:t>
      </w:r>
      <w:r w:rsidR="00630055" w:rsidRPr="00630055">
        <w:rPr>
          <w:rFonts w:ascii="Arial" w:hAnsi="Arial" w:cs="Arial"/>
          <w:noProof/>
        </w:rPr>
        <w:t xml:space="preserve">% in October, while adjusting this using additional data points puts the figure at 4.2% for the July-September period, again unchanged from its previous reading. On wages, overall weekly average earnings dropped from 8.1% to 7.9%, which was stronger than market expectations of a fall to 7.3%, while excluding bonuses, the rate fell from an upwardly revised 7.9% to 7.7%, as markets had expected. A range of MPC members took to the floor, all reiterating the "higher for longer" mantra that has been central to policymaker commentary in recent times. </w:t>
      </w:r>
    </w:p>
    <w:p w14:paraId="2B7BD310" w14:textId="77777777" w:rsidR="00CF4682" w:rsidRDefault="00CF4682" w:rsidP="004B1EBC">
      <w:pPr>
        <w:spacing w:line="20" w:lineRule="atLeast"/>
        <w:ind w:left="709" w:hanging="709"/>
        <w:jc w:val="both"/>
        <w:rPr>
          <w:rFonts w:ascii="Arial" w:hAnsi="Arial" w:cs="Arial"/>
          <w:noProof/>
        </w:rPr>
      </w:pPr>
    </w:p>
    <w:p w14:paraId="112D2BED" w14:textId="120C4827" w:rsidR="001777BA" w:rsidRDefault="00CF4682" w:rsidP="001777BA">
      <w:pPr>
        <w:spacing w:line="20" w:lineRule="atLeast"/>
        <w:ind w:left="709" w:hanging="709"/>
        <w:jc w:val="both"/>
        <w:rPr>
          <w:rFonts w:ascii="Arial" w:hAnsi="Arial" w:cs="Arial"/>
          <w:noProof/>
        </w:rPr>
      </w:pPr>
      <w:r>
        <w:rPr>
          <w:rFonts w:ascii="Arial" w:hAnsi="Arial" w:cs="Arial"/>
          <w:noProof/>
        </w:rPr>
        <w:t>8.</w:t>
      </w:r>
      <w:r w:rsidR="00630055">
        <w:rPr>
          <w:rFonts w:ascii="Arial" w:hAnsi="Arial" w:cs="Arial"/>
          <w:noProof/>
        </w:rPr>
        <w:t>5</w:t>
      </w:r>
      <w:r>
        <w:rPr>
          <w:rFonts w:ascii="Arial" w:hAnsi="Arial" w:cs="Arial"/>
          <w:noProof/>
        </w:rPr>
        <w:t xml:space="preserve"> </w:t>
      </w:r>
      <w:r>
        <w:rPr>
          <w:rFonts w:ascii="Arial" w:hAnsi="Arial" w:cs="Arial"/>
          <w:noProof/>
        </w:rPr>
        <w:tab/>
      </w:r>
      <w:r w:rsidR="00175FCC">
        <w:rPr>
          <w:rFonts w:ascii="Arial" w:hAnsi="Arial" w:cs="Arial"/>
          <w:noProof/>
        </w:rPr>
        <w:t>In the US, t</w:t>
      </w:r>
      <w:r w:rsidR="001777BA" w:rsidRPr="001777BA">
        <w:rPr>
          <w:rFonts w:ascii="Arial" w:hAnsi="Arial" w:cs="Arial"/>
          <w:noProof/>
        </w:rPr>
        <w:t xml:space="preserve">he annual core consumer price inflation rate, which excludes volatile items such as food and energy, edged down to an over two-year low of 4% in October, from 4.1% in the prior month, while markets had expected it to remain steady at 4.1%. Meanwhile, headline consumer prices were unchanged in October, after rising 0.4% in September and compared with market expectations of a 0.1% increase. This left the annual rate at 3.2%, down from 3.7% previously and modestly below market expectations of a 3.3% reading. </w:t>
      </w:r>
    </w:p>
    <w:p w14:paraId="0F59C7D1" w14:textId="77777777" w:rsidR="001777BA" w:rsidRDefault="001777BA" w:rsidP="001777BA">
      <w:pPr>
        <w:spacing w:line="20" w:lineRule="atLeast"/>
        <w:ind w:left="709" w:hanging="709"/>
        <w:jc w:val="both"/>
        <w:rPr>
          <w:rFonts w:ascii="Arial" w:hAnsi="Arial" w:cs="Arial"/>
          <w:noProof/>
        </w:rPr>
      </w:pPr>
    </w:p>
    <w:p w14:paraId="70A5CE14" w14:textId="6E474EA5" w:rsidR="00FD585A" w:rsidRDefault="003662E7" w:rsidP="001777BA">
      <w:pPr>
        <w:spacing w:line="20" w:lineRule="atLeast"/>
        <w:ind w:left="709" w:hanging="709"/>
        <w:jc w:val="both"/>
        <w:rPr>
          <w:rFonts w:ascii="Arial" w:hAnsi="Arial" w:cs="Arial"/>
          <w:noProof/>
        </w:rPr>
      </w:pPr>
      <w:r w:rsidRPr="00BE0ADF">
        <w:rPr>
          <w:rFonts w:ascii="Arial" w:hAnsi="Arial" w:cs="Arial"/>
          <w:noProof/>
        </w:rPr>
        <w:t>8.</w:t>
      </w:r>
      <w:r w:rsidR="00630055">
        <w:rPr>
          <w:rFonts w:ascii="Arial" w:hAnsi="Arial" w:cs="Arial"/>
          <w:noProof/>
        </w:rPr>
        <w:t>6</w:t>
      </w:r>
      <w:r w:rsidR="00F50C2A" w:rsidRPr="00BE0ADF">
        <w:rPr>
          <w:rFonts w:ascii="Arial" w:hAnsi="Arial" w:cs="Arial"/>
          <w:noProof/>
        </w:rPr>
        <w:tab/>
      </w:r>
      <w:r w:rsidR="001777BA" w:rsidRPr="001777BA">
        <w:rPr>
          <w:rFonts w:ascii="Arial" w:hAnsi="Arial" w:cs="Arial"/>
          <w:noProof/>
        </w:rPr>
        <w:t>ECB's Guindos warned that consumer price growth may pick up again temporarily, though its prevailing direction is downwards. He also said that the Eurozone economy will stay subdued for now though it should then strengthen again, while there are signs that the labour market is starting to weaken. Elsewhere, ECB's Villeroy said the ECB's decision to halt interest rate increases at its October meeting is fully justified by a slowdown in inflation. However, Holzmann and Wunsch reminded markets that the need for further hikes should not be discounted, while Nagel also said that it is still unclear whether rates have peaked.</w:t>
      </w:r>
    </w:p>
    <w:p w14:paraId="40A10D12" w14:textId="77777777" w:rsidR="001777BA" w:rsidRDefault="001777BA" w:rsidP="001777BA">
      <w:pPr>
        <w:spacing w:line="20" w:lineRule="atLeast"/>
        <w:ind w:left="709" w:hanging="709"/>
        <w:jc w:val="both"/>
        <w:rPr>
          <w:rFonts w:ascii="Arial" w:hAnsi="Arial" w:cs="Arial"/>
          <w:noProof/>
        </w:rPr>
      </w:pPr>
    </w:p>
    <w:p w14:paraId="6B488DC6" w14:textId="76C28C89" w:rsidR="001777BA" w:rsidRDefault="001777BA" w:rsidP="001777BA">
      <w:pPr>
        <w:spacing w:line="20" w:lineRule="atLeast"/>
        <w:ind w:left="709" w:hanging="709"/>
        <w:jc w:val="both"/>
        <w:rPr>
          <w:rFonts w:ascii="Arial" w:hAnsi="Arial" w:cs="Arial"/>
          <w:noProof/>
        </w:rPr>
      </w:pPr>
      <w:r>
        <w:rPr>
          <w:rFonts w:ascii="Arial" w:hAnsi="Arial" w:cs="Arial"/>
          <w:noProof/>
        </w:rPr>
        <w:t>8.7</w:t>
      </w:r>
      <w:r>
        <w:rPr>
          <w:rFonts w:ascii="Arial" w:hAnsi="Arial" w:cs="Arial"/>
          <w:noProof/>
        </w:rPr>
        <w:tab/>
      </w:r>
      <w:r w:rsidRPr="001777BA">
        <w:rPr>
          <w:rFonts w:ascii="Arial" w:hAnsi="Arial" w:cs="Arial"/>
          <w:noProof/>
        </w:rPr>
        <w:t>Japanese growth weakened sharply in Q3, contracting 0.5% compared to an average gain of 1% per quarter across the first half of the year. The figure was someway below market expectations of a 0.1% decline. Meanwhile, Chinese activity data showed some modest resilience in the economy as Q4 kicked off. Retail sales bounced to 7.6% (year-on-year) but much of the "gain" reflected base effects as many cities went into lockdown during October of 2022. Also, the Chinese central bank kept its 1yr and 5yr Loan Prime Rates unchanged at today's fixings.</w:t>
      </w:r>
    </w:p>
    <w:p w14:paraId="40507534" w14:textId="23DFD8C4" w:rsidR="000D0D7A" w:rsidRDefault="000D0D7A" w:rsidP="00160533">
      <w:pPr>
        <w:ind w:left="709" w:hanging="709"/>
        <w:jc w:val="both"/>
        <w:rPr>
          <w:rFonts w:ascii="Arial" w:hAnsi="Arial" w:cs="Arial"/>
          <w:noProof/>
        </w:rPr>
      </w:pPr>
    </w:p>
    <w:p w14:paraId="27FCA7E1" w14:textId="77777777" w:rsidR="004B1EBC" w:rsidRPr="005271E4" w:rsidRDefault="004B1EBC" w:rsidP="008A5A08">
      <w:pPr>
        <w:pStyle w:val="BodyText"/>
        <w:ind w:left="720" w:hanging="720"/>
        <w:rPr>
          <w:rFonts w:ascii="Arial" w:hAnsi="Arial" w:cs="Arial"/>
        </w:rPr>
      </w:pPr>
    </w:p>
    <w:p w14:paraId="22C1214E" w14:textId="0A8B2580" w:rsidR="005271E4" w:rsidRPr="005271E4" w:rsidRDefault="005271E4" w:rsidP="005271E4">
      <w:pPr>
        <w:pStyle w:val="BodyText"/>
        <w:ind w:left="720" w:hanging="720"/>
        <w:rPr>
          <w:rFonts w:ascii="Arial" w:hAnsi="Arial" w:cs="Arial"/>
          <w:b/>
        </w:rPr>
      </w:pPr>
      <w:r w:rsidRPr="005271E4">
        <w:rPr>
          <w:rFonts w:ascii="Arial" w:hAnsi="Arial" w:cs="Arial"/>
          <w:b/>
        </w:rPr>
        <w:t>9.</w:t>
      </w:r>
      <w:r w:rsidRPr="005271E4">
        <w:rPr>
          <w:rFonts w:ascii="Arial" w:hAnsi="Arial" w:cs="Arial"/>
          <w:b/>
        </w:rPr>
        <w:tab/>
        <w:t>B</w:t>
      </w:r>
      <w:r>
        <w:rPr>
          <w:rFonts w:ascii="Arial" w:hAnsi="Arial" w:cs="Arial"/>
          <w:b/>
        </w:rPr>
        <w:t>ORROWING STRATEGY 202</w:t>
      </w:r>
      <w:r w:rsidR="000C60F5">
        <w:rPr>
          <w:rFonts w:ascii="Arial" w:hAnsi="Arial" w:cs="Arial"/>
          <w:b/>
        </w:rPr>
        <w:t>4</w:t>
      </w:r>
      <w:r>
        <w:rPr>
          <w:rFonts w:ascii="Arial" w:hAnsi="Arial" w:cs="Arial"/>
          <w:b/>
        </w:rPr>
        <w:t>/2</w:t>
      </w:r>
      <w:r w:rsidR="000C60F5">
        <w:rPr>
          <w:rFonts w:ascii="Arial" w:hAnsi="Arial" w:cs="Arial"/>
          <w:b/>
        </w:rPr>
        <w:t>5</w:t>
      </w:r>
      <w:r>
        <w:rPr>
          <w:rFonts w:ascii="Arial" w:hAnsi="Arial" w:cs="Arial"/>
          <w:b/>
        </w:rPr>
        <w:t xml:space="preserve"> – 202</w:t>
      </w:r>
      <w:r w:rsidR="000C60F5">
        <w:rPr>
          <w:rFonts w:ascii="Arial" w:hAnsi="Arial" w:cs="Arial"/>
          <w:b/>
        </w:rPr>
        <w:t>6</w:t>
      </w:r>
      <w:r w:rsidRPr="005271E4">
        <w:rPr>
          <w:rFonts w:ascii="Arial" w:hAnsi="Arial" w:cs="Arial"/>
          <w:b/>
        </w:rPr>
        <w:t>/2</w:t>
      </w:r>
      <w:r w:rsidR="000C60F5">
        <w:rPr>
          <w:rFonts w:ascii="Arial" w:hAnsi="Arial" w:cs="Arial"/>
          <w:b/>
        </w:rPr>
        <w:t>7</w:t>
      </w:r>
    </w:p>
    <w:p w14:paraId="66277A83" w14:textId="77777777" w:rsidR="005271E4" w:rsidRPr="005271E4" w:rsidRDefault="005271E4" w:rsidP="005271E4">
      <w:pPr>
        <w:pStyle w:val="BodyText"/>
        <w:ind w:left="720" w:hanging="720"/>
        <w:rPr>
          <w:rFonts w:ascii="Arial" w:hAnsi="Arial" w:cs="Arial"/>
          <w:b/>
        </w:rPr>
      </w:pPr>
    </w:p>
    <w:p w14:paraId="1393D0E1" w14:textId="5E002351" w:rsidR="005271E4" w:rsidRPr="005271E4" w:rsidRDefault="005271E4" w:rsidP="005271E4">
      <w:pPr>
        <w:pStyle w:val="BodyText"/>
        <w:ind w:left="720" w:hanging="720"/>
        <w:rPr>
          <w:rFonts w:ascii="Arial" w:hAnsi="Arial" w:cs="Arial"/>
        </w:rPr>
      </w:pPr>
      <w:r w:rsidRPr="005271E4">
        <w:rPr>
          <w:rFonts w:ascii="Arial" w:hAnsi="Arial" w:cs="Arial"/>
        </w:rPr>
        <w:t>9.1</w:t>
      </w:r>
      <w:r w:rsidRPr="005271E4">
        <w:rPr>
          <w:rFonts w:ascii="Arial" w:hAnsi="Arial" w:cs="Arial"/>
        </w:rPr>
        <w:tab/>
        <w:t xml:space="preserve">The uncertainty over future interest rates increases the risks associated with treasury activity.  Investment returns are likely to </w:t>
      </w:r>
      <w:r w:rsidR="00062052">
        <w:rPr>
          <w:rFonts w:ascii="Arial" w:hAnsi="Arial" w:cs="Arial"/>
        </w:rPr>
        <w:t>decrease slightly towards the latter part of 2024-25 due to the decreasing amount of capital to invest. A</w:t>
      </w:r>
      <w:r w:rsidR="00A6564D">
        <w:rPr>
          <w:rFonts w:ascii="Arial" w:hAnsi="Arial" w:cs="Arial"/>
        </w:rPr>
        <w:t>s a result</w:t>
      </w:r>
      <w:r w:rsidRPr="005271E4">
        <w:rPr>
          <w:rFonts w:ascii="Arial" w:hAnsi="Arial" w:cs="Arial"/>
        </w:rPr>
        <w:t>, the Commissioner will continue a cautious approach to treasury strategy.</w:t>
      </w:r>
    </w:p>
    <w:p w14:paraId="28C100AF" w14:textId="77777777" w:rsidR="005271E4" w:rsidRPr="005271E4" w:rsidRDefault="005271E4" w:rsidP="005271E4">
      <w:pPr>
        <w:pStyle w:val="BodyText"/>
        <w:ind w:left="720" w:hanging="720"/>
        <w:rPr>
          <w:rFonts w:ascii="Arial" w:hAnsi="Arial" w:cs="Arial"/>
        </w:rPr>
      </w:pPr>
    </w:p>
    <w:p w14:paraId="0F441537" w14:textId="77777777" w:rsidR="005271E4" w:rsidRPr="005271E4" w:rsidRDefault="005271E4" w:rsidP="005271E4">
      <w:pPr>
        <w:pStyle w:val="BodyText"/>
        <w:ind w:left="720" w:hanging="720"/>
        <w:rPr>
          <w:rFonts w:ascii="Arial" w:hAnsi="Arial" w:cs="Arial"/>
        </w:rPr>
      </w:pPr>
      <w:r w:rsidRPr="005271E4">
        <w:rPr>
          <w:rFonts w:ascii="Arial" w:hAnsi="Arial" w:cs="Arial"/>
        </w:rPr>
        <w:t>9.2</w:t>
      </w:r>
      <w:r w:rsidRPr="005271E4">
        <w:rPr>
          <w:rFonts w:ascii="Arial" w:hAnsi="Arial" w:cs="Arial"/>
        </w:rPr>
        <w:tab/>
        <w:t xml:space="preserve">The Chief Finance Officer (CFO) (Section 151 Officer), under delegated powers, will take the most appropriate form of borrowing depending on the prevailing interest rates at the time, taking into account the risks shown in </w:t>
      </w:r>
      <w:r w:rsidRPr="005271E4">
        <w:rPr>
          <w:rFonts w:ascii="Arial" w:hAnsi="Arial" w:cs="Arial"/>
        </w:rPr>
        <w:lastRenderedPageBreak/>
        <w:t>the forecast above.  It is likely that shorter term fixed rates may provide lower cost opportunities in the short/medium term.</w:t>
      </w:r>
    </w:p>
    <w:p w14:paraId="41EE9813" w14:textId="77777777" w:rsidR="005271E4" w:rsidRPr="005271E4" w:rsidRDefault="005271E4" w:rsidP="005271E4">
      <w:pPr>
        <w:pStyle w:val="BodyText"/>
        <w:ind w:left="720" w:hanging="720"/>
        <w:rPr>
          <w:rFonts w:ascii="Arial" w:hAnsi="Arial" w:cs="Arial"/>
        </w:rPr>
      </w:pPr>
    </w:p>
    <w:p w14:paraId="794CFA79" w14:textId="5986C576" w:rsidR="005271E4" w:rsidRPr="005271E4" w:rsidRDefault="005271E4" w:rsidP="0075526E">
      <w:pPr>
        <w:pStyle w:val="BodyText"/>
        <w:ind w:left="720" w:hanging="720"/>
        <w:rPr>
          <w:rFonts w:ascii="Arial" w:hAnsi="Arial" w:cs="Arial"/>
        </w:rPr>
      </w:pPr>
      <w:r w:rsidRPr="005271E4">
        <w:rPr>
          <w:rFonts w:ascii="Arial" w:hAnsi="Arial" w:cs="Arial"/>
        </w:rPr>
        <w:t>9.3</w:t>
      </w:r>
      <w:r w:rsidRPr="005271E4">
        <w:rPr>
          <w:rFonts w:ascii="Arial" w:hAnsi="Arial" w:cs="Arial"/>
        </w:rPr>
        <w:tab/>
        <w:t xml:space="preserve">The Commissioner is currently maintaining a neutral-borrowing position.  This means that the capital borrowing need (the CFR), has been fully </w:t>
      </w:r>
      <w:r>
        <w:rPr>
          <w:rFonts w:ascii="Arial" w:hAnsi="Arial" w:cs="Arial"/>
        </w:rPr>
        <w:t xml:space="preserve">matched with loan debt. </w:t>
      </w:r>
      <w:r w:rsidR="00A6564D">
        <w:rPr>
          <w:rFonts w:ascii="Arial" w:hAnsi="Arial" w:cs="Arial"/>
        </w:rPr>
        <w:t xml:space="preserve"> During</w:t>
      </w:r>
      <w:r>
        <w:rPr>
          <w:rFonts w:ascii="Arial" w:hAnsi="Arial" w:cs="Arial"/>
        </w:rPr>
        <w:t xml:space="preserve"> 202</w:t>
      </w:r>
      <w:r w:rsidR="00062052">
        <w:rPr>
          <w:rFonts w:ascii="Arial" w:hAnsi="Arial" w:cs="Arial"/>
        </w:rPr>
        <w:t>4</w:t>
      </w:r>
      <w:r>
        <w:rPr>
          <w:rFonts w:ascii="Arial" w:hAnsi="Arial" w:cs="Arial"/>
        </w:rPr>
        <w:t>/2</w:t>
      </w:r>
      <w:r w:rsidR="00062052">
        <w:rPr>
          <w:rFonts w:ascii="Arial" w:hAnsi="Arial" w:cs="Arial"/>
        </w:rPr>
        <w:t>5</w:t>
      </w:r>
      <w:r w:rsidRPr="005271E4">
        <w:rPr>
          <w:rFonts w:ascii="Arial" w:hAnsi="Arial" w:cs="Arial"/>
        </w:rPr>
        <w:t xml:space="preserve"> </w:t>
      </w:r>
      <w:r w:rsidR="0075526E">
        <w:rPr>
          <w:rFonts w:ascii="Arial" w:hAnsi="Arial" w:cs="Arial"/>
        </w:rPr>
        <w:t>it</w:t>
      </w:r>
      <w:r>
        <w:rPr>
          <w:rFonts w:ascii="Arial" w:hAnsi="Arial" w:cs="Arial"/>
        </w:rPr>
        <w:t xml:space="preserve"> is </w:t>
      </w:r>
      <w:r w:rsidR="0075526E">
        <w:rPr>
          <w:rFonts w:ascii="Arial" w:hAnsi="Arial" w:cs="Arial"/>
        </w:rPr>
        <w:t xml:space="preserve">predicted there will be </w:t>
      </w:r>
      <w:r w:rsidR="00A6564D">
        <w:rPr>
          <w:rFonts w:ascii="Arial" w:hAnsi="Arial" w:cs="Arial"/>
        </w:rPr>
        <w:t xml:space="preserve">debt </w:t>
      </w:r>
      <w:r w:rsidR="0075526E">
        <w:rPr>
          <w:rFonts w:ascii="Arial" w:hAnsi="Arial" w:cs="Arial"/>
        </w:rPr>
        <w:t xml:space="preserve">as the CFR exceeds the internal resources utilised funding the </w:t>
      </w:r>
      <w:r w:rsidRPr="005271E4">
        <w:rPr>
          <w:rFonts w:ascii="Arial" w:hAnsi="Arial" w:cs="Arial"/>
        </w:rPr>
        <w:t xml:space="preserve">Capital Programme. </w:t>
      </w:r>
      <w:r w:rsidR="00A6564D">
        <w:rPr>
          <w:rFonts w:ascii="Arial" w:hAnsi="Arial" w:cs="Arial"/>
        </w:rPr>
        <w:t xml:space="preserve"> </w:t>
      </w:r>
    </w:p>
    <w:p w14:paraId="1931F18A" w14:textId="77777777" w:rsidR="005271E4" w:rsidRPr="005271E4" w:rsidRDefault="005271E4" w:rsidP="005271E4">
      <w:pPr>
        <w:pStyle w:val="BodyText"/>
        <w:ind w:left="720" w:hanging="720"/>
        <w:rPr>
          <w:rFonts w:ascii="Arial" w:hAnsi="Arial" w:cs="Arial"/>
        </w:rPr>
      </w:pPr>
    </w:p>
    <w:p w14:paraId="2C0BFF18" w14:textId="77777777" w:rsidR="005271E4" w:rsidRPr="005271E4" w:rsidRDefault="005271E4" w:rsidP="005271E4">
      <w:pPr>
        <w:pStyle w:val="BodyText"/>
        <w:ind w:left="720" w:hanging="720"/>
        <w:rPr>
          <w:rFonts w:ascii="Arial" w:hAnsi="Arial" w:cs="Arial"/>
        </w:rPr>
      </w:pPr>
      <w:r w:rsidRPr="005271E4">
        <w:rPr>
          <w:rFonts w:ascii="Arial" w:hAnsi="Arial" w:cs="Arial"/>
        </w:rPr>
        <w:t>9.</w:t>
      </w:r>
      <w:r w:rsidR="008403E6">
        <w:rPr>
          <w:rFonts w:ascii="Arial" w:hAnsi="Arial" w:cs="Arial"/>
        </w:rPr>
        <w:t>4</w:t>
      </w:r>
      <w:r w:rsidRPr="005271E4">
        <w:rPr>
          <w:rFonts w:ascii="Arial" w:hAnsi="Arial" w:cs="Arial"/>
        </w:rPr>
        <w:t xml:space="preserve">   </w:t>
      </w:r>
      <w:r w:rsidRPr="005271E4">
        <w:rPr>
          <w:rFonts w:ascii="Arial" w:hAnsi="Arial" w:cs="Arial"/>
        </w:rPr>
        <w:tab/>
        <w:t xml:space="preserve">External debt will only be sought once the committed funds earmarked for capital expenditure have been utilised. </w:t>
      </w:r>
      <w:r w:rsidR="0089516F">
        <w:rPr>
          <w:rFonts w:ascii="Arial" w:hAnsi="Arial" w:cs="Arial"/>
        </w:rPr>
        <w:t xml:space="preserve"> </w:t>
      </w:r>
      <w:r w:rsidR="000B7A3F">
        <w:rPr>
          <w:rFonts w:ascii="Arial" w:hAnsi="Arial" w:cs="Arial"/>
        </w:rPr>
        <w:t>In future years, t</w:t>
      </w:r>
      <w:r w:rsidRPr="005271E4">
        <w:rPr>
          <w:rFonts w:ascii="Arial" w:hAnsi="Arial" w:cs="Arial"/>
        </w:rPr>
        <w:t>he over-borrowing position is a direct impact of the MRP charge reducing the CFR.</w:t>
      </w:r>
    </w:p>
    <w:p w14:paraId="1143114F" w14:textId="2700CB8F" w:rsidR="000B7A3F" w:rsidRDefault="000B7A3F" w:rsidP="005271E4">
      <w:pPr>
        <w:pStyle w:val="BodyText"/>
        <w:ind w:left="720" w:hanging="720"/>
        <w:rPr>
          <w:rFonts w:ascii="Arial" w:hAnsi="Arial" w:cs="Arial"/>
          <w:b/>
        </w:rPr>
      </w:pPr>
    </w:p>
    <w:p w14:paraId="54FBB141" w14:textId="3D168A6B" w:rsidR="005271E4" w:rsidRPr="005271E4" w:rsidRDefault="005271E4" w:rsidP="005271E4">
      <w:pPr>
        <w:pStyle w:val="BodyText"/>
        <w:ind w:left="720" w:hanging="720"/>
        <w:rPr>
          <w:rFonts w:ascii="Arial" w:hAnsi="Arial" w:cs="Arial"/>
          <w:b/>
        </w:rPr>
      </w:pPr>
      <w:r>
        <w:rPr>
          <w:rFonts w:ascii="Arial" w:hAnsi="Arial" w:cs="Arial"/>
          <w:b/>
        </w:rPr>
        <w:t>10.</w:t>
      </w:r>
      <w:r>
        <w:rPr>
          <w:rFonts w:ascii="Arial" w:hAnsi="Arial" w:cs="Arial"/>
          <w:b/>
        </w:rPr>
        <w:tab/>
        <w:t>INVESTMENT STRATEGY 202</w:t>
      </w:r>
      <w:r w:rsidR="00062052">
        <w:rPr>
          <w:rFonts w:ascii="Arial" w:hAnsi="Arial" w:cs="Arial"/>
          <w:b/>
        </w:rPr>
        <w:t>4</w:t>
      </w:r>
      <w:r>
        <w:rPr>
          <w:rFonts w:ascii="Arial" w:hAnsi="Arial" w:cs="Arial"/>
          <w:b/>
        </w:rPr>
        <w:t>/2</w:t>
      </w:r>
      <w:r w:rsidR="00062052">
        <w:rPr>
          <w:rFonts w:ascii="Arial" w:hAnsi="Arial" w:cs="Arial"/>
          <w:b/>
        </w:rPr>
        <w:t>5</w:t>
      </w:r>
      <w:r w:rsidRPr="005271E4">
        <w:rPr>
          <w:rFonts w:ascii="Arial" w:hAnsi="Arial" w:cs="Arial"/>
          <w:b/>
        </w:rPr>
        <w:t xml:space="preserve"> – 202</w:t>
      </w:r>
      <w:r w:rsidR="00062052">
        <w:rPr>
          <w:rFonts w:ascii="Arial" w:hAnsi="Arial" w:cs="Arial"/>
          <w:b/>
        </w:rPr>
        <w:t>6</w:t>
      </w:r>
      <w:r w:rsidRPr="005271E4">
        <w:rPr>
          <w:rFonts w:ascii="Arial" w:hAnsi="Arial" w:cs="Arial"/>
          <w:b/>
        </w:rPr>
        <w:t>/2</w:t>
      </w:r>
      <w:r w:rsidR="00062052">
        <w:rPr>
          <w:rFonts w:ascii="Arial" w:hAnsi="Arial" w:cs="Arial"/>
          <w:b/>
        </w:rPr>
        <w:t>7</w:t>
      </w:r>
    </w:p>
    <w:p w14:paraId="56CBF53C" w14:textId="77777777" w:rsidR="005271E4" w:rsidRDefault="005271E4" w:rsidP="008A5A08">
      <w:pPr>
        <w:pStyle w:val="BodyText"/>
        <w:ind w:left="720" w:hanging="720"/>
        <w:rPr>
          <w:rFonts w:ascii="Arial" w:hAnsi="Arial" w:cs="Arial"/>
          <w:b/>
        </w:rPr>
      </w:pPr>
    </w:p>
    <w:p w14:paraId="5A2933C4" w14:textId="0F3B5936" w:rsidR="00647904" w:rsidRDefault="005271E4" w:rsidP="008A5A08">
      <w:pPr>
        <w:pStyle w:val="BodyText"/>
        <w:ind w:left="720" w:hanging="720"/>
        <w:rPr>
          <w:rFonts w:ascii="Arial" w:hAnsi="Arial" w:cs="Arial"/>
        </w:rPr>
      </w:pPr>
      <w:r w:rsidRPr="00CA414B">
        <w:rPr>
          <w:rFonts w:ascii="Arial" w:hAnsi="Arial" w:cs="Arial"/>
        </w:rPr>
        <w:t>10.1</w:t>
      </w:r>
      <w:r w:rsidRPr="005271E4">
        <w:rPr>
          <w:rFonts w:ascii="Arial" w:hAnsi="Arial" w:cs="Arial"/>
          <w:b/>
        </w:rPr>
        <w:tab/>
        <w:t xml:space="preserve">Key Objectives </w:t>
      </w:r>
      <w:r w:rsidR="00B5405A" w:rsidRPr="005C2F9C">
        <w:rPr>
          <w:rFonts w:ascii="Arial" w:hAnsi="Arial" w:cs="Arial"/>
        </w:rPr>
        <w:t>–</w:t>
      </w:r>
      <w:r w:rsidRPr="005271E4">
        <w:rPr>
          <w:rFonts w:ascii="Arial" w:hAnsi="Arial" w:cs="Arial"/>
          <w:b/>
        </w:rPr>
        <w:t xml:space="preserve"> </w:t>
      </w:r>
      <w:r w:rsidRPr="005271E4">
        <w:rPr>
          <w:rFonts w:ascii="Arial" w:hAnsi="Arial" w:cs="Arial"/>
        </w:rPr>
        <w:t xml:space="preserve">The Commissioner’s primary investment strategy objectives are, firstly, safeguarding the re-payment of the principal and interest of his investments on time and, secondly, ensuring adequate liquidity.  The investment return is an important third objective, but not as important as the first two objectives.  Following the economic background outlined above, the current investment climate has one over-riding risk </w:t>
      </w:r>
      <w:proofErr w:type="gramStart"/>
      <w:r w:rsidRPr="005271E4">
        <w:rPr>
          <w:rFonts w:ascii="Arial" w:hAnsi="Arial" w:cs="Arial"/>
        </w:rPr>
        <w:t>consideration;</w:t>
      </w:r>
      <w:proofErr w:type="gramEnd"/>
      <w:r w:rsidRPr="005271E4">
        <w:rPr>
          <w:rFonts w:ascii="Arial" w:hAnsi="Arial" w:cs="Arial"/>
        </w:rPr>
        <w:t xml:space="preserve"> that of counterparty security risk.</w:t>
      </w:r>
      <w:r w:rsidR="00C067E9">
        <w:rPr>
          <w:rFonts w:ascii="Arial" w:hAnsi="Arial" w:cs="Arial"/>
        </w:rPr>
        <w:t xml:space="preserve"> </w:t>
      </w:r>
      <w:r w:rsidR="00647904">
        <w:rPr>
          <w:rFonts w:ascii="Arial" w:hAnsi="Arial" w:cs="Arial"/>
        </w:rPr>
        <w:t xml:space="preserve">The changes to the </w:t>
      </w:r>
      <w:r w:rsidR="00C44392">
        <w:rPr>
          <w:rFonts w:ascii="Arial" w:hAnsi="Arial" w:cs="Arial"/>
        </w:rPr>
        <w:t xml:space="preserve">CIFPA Treasury Management </w:t>
      </w:r>
      <w:r w:rsidR="0006348D">
        <w:rPr>
          <w:rFonts w:ascii="Arial" w:hAnsi="Arial" w:cs="Arial"/>
        </w:rPr>
        <w:t xml:space="preserve">(TM) </w:t>
      </w:r>
      <w:r w:rsidR="00C44392">
        <w:rPr>
          <w:rFonts w:ascii="Arial" w:hAnsi="Arial" w:cs="Arial"/>
        </w:rPr>
        <w:t>Code 2021</w:t>
      </w:r>
      <w:r w:rsidR="00647904">
        <w:rPr>
          <w:rFonts w:ascii="Arial" w:hAnsi="Arial" w:cs="Arial"/>
        </w:rPr>
        <w:t xml:space="preserve"> </w:t>
      </w:r>
      <w:proofErr w:type="gramStart"/>
      <w:r w:rsidR="00647904">
        <w:rPr>
          <w:rFonts w:ascii="Arial" w:hAnsi="Arial" w:cs="Arial"/>
        </w:rPr>
        <w:t>has</w:t>
      </w:r>
      <w:proofErr w:type="gramEnd"/>
      <w:r w:rsidR="00647904">
        <w:rPr>
          <w:rFonts w:ascii="Arial" w:hAnsi="Arial" w:cs="Arial"/>
        </w:rPr>
        <w:t xml:space="preserve"> incorporated</w:t>
      </w:r>
      <w:r w:rsidR="00C44392">
        <w:rPr>
          <w:rFonts w:ascii="Arial" w:hAnsi="Arial" w:cs="Arial"/>
        </w:rPr>
        <w:t xml:space="preserve"> </w:t>
      </w:r>
      <w:r w:rsidR="00C44392" w:rsidRPr="00C44392">
        <w:rPr>
          <w:rFonts w:ascii="Arial" w:hAnsi="Arial" w:cs="Arial"/>
        </w:rPr>
        <w:t xml:space="preserve">environmental, social and governance (ESG) </w:t>
      </w:r>
      <w:r w:rsidR="00C44392">
        <w:rPr>
          <w:rFonts w:ascii="Arial" w:hAnsi="Arial" w:cs="Arial"/>
        </w:rPr>
        <w:t xml:space="preserve">factors </w:t>
      </w:r>
      <w:r w:rsidR="00647904">
        <w:rPr>
          <w:rFonts w:ascii="Arial" w:hAnsi="Arial" w:cs="Arial"/>
        </w:rPr>
        <w:t>into Treasury Management Practice 1 as follows:</w:t>
      </w:r>
    </w:p>
    <w:p w14:paraId="3DE206EC" w14:textId="77777777" w:rsidR="00647904" w:rsidRDefault="00647904" w:rsidP="00647904">
      <w:pPr>
        <w:pStyle w:val="BodyText"/>
        <w:ind w:left="709"/>
        <w:rPr>
          <w:rFonts w:ascii="Arial" w:hAnsi="Arial" w:cs="Arial"/>
        </w:rPr>
      </w:pPr>
    </w:p>
    <w:p w14:paraId="61AD57AA" w14:textId="290A62F4" w:rsidR="00666026" w:rsidRDefault="00647904" w:rsidP="00647904">
      <w:pPr>
        <w:pStyle w:val="BodyText"/>
        <w:ind w:left="780" w:firstLine="660"/>
        <w:rPr>
          <w:rFonts w:ascii="Arial" w:hAnsi="Arial" w:cs="Arial"/>
        </w:rPr>
      </w:pPr>
      <w:r>
        <w:rPr>
          <w:rFonts w:ascii="Arial" w:hAnsi="Arial" w:cs="Arial"/>
        </w:rPr>
        <w:t>“The organisation’s credit and counterparty policies should set out its policy and practices relating to ESG considerations. This is a developing area, and it is not implied that the organisation’s ESG policy will currently include</w:t>
      </w:r>
      <w:r w:rsidR="00666026">
        <w:rPr>
          <w:rFonts w:ascii="Arial" w:hAnsi="Arial" w:cs="Arial"/>
        </w:rPr>
        <w:t xml:space="preserve"> ESG scoring or other real-time ESG criteria at individual investment leve</w:t>
      </w:r>
      <w:r w:rsidR="00F95455">
        <w:rPr>
          <w:rFonts w:ascii="Arial" w:hAnsi="Arial" w:cs="Arial"/>
        </w:rPr>
        <w:t>l</w:t>
      </w:r>
      <w:r w:rsidR="00666026">
        <w:rPr>
          <w:rFonts w:ascii="Arial" w:hAnsi="Arial" w:cs="Arial"/>
        </w:rPr>
        <w:t>.”</w:t>
      </w:r>
    </w:p>
    <w:p w14:paraId="0E82F20D" w14:textId="77777777" w:rsidR="00F95455" w:rsidRDefault="00F95455" w:rsidP="00647904">
      <w:pPr>
        <w:pStyle w:val="BodyText"/>
        <w:ind w:left="780" w:firstLine="660"/>
        <w:rPr>
          <w:rFonts w:ascii="Arial" w:hAnsi="Arial" w:cs="Arial"/>
        </w:rPr>
      </w:pPr>
    </w:p>
    <w:p w14:paraId="698BEAD7" w14:textId="1D68BAB9" w:rsidR="005271E4" w:rsidRDefault="0006348D" w:rsidP="00F1623F">
      <w:pPr>
        <w:pStyle w:val="BodyText"/>
        <w:ind w:left="780"/>
        <w:rPr>
          <w:rFonts w:ascii="Arial" w:hAnsi="Arial" w:cs="Arial"/>
        </w:rPr>
      </w:pPr>
      <w:r>
        <w:rPr>
          <w:rFonts w:ascii="Arial" w:hAnsi="Arial" w:cs="Arial"/>
        </w:rPr>
        <w:t>To satisfy the TM Code 2021 recommendation</w:t>
      </w:r>
      <w:r w:rsidR="00C44392">
        <w:rPr>
          <w:rFonts w:ascii="Arial" w:hAnsi="Arial" w:cs="Arial"/>
        </w:rPr>
        <w:t xml:space="preserve"> </w:t>
      </w:r>
      <w:r>
        <w:rPr>
          <w:rFonts w:ascii="Arial" w:hAnsi="Arial" w:cs="Arial"/>
        </w:rPr>
        <w:t>t</w:t>
      </w:r>
      <w:r w:rsidR="00C067E9">
        <w:rPr>
          <w:rFonts w:ascii="Arial" w:hAnsi="Arial" w:cs="Arial"/>
        </w:rPr>
        <w:t>he Police and Crime Commissioner will consider</w:t>
      </w:r>
      <w:r w:rsidR="00951D1E">
        <w:rPr>
          <w:rFonts w:ascii="Arial" w:hAnsi="Arial" w:cs="Arial"/>
        </w:rPr>
        <w:t xml:space="preserve"> environmental, social and governance (ESG) issues</w:t>
      </w:r>
      <w:r w:rsidR="00F95455">
        <w:rPr>
          <w:rFonts w:ascii="Arial" w:hAnsi="Arial" w:cs="Arial"/>
        </w:rPr>
        <w:t xml:space="preserve"> in its </w:t>
      </w:r>
      <w:r w:rsidR="00F1623F">
        <w:rPr>
          <w:rFonts w:ascii="Arial" w:hAnsi="Arial" w:cs="Arial"/>
        </w:rPr>
        <w:t>treasury management</w:t>
      </w:r>
      <w:r w:rsidR="00F95455">
        <w:rPr>
          <w:rFonts w:ascii="Arial" w:hAnsi="Arial" w:cs="Arial"/>
        </w:rPr>
        <w:t xml:space="preserve"> policies </w:t>
      </w:r>
      <w:r w:rsidR="00951D1E">
        <w:rPr>
          <w:rFonts w:ascii="Arial" w:hAnsi="Arial" w:cs="Arial"/>
        </w:rPr>
        <w:t xml:space="preserve"> when</w:t>
      </w:r>
      <w:r w:rsidR="00F95455">
        <w:rPr>
          <w:rFonts w:ascii="Arial" w:hAnsi="Arial" w:cs="Arial"/>
        </w:rPr>
        <w:t xml:space="preserve"> </w:t>
      </w:r>
      <w:r w:rsidR="00951D1E">
        <w:rPr>
          <w:rFonts w:ascii="Arial" w:hAnsi="Arial" w:cs="Arial"/>
        </w:rPr>
        <w:t xml:space="preserve"> investing</w:t>
      </w:r>
      <w:r w:rsidR="00F95455">
        <w:rPr>
          <w:rFonts w:ascii="Arial" w:hAnsi="Arial" w:cs="Arial"/>
        </w:rPr>
        <w:t xml:space="preserve">. ESG scoring </w:t>
      </w:r>
      <w:r w:rsidR="00F1623F">
        <w:rPr>
          <w:rFonts w:ascii="Arial" w:hAnsi="Arial" w:cs="Arial"/>
        </w:rPr>
        <w:t xml:space="preserve">or other real-time ESG criteria will not be included until </w:t>
      </w:r>
      <w:proofErr w:type="spellStart"/>
      <w:r w:rsidR="00F1623F">
        <w:rPr>
          <w:rFonts w:ascii="Arial" w:hAnsi="Arial" w:cs="Arial"/>
        </w:rPr>
        <w:t>forther</w:t>
      </w:r>
      <w:proofErr w:type="spellEnd"/>
      <w:r w:rsidR="00F1623F">
        <w:rPr>
          <w:rFonts w:ascii="Arial" w:hAnsi="Arial" w:cs="Arial"/>
        </w:rPr>
        <w:t xml:space="preserve"> clarification is </w:t>
      </w:r>
      <w:proofErr w:type="spellStart"/>
      <w:r w:rsidR="00F1623F">
        <w:rPr>
          <w:rFonts w:ascii="Arial" w:hAnsi="Arial" w:cs="Arial"/>
        </w:rPr>
        <w:t>rovided</w:t>
      </w:r>
      <w:proofErr w:type="spellEnd"/>
      <w:r w:rsidR="00F1623F">
        <w:rPr>
          <w:rFonts w:ascii="Arial" w:hAnsi="Arial" w:cs="Arial"/>
        </w:rPr>
        <w:t xml:space="preserve"> by CIPFA</w:t>
      </w:r>
      <w:r w:rsidR="00F95455">
        <w:rPr>
          <w:rFonts w:ascii="Arial" w:hAnsi="Arial" w:cs="Arial"/>
        </w:rPr>
        <w:t xml:space="preserve"> </w:t>
      </w:r>
      <w:r w:rsidR="00951D1E">
        <w:rPr>
          <w:rFonts w:ascii="Arial" w:hAnsi="Arial" w:cs="Arial"/>
        </w:rPr>
        <w:t>.</w:t>
      </w:r>
    </w:p>
    <w:p w14:paraId="37BD3776" w14:textId="77777777" w:rsidR="005271E4" w:rsidRDefault="005271E4" w:rsidP="008A5A08">
      <w:pPr>
        <w:pStyle w:val="BodyText"/>
        <w:ind w:left="720" w:hanging="720"/>
        <w:rPr>
          <w:rFonts w:ascii="Arial" w:hAnsi="Arial" w:cs="Arial"/>
          <w:b/>
        </w:rPr>
      </w:pPr>
    </w:p>
    <w:p w14:paraId="71057F48" w14:textId="77777777" w:rsidR="00AD7E66" w:rsidRDefault="00862B7D" w:rsidP="00615280">
      <w:pPr>
        <w:pStyle w:val="BodyText"/>
        <w:ind w:left="720" w:hanging="720"/>
        <w:rPr>
          <w:rFonts w:ascii="Arial" w:hAnsi="Arial" w:cs="Arial"/>
        </w:rPr>
      </w:pPr>
      <w:r w:rsidRPr="00615280">
        <w:rPr>
          <w:rFonts w:ascii="Arial" w:hAnsi="Arial" w:cs="Arial"/>
        </w:rPr>
        <w:t>10</w:t>
      </w:r>
      <w:r w:rsidR="00ED0232" w:rsidRPr="00615280">
        <w:rPr>
          <w:rFonts w:ascii="Arial" w:hAnsi="Arial" w:cs="Arial"/>
        </w:rPr>
        <w:t>.2</w:t>
      </w:r>
      <w:r w:rsidR="00ED0232">
        <w:rPr>
          <w:rFonts w:ascii="Arial" w:hAnsi="Arial" w:cs="Arial"/>
          <w:b/>
        </w:rPr>
        <w:tab/>
      </w:r>
      <w:r w:rsidR="00DA0C09" w:rsidRPr="005C2F9C">
        <w:rPr>
          <w:rFonts w:ascii="Arial" w:hAnsi="Arial" w:cs="Arial"/>
          <w:b/>
        </w:rPr>
        <w:t>Risk Benchmarking</w:t>
      </w:r>
      <w:r w:rsidR="00DA0C09" w:rsidRPr="005C2F9C">
        <w:rPr>
          <w:rFonts w:ascii="Arial" w:hAnsi="Arial" w:cs="Arial"/>
        </w:rPr>
        <w:t xml:space="preserve"> – A development in the revised </w:t>
      </w:r>
      <w:r w:rsidR="006B515B">
        <w:rPr>
          <w:rFonts w:ascii="Arial" w:hAnsi="Arial" w:cs="Arial"/>
        </w:rPr>
        <w:t xml:space="preserve">2011 </w:t>
      </w:r>
      <w:r w:rsidR="00DA0C09" w:rsidRPr="005C2F9C">
        <w:rPr>
          <w:rFonts w:ascii="Arial" w:hAnsi="Arial" w:cs="Arial"/>
        </w:rPr>
        <w:t xml:space="preserve">Codes </w:t>
      </w:r>
      <w:r w:rsidR="005C2F9C" w:rsidRPr="005C2F9C">
        <w:rPr>
          <w:rFonts w:ascii="Arial" w:hAnsi="Arial" w:cs="Arial"/>
        </w:rPr>
        <w:t>and the W</w:t>
      </w:r>
      <w:r w:rsidR="00536FC7">
        <w:rPr>
          <w:rFonts w:ascii="Arial" w:hAnsi="Arial" w:cs="Arial"/>
        </w:rPr>
        <w:t xml:space="preserve">elsh </w:t>
      </w:r>
      <w:r w:rsidR="005C2F9C" w:rsidRPr="005C2F9C">
        <w:rPr>
          <w:rFonts w:ascii="Arial" w:hAnsi="Arial" w:cs="Arial"/>
        </w:rPr>
        <w:t>G</w:t>
      </w:r>
      <w:r w:rsidR="00536FC7">
        <w:rPr>
          <w:rFonts w:ascii="Arial" w:hAnsi="Arial" w:cs="Arial"/>
        </w:rPr>
        <w:t>overnment</w:t>
      </w:r>
      <w:r w:rsidR="005C2F9C" w:rsidRPr="005C2F9C">
        <w:rPr>
          <w:rFonts w:ascii="Arial" w:hAnsi="Arial" w:cs="Arial"/>
        </w:rPr>
        <w:t xml:space="preserve"> Investment Guidance </w:t>
      </w:r>
      <w:r w:rsidR="00DA0C09" w:rsidRPr="005C2F9C">
        <w:rPr>
          <w:rFonts w:ascii="Arial" w:hAnsi="Arial" w:cs="Arial"/>
        </w:rPr>
        <w:t xml:space="preserve">is the consideration and approval of security and liquidity benchmarks.  Yield benchmarks are currently widely used to assess investment performance.  Discrete security and liquidity benchmarks are new requirements </w:t>
      </w:r>
      <w:r w:rsidR="00E72629" w:rsidRPr="005C2F9C">
        <w:rPr>
          <w:rFonts w:ascii="Arial" w:hAnsi="Arial" w:cs="Arial"/>
        </w:rPr>
        <w:t>in the revised Code</w:t>
      </w:r>
      <w:r w:rsidR="00DA0C09" w:rsidRPr="005C2F9C">
        <w:rPr>
          <w:rFonts w:ascii="Arial" w:hAnsi="Arial" w:cs="Arial"/>
        </w:rPr>
        <w:t>, although the application of these</w:t>
      </w:r>
      <w:r w:rsidR="00E66483">
        <w:rPr>
          <w:rFonts w:ascii="Arial" w:hAnsi="Arial" w:cs="Arial"/>
        </w:rPr>
        <w:t xml:space="preserve"> is more subjective in nature.</w:t>
      </w:r>
    </w:p>
    <w:p w14:paraId="7AF0F00D" w14:textId="77777777" w:rsidR="00DA0C09" w:rsidRPr="005C2F9C" w:rsidRDefault="00E66483" w:rsidP="00615280">
      <w:pPr>
        <w:pStyle w:val="BodyText"/>
        <w:ind w:left="720" w:hanging="720"/>
        <w:rPr>
          <w:rFonts w:ascii="Arial" w:hAnsi="Arial" w:cs="Arial"/>
          <w:highlight w:val="yellow"/>
        </w:rPr>
      </w:pPr>
      <w:r>
        <w:rPr>
          <w:rFonts w:ascii="Arial" w:hAnsi="Arial" w:cs="Arial"/>
        </w:rPr>
        <w:t xml:space="preserve"> </w:t>
      </w:r>
    </w:p>
    <w:p w14:paraId="08362F84" w14:textId="77777777" w:rsidR="00AD7E66" w:rsidRDefault="00DA0C09" w:rsidP="00924212">
      <w:pPr>
        <w:pStyle w:val="BodyText"/>
        <w:numPr>
          <w:ilvl w:val="1"/>
          <w:numId w:val="12"/>
        </w:numPr>
        <w:ind w:left="709" w:hanging="709"/>
        <w:rPr>
          <w:rFonts w:ascii="Arial" w:hAnsi="Arial" w:cs="Arial"/>
        </w:rPr>
      </w:pPr>
      <w:r w:rsidRPr="00AD7E66">
        <w:rPr>
          <w:rFonts w:ascii="Arial" w:hAnsi="Arial" w:cs="Arial"/>
        </w:rPr>
        <w:t xml:space="preserve">These benchmarks are simple </w:t>
      </w:r>
      <w:r w:rsidR="005C2F9C" w:rsidRPr="00576BD4">
        <w:rPr>
          <w:rFonts w:ascii="Arial" w:hAnsi="Arial" w:cs="Arial"/>
        </w:rPr>
        <w:t>guides</w:t>
      </w:r>
      <w:r w:rsidRPr="00AA7297">
        <w:rPr>
          <w:rFonts w:ascii="Arial" w:hAnsi="Arial" w:cs="Arial"/>
        </w:rPr>
        <w:t xml:space="preserve"> (not limits) and so may be breached from time to time, depending on movements in interest rates and counterparty criteria.  The purpose of the benchmark is that officers will monitor the current and trend position and amend the operational strat</w:t>
      </w:r>
      <w:r w:rsidRPr="00AF67C4">
        <w:rPr>
          <w:rFonts w:ascii="Arial" w:hAnsi="Arial" w:cs="Arial"/>
        </w:rPr>
        <w:t xml:space="preserve">egy </w:t>
      </w:r>
      <w:r w:rsidR="005C2F9C" w:rsidRPr="00AF67C4">
        <w:rPr>
          <w:rFonts w:ascii="Arial" w:hAnsi="Arial" w:cs="Arial"/>
        </w:rPr>
        <w:t>to manage risk as conditions change</w:t>
      </w:r>
      <w:r w:rsidRPr="00AF67C4">
        <w:rPr>
          <w:rFonts w:ascii="Arial" w:hAnsi="Arial" w:cs="Arial"/>
        </w:rPr>
        <w:t>.  Any breach of the benchmarks will be reported, with supporting reasons in the Mid-Year or Annual Report.</w:t>
      </w:r>
    </w:p>
    <w:p w14:paraId="21C99A1F" w14:textId="77777777" w:rsidR="00AD7E66" w:rsidRPr="00576BD4" w:rsidRDefault="00AD7E66" w:rsidP="00615280">
      <w:pPr>
        <w:pStyle w:val="BodyText"/>
        <w:rPr>
          <w:rFonts w:ascii="Arial" w:hAnsi="Arial" w:cs="Arial"/>
        </w:rPr>
      </w:pPr>
    </w:p>
    <w:p w14:paraId="4E2A4F75" w14:textId="12BC99A4" w:rsidR="00DA0C09" w:rsidRPr="00862B7D" w:rsidRDefault="00AD7E66" w:rsidP="00924212">
      <w:pPr>
        <w:pStyle w:val="BodyText"/>
        <w:numPr>
          <w:ilvl w:val="1"/>
          <w:numId w:val="12"/>
        </w:numPr>
        <w:ind w:left="709" w:hanging="709"/>
        <w:rPr>
          <w:rFonts w:ascii="Arial" w:hAnsi="Arial" w:cs="Arial"/>
        </w:rPr>
      </w:pPr>
      <w:r w:rsidRPr="00750515">
        <w:rPr>
          <w:rFonts w:ascii="Arial" w:hAnsi="Arial" w:cs="Arial"/>
          <w:b/>
        </w:rPr>
        <w:t>S</w:t>
      </w:r>
      <w:r w:rsidR="00DA0C09" w:rsidRPr="00750515">
        <w:rPr>
          <w:rFonts w:ascii="Arial" w:hAnsi="Arial" w:cs="Arial"/>
          <w:b/>
        </w:rPr>
        <w:t>ecurity</w:t>
      </w:r>
      <w:r w:rsidR="00DA0C09" w:rsidRPr="00862B7D">
        <w:rPr>
          <w:rFonts w:ascii="Arial" w:hAnsi="Arial" w:cs="Arial"/>
        </w:rPr>
        <w:t xml:space="preserve"> </w:t>
      </w:r>
      <w:r w:rsidR="00B5405A" w:rsidRPr="005C2F9C">
        <w:rPr>
          <w:rFonts w:ascii="Arial" w:hAnsi="Arial" w:cs="Arial"/>
        </w:rPr>
        <w:t>–</w:t>
      </w:r>
      <w:r w:rsidR="00DA0C09" w:rsidRPr="00862B7D">
        <w:rPr>
          <w:rFonts w:ascii="Arial" w:hAnsi="Arial" w:cs="Arial"/>
        </w:rPr>
        <w:t xml:space="preserve"> The </w:t>
      </w:r>
      <w:r>
        <w:rPr>
          <w:rFonts w:ascii="Arial" w:hAnsi="Arial" w:cs="Arial"/>
        </w:rPr>
        <w:t xml:space="preserve">Commissioner’s </w:t>
      </w:r>
      <w:r w:rsidR="00DA0C09" w:rsidRPr="00862B7D">
        <w:rPr>
          <w:rFonts w:ascii="Arial" w:hAnsi="Arial" w:cs="Arial"/>
        </w:rPr>
        <w:t>maximum security risk benchmark for the current portfolio, when compared to these historic default tables, is:</w:t>
      </w:r>
    </w:p>
    <w:p w14:paraId="48371E2F" w14:textId="77777777" w:rsidR="008A5A08" w:rsidRPr="008A5A08" w:rsidRDefault="008A5A08" w:rsidP="008A5A08">
      <w:pPr>
        <w:pStyle w:val="BodyText"/>
        <w:ind w:left="1418"/>
        <w:rPr>
          <w:rFonts w:ascii="Arial" w:hAnsi="Arial" w:cs="Arial"/>
          <w:b/>
        </w:rPr>
      </w:pPr>
    </w:p>
    <w:p w14:paraId="058DD362" w14:textId="5DCDA1DD" w:rsidR="00DA0C09" w:rsidRPr="00B27BB3" w:rsidRDefault="000D0B46" w:rsidP="00924212">
      <w:pPr>
        <w:pStyle w:val="BodyText"/>
        <w:numPr>
          <w:ilvl w:val="0"/>
          <w:numId w:val="20"/>
        </w:numPr>
        <w:ind w:left="1418" w:hanging="709"/>
        <w:rPr>
          <w:rFonts w:ascii="Arial" w:hAnsi="Arial" w:cs="Arial"/>
          <w:b/>
        </w:rPr>
      </w:pPr>
      <w:r w:rsidRPr="002B473E">
        <w:rPr>
          <w:rFonts w:ascii="Arial" w:hAnsi="Arial" w:cs="Arial"/>
        </w:rPr>
        <w:t>0.</w:t>
      </w:r>
      <w:r w:rsidR="00357D26" w:rsidRPr="002B473E">
        <w:rPr>
          <w:rFonts w:ascii="Arial" w:hAnsi="Arial" w:cs="Arial"/>
        </w:rPr>
        <w:t>0</w:t>
      </w:r>
      <w:r w:rsidR="00062052">
        <w:rPr>
          <w:rFonts w:ascii="Arial" w:hAnsi="Arial" w:cs="Arial"/>
        </w:rPr>
        <w:t>09</w:t>
      </w:r>
      <w:r w:rsidR="00DA0C09" w:rsidRPr="002B473E">
        <w:rPr>
          <w:rFonts w:ascii="Arial" w:hAnsi="Arial" w:cs="Arial"/>
        </w:rPr>
        <w:t>%</w:t>
      </w:r>
      <w:r w:rsidR="00DA0C09" w:rsidRPr="00F87E17">
        <w:rPr>
          <w:rFonts w:ascii="Arial" w:hAnsi="Arial" w:cs="Arial"/>
        </w:rPr>
        <w:t xml:space="preserve"> historic risk</w:t>
      </w:r>
      <w:r w:rsidR="00DA0C09" w:rsidRPr="00B27BB3">
        <w:rPr>
          <w:rFonts w:ascii="Arial" w:hAnsi="Arial" w:cs="Arial"/>
        </w:rPr>
        <w:t xml:space="preserve"> of default when compared to the whole </w:t>
      </w:r>
      <w:r w:rsidR="005F1B21">
        <w:rPr>
          <w:rFonts w:ascii="Arial" w:hAnsi="Arial" w:cs="Arial"/>
        </w:rPr>
        <w:tab/>
      </w:r>
      <w:r w:rsidR="00DA0C09" w:rsidRPr="00B27BB3">
        <w:rPr>
          <w:rFonts w:ascii="Arial" w:hAnsi="Arial" w:cs="Arial"/>
        </w:rPr>
        <w:t>portfolio</w:t>
      </w:r>
      <w:r w:rsidR="00DA0C09" w:rsidRPr="00B27BB3">
        <w:rPr>
          <w:rFonts w:ascii="Arial" w:hAnsi="Arial" w:cs="Arial"/>
          <w:b/>
        </w:rPr>
        <w:t>.</w:t>
      </w:r>
    </w:p>
    <w:p w14:paraId="2CF31611" w14:textId="77777777" w:rsidR="008A5A08" w:rsidRDefault="008A5A08" w:rsidP="008A5A08">
      <w:pPr>
        <w:pStyle w:val="BodyText"/>
        <w:ind w:left="465"/>
        <w:rPr>
          <w:rFonts w:ascii="Arial" w:hAnsi="Arial" w:cs="Arial"/>
        </w:rPr>
      </w:pPr>
    </w:p>
    <w:p w14:paraId="04A25E40" w14:textId="77777777" w:rsidR="00DA0C09" w:rsidRPr="00615280" w:rsidRDefault="00DA0C09" w:rsidP="00924212">
      <w:pPr>
        <w:pStyle w:val="BodyText"/>
        <w:numPr>
          <w:ilvl w:val="1"/>
          <w:numId w:val="12"/>
        </w:numPr>
        <w:rPr>
          <w:rFonts w:ascii="Arial" w:hAnsi="Arial" w:cs="Arial"/>
        </w:rPr>
      </w:pPr>
      <w:r w:rsidRPr="00750515">
        <w:rPr>
          <w:rFonts w:ascii="Arial" w:hAnsi="Arial" w:cs="Arial"/>
          <w:b/>
        </w:rPr>
        <w:t>Liquidity</w:t>
      </w:r>
      <w:r w:rsidRPr="00B27BB3">
        <w:rPr>
          <w:rFonts w:ascii="Arial" w:hAnsi="Arial" w:cs="Arial"/>
        </w:rPr>
        <w:t xml:space="preserve"> – In respect of this area the </w:t>
      </w:r>
      <w:r w:rsidR="002E4AD6">
        <w:rPr>
          <w:rFonts w:ascii="Arial" w:hAnsi="Arial" w:cs="Arial"/>
        </w:rPr>
        <w:t>Commissioner</w:t>
      </w:r>
      <w:r w:rsidRPr="00B27BB3">
        <w:rPr>
          <w:rFonts w:ascii="Arial" w:hAnsi="Arial" w:cs="Arial"/>
        </w:rPr>
        <w:t xml:space="preserve"> seeks to maintain:</w:t>
      </w:r>
    </w:p>
    <w:p w14:paraId="64066915" w14:textId="77777777" w:rsidR="008A5A08" w:rsidRDefault="008A5A08" w:rsidP="008A5A08">
      <w:pPr>
        <w:pStyle w:val="BodyText"/>
        <w:ind w:left="1440"/>
        <w:rPr>
          <w:rFonts w:ascii="Arial" w:hAnsi="Arial" w:cs="Arial"/>
        </w:rPr>
      </w:pPr>
    </w:p>
    <w:p w14:paraId="64FA2E6E" w14:textId="77777777" w:rsidR="00DA0C09" w:rsidRPr="00B27BB3" w:rsidRDefault="00DA0C09" w:rsidP="00924212">
      <w:pPr>
        <w:pStyle w:val="BodyText"/>
        <w:numPr>
          <w:ilvl w:val="0"/>
          <w:numId w:val="21"/>
        </w:numPr>
        <w:ind w:hanging="731"/>
        <w:rPr>
          <w:rFonts w:ascii="Arial" w:hAnsi="Arial" w:cs="Arial"/>
        </w:rPr>
      </w:pPr>
      <w:r w:rsidRPr="00B27BB3">
        <w:rPr>
          <w:rFonts w:ascii="Arial" w:hAnsi="Arial" w:cs="Arial"/>
        </w:rPr>
        <w:t xml:space="preserve">Liquid short term deposits of at least </w:t>
      </w:r>
      <w:r w:rsidRPr="00BF193F">
        <w:rPr>
          <w:rFonts w:ascii="Arial" w:hAnsi="Arial" w:cs="Arial"/>
        </w:rPr>
        <w:t>£</w:t>
      </w:r>
      <w:r w:rsidR="001F23D3" w:rsidRPr="00BF193F">
        <w:rPr>
          <w:rFonts w:ascii="Arial" w:hAnsi="Arial" w:cs="Arial"/>
        </w:rPr>
        <w:t>2</w:t>
      </w:r>
      <w:r w:rsidRPr="00BF193F">
        <w:rPr>
          <w:rFonts w:ascii="Arial" w:hAnsi="Arial" w:cs="Arial"/>
        </w:rPr>
        <w:t>m</w:t>
      </w:r>
      <w:r w:rsidRPr="00B27BB3">
        <w:rPr>
          <w:rFonts w:ascii="Arial" w:hAnsi="Arial" w:cs="Arial"/>
        </w:rPr>
        <w:t xml:space="preserve"> available with a week’s notice</w:t>
      </w:r>
      <w:r w:rsidR="005F1B21">
        <w:rPr>
          <w:rFonts w:ascii="Arial" w:hAnsi="Arial" w:cs="Arial"/>
        </w:rPr>
        <w:t>; and</w:t>
      </w:r>
    </w:p>
    <w:p w14:paraId="6CD43010" w14:textId="77777777" w:rsidR="00290510" w:rsidRDefault="00DA0C09" w:rsidP="00924212">
      <w:pPr>
        <w:pStyle w:val="BodyText"/>
        <w:numPr>
          <w:ilvl w:val="0"/>
          <w:numId w:val="21"/>
        </w:numPr>
        <w:ind w:hanging="731"/>
        <w:rPr>
          <w:rFonts w:ascii="Arial" w:hAnsi="Arial" w:cs="Arial"/>
        </w:rPr>
      </w:pPr>
      <w:r w:rsidRPr="000D0B46">
        <w:rPr>
          <w:rFonts w:ascii="Arial" w:hAnsi="Arial" w:cs="Arial"/>
        </w:rPr>
        <w:t xml:space="preserve">Weighted Average Life </w:t>
      </w:r>
      <w:r w:rsidR="00290510">
        <w:rPr>
          <w:rFonts w:ascii="Arial" w:hAnsi="Arial" w:cs="Arial"/>
        </w:rPr>
        <w:t xml:space="preserve">of investments with banks </w:t>
      </w:r>
      <w:r w:rsidR="00290510" w:rsidRPr="00BF193F">
        <w:rPr>
          <w:rFonts w:ascii="Arial" w:hAnsi="Arial" w:cs="Arial"/>
        </w:rPr>
        <w:t xml:space="preserve">between 3 and </w:t>
      </w:r>
      <w:r w:rsidR="00BF193F" w:rsidRPr="00BF193F">
        <w:rPr>
          <w:rFonts w:ascii="Arial" w:hAnsi="Arial" w:cs="Arial"/>
        </w:rPr>
        <w:t>12</w:t>
      </w:r>
      <w:r w:rsidR="00290510" w:rsidRPr="00BF193F">
        <w:rPr>
          <w:rFonts w:ascii="Arial" w:hAnsi="Arial" w:cs="Arial"/>
        </w:rPr>
        <w:t xml:space="preserve"> months;</w:t>
      </w:r>
      <w:r w:rsidR="00290510">
        <w:rPr>
          <w:rFonts w:ascii="Arial" w:hAnsi="Arial" w:cs="Arial"/>
        </w:rPr>
        <w:t xml:space="preserve"> and</w:t>
      </w:r>
    </w:p>
    <w:p w14:paraId="2344CA8E" w14:textId="77777777" w:rsidR="00DA0C09" w:rsidRPr="000D0B46" w:rsidRDefault="00290510" w:rsidP="00924212">
      <w:pPr>
        <w:pStyle w:val="BodyText"/>
        <w:numPr>
          <w:ilvl w:val="0"/>
          <w:numId w:val="21"/>
        </w:numPr>
        <w:ind w:hanging="731"/>
        <w:rPr>
          <w:rFonts w:ascii="Arial" w:hAnsi="Arial" w:cs="Arial"/>
        </w:rPr>
      </w:pPr>
      <w:r>
        <w:rPr>
          <w:rFonts w:ascii="Arial" w:hAnsi="Arial" w:cs="Arial"/>
        </w:rPr>
        <w:t>Note that no overdraft facility is held at Lloyds bank.</w:t>
      </w:r>
    </w:p>
    <w:p w14:paraId="211B5D10" w14:textId="77777777" w:rsidR="00353197" w:rsidRDefault="00353197" w:rsidP="00353197">
      <w:pPr>
        <w:pStyle w:val="BodyText"/>
        <w:ind w:left="465"/>
        <w:rPr>
          <w:rFonts w:ascii="Arial" w:hAnsi="Arial"/>
        </w:rPr>
      </w:pPr>
    </w:p>
    <w:p w14:paraId="31CE007C" w14:textId="1C51DE0F" w:rsidR="00DA0C09" w:rsidRPr="002E26A2" w:rsidRDefault="00DA0C09" w:rsidP="00924212">
      <w:pPr>
        <w:pStyle w:val="BodyText"/>
        <w:numPr>
          <w:ilvl w:val="1"/>
          <w:numId w:val="12"/>
        </w:numPr>
        <w:rPr>
          <w:rFonts w:ascii="Arial" w:hAnsi="Arial"/>
        </w:rPr>
      </w:pPr>
      <w:r w:rsidRPr="00750515">
        <w:rPr>
          <w:rFonts w:ascii="Arial" w:hAnsi="Arial"/>
          <w:b/>
        </w:rPr>
        <w:t>Yield</w:t>
      </w:r>
      <w:r w:rsidRPr="002E26A2">
        <w:rPr>
          <w:rFonts w:ascii="Arial" w:hAnsi="Arial"/>
          <w:b/>
        </w:rPr>
        <w:t xml:space="preserve"> </w:t>
      </w:r>
      <w:r w:rsidR="00B5405A" w:rsidRPr="005C2F9C">
        <w:rPr>
          <w:rFonts w:ascii="Arial" w:hAnsi="Arial" w:cs="Arial"/>
        </w:rPr>
        <w:t>–</w:t>
      </w:r>
      <w:r w:rsidRPr="002E26A2">
        <w:rPr>
          <w:rFonts w:ascii="Arial" w:hAnsi="Arial"/>
        </w:rPr>
        <w:t xml:space="preserve"> Local measures of yield benchmarks are</w:t>
      </w:r>
      <w:r w:rsidR="002E26A2">
        <w:rPr>
          <w:rFonts w:ascii="Arial" w:hAnsi="Arial"/>
        </w:rPr>
        <w:t>:</w:t>
      </w:r>
    </w:p>
    <w:p w14:paraId="46F56E70" w14:textId="77777777" w:rsidR="00353197" w:rsidRDefault="00353197" w:rsidP="00353197">
      <w:pPr>
        <w:pStyle w:val="BodyText"/>
        <w:ind w:left="1440"/>
        <w:rPr>
          <w:rFonts w:ascii="Arial" w:hAnsi="Arial" w:cs="Arial"/>
        </w:rPr>
      </w:pPr>
    </w:p>
    <w:p w14:paraId="509A8CE9" w14:textId="40CC8AC6" w:rsidR="00DA0C09" w:rsidRPr="00353197" w:rsidRDefault="00DA0C09" w:rsidP="00924212">
      <w:pPr>
        <w:pStyle w:val="BodyText"/>
        <w:numPr>
          <w:ilvl w:val="0"/>
          <w:numId w:val="24"/>
        </w:numPr>
        <w:rPr>
          <w:rFonts w:ascii="Arial" w:hAnsi="Arial" w:cs="Arial"/>
        </w:rPr>
      </w:pPr>
      <w:r w:rsidRPr="00353197">
        <w:rPr>
          <w:rFonts w:ascii="Arial" w:hAnsi="Arial" w:cs="Arial"/>
        </w:rPr>
        <w:t xml:space="preserve">Investments – Internal returns </w:t>
      </w:r>
      <w:r w:rsidR="002E26A2" w:rsidRPr="00353197">
        <w:rPr>
          <w:rFonts w:ascii="Arial" w:hAnsi="Arial" w:cs="Arial"/>
        </w:rPr>
        <w:t xml:space="preserve">compared to </w:t>
      </w:r>
      <w:r w:rsidRPr="00353197">
        <w:rPr>
          <w:rFonts w:ascii="Arial" w:hAnsi="Arial" w:cs="Arial"/>
        </w:rPr>
        <w:t>the</w:t>
      </w:r>
      <w:r w:rsidR="001B0457">
        <w:rPr>
          <w:rFonts w:ascii="Arial" w:hAnsi="Arial" w:cs="Arial"/>
        </w:rPr>
        <w:t xml:space="preserve"> average</w:t>
      </w:r>
      <w:r w:rsidR="00683E5D">
        <w:rPr>
          <w:rFonts w:ascii="Arial" w:hAnsi="Arial" w:cs="Arial"/>
        </w:rPr>
        <w:t xml:space="preserve"> </w:t>
      </w:r>
      <w:r w:rsidR="0003736D">
        <w:rPr>
          <w:rFonts w:ascii="Arial" w:hAnsi="Arial" w:cs="Arial"/>
        </w:rPr>
        <w:t>Sterling Overnight Index Average</w:t>
      </w:r>
      <w:r w:rsidR="00F333F1">
        <w:rPr>
          <w:rFonts w:ascii="Arial" w:hAnsi="Arial" w:cs="Arial"/>
        </w:rPr>
        <w:t xml:space="preserve"> (</w:t>
      </w:r>
      <w:r w:rsidR="0003736D">
        <w:rPr>
          <w:rFonts w:ascii="Arial" w:hAnsi="Arial" w:cs="Arial"/>
        </w:rPr>
        <w:t>SONIA</w:t>
      </w:r>
      <w:r w:rsidR="00F333F1">
        <w:rPr>
          <w:rFonts w:ascii="Arial" w:hAnsi="Arial" w:cs="Arial"/>
        </w:rPr>
        <w:t>)</w:t>
      </w:r>
      <w:r w:rsidR="00683E5D">
        <w:rPr>
          <w:rFonts w:ascii="Arial" w:hAnsi="Arial" w:cs="Arial"/>
        </w:rPr>
        <w:t xml:space="preserve"> rate</w:t>
      </w:r>
      <w:r w:rsidR="005F1B21" w:rsidRPr="00353197">
        <w:rPr>
          <w:rFonts w:ascii="Arial" w:hAnsi="Arial" w:cs="Arial"/>
        </w:rPr>
        <w:t>.</w:t>
      </w:r>
      <w:r w:rsidR="00B5405A">
        <w:rPr>
          <w:rFonts w:ascii="Arial" w:hAnsi="Arial" w:cs="Arial"/>
        </w:rPr>
        <w:t xml:space="preserve">  </w:t>
      </w:r>
      <w:r w:rsidR="0003736D">
        <w:rPr>
          <w:rFonts w:ascii="Arial" w:hAnsi="Arial" w:cs="Arial"/>
        </w:rPr>
        <w:t>The transition to SONIA is due to the phas</w:t>
      </w:r>
      <w:r w:rsidR="00B5405A">
        <w:rPr>
          <w:rFonts w:ascii="Arial" w:hAnsi="Arial" w:cs="Arial"/>
        </w:rPr>
        <w:t>ing</w:t>
      </w:r>
      <w:r w:rsidR="0003736D">
        <w:rPr>
          <w:rFonts w:ascii="Arial" w:hAnsi="Arial" w:cs="Arial"/>
        </w:rPr>
        <w:t xml:space="preserve"> out of LIBOR</w:t>
      </w:r>
      <w:r w:rsidR="00B5405A">
        <w:rPr>
          <w:rFonts w:ascii="Arial" w:hAnsi="Arial" w:cs="Arial"/>
        </w:rPr>
        <w:t>,</w:t>
      </w:r>
      <w:r w:rsidR="0003736D">
        <w:rPr>
          <w:rFonts w:ascii="Arial" w:hAnsi="Arial" w:cs="Arial"/>
        </w:rPr>
        <w:t xml:space="preserve"> which </w:t>
      </w:r>
      <w:r w:rsidR="00223BED">
        <w:rPr>
          <w:rFonts w:ascii="Arial" w:hAnsi="Arial" w:cs="Arial"/>
        </w:rPr>
        <w:t>took</w:t>
      </w:r>
      <w:r w:rsidR="0003736D">
        <w:rPr>
          <w:rFonts w:ascii="Arial" w:hAnsi="Arial" w:cs="Arial"/>
        </w:rPr>
        <w:t xml:space="preserve"> place on the </w:t>
      </w:r>
      <w:proofErr w:type="gramStart"/>
      <w:r w:rsidR="0003736D">
        <w:rPr>
          <w:rFonts w:ascii="Arial" w:hAnsi="Arial" w:cs="Arial"/>
        </w:rPr>
        <w:t>31</w:t>
      </w:r>
      <w:r w:rsidR="0003736D" w:rsidRPr="0003736D">
        <w:rPr>
          <w:rFonts w:ascii="Arial" w:hAnsi="Arial" w:cs="Arial"/>
          <w:vertAlign w:val="superscript"/>
        </w:rPr>
        <w:t>st</w:t>
      </w:r>
      <w:proofErr w:type="gramEnd"/>
      <w:r w:rsidR="0003736D">
        <w:rPr>
          <w:rFonts w:ascii="Arial" w:hAnsi="Arial" w:cs="Arial"/>
        </w:rPr>
        <w:t xml:space="preserve"> December 2021.</w:t>
      </w:r>
    </w:p>
    <w:p w14:paraId="541CB8C2" w14:textId="3965B9FC" w:rsidR="005F1B21" w:rsidRDefault="005F1B21" w:rsidP="008A5A08">
      <w:pPr>
        <w:pStyle w:val="BodyText"/>
        <w:rPr>
          <w:rFonts w:ascii="Arial" w:hAnsi="Arial"/>
        </w:rPr>
      </w:pPr>
    </w:p>
    <w:p w14:paraId="6CE8DCD1" w14:textId="77777777" w:rsidR="00DA0C09" w:rsidRDefault="00AC7A35" w:rsidP="00924212">
      <w:pPr>
        <w:pStyle w:val="BodyText"/>
        <w:numPr>
          <w:ilvl w:val="1"/>
          <w:numId w:val="12"/>
        </w:numPr>
        <w:rPr>
          <w:rFonts w:ascii="Arial" w:hAnsi="Arial"/>
        </w:rPr>
      </w:pPr>
      <w:r>
        <w:rPr>
          <w:rFonts w:ascii="Arial" w:hAnsi="Arial"/>
        </w:rPr>
        <w:t>T</w:t>
      </w:r>
      <w:r w:rsidR="00DA0C09" w:rsidRPr="00E20AB6">
        <w:rPr>
          <w:rFonts w:ascii="Arial" w:hAnsi="Arial"/>
        </w:rPr>
        <w:t>he security benchmark for each individual year is:</w:t>
      </w:r>
    </w:p>
    <w:p w14:paraId="3C6C1ECF" w14:textId="77777777" w:rsidR="00D71173" w:rsidRPr="00E20AB6" w:rsidRDefault="00D71173" w:rsidP="008A5A08">
      <w:pPr>
        <w:pStyle w:val="BodyText"/>
        <w:rPr>
          <w:rFonts w:ascii="Arial" w:hAnsi="Aria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1276"/>
        <w:gridCol w:w="1134"/>
        <w:gridCol w:w="1276"/>
        <w:gridCol w:w="1417"/>
        <w:gridCol w:w="1418"/>
      </w:tblGrid>
      <w:tr w:rsidR="00DA0C09" w14:paraId="7AF9DB68" w14:textId="77777777" w:rsidTr="0089516F">
        <w:tc>
          <w:tcPr>
            <w:tcW w:w="1559" w:type="dxa"/>
            <w:shd w:val="clear" w:color="auto" w:fill="auto"/>
          </w:tcPr>
          <w:p w14:paraId="1AE6BFCC" w14:textId="77777777" w:rsidR="00DA0C09" w:rsidRDefault="00DA0C09" w:rsidP="00DA0C09">
            <w:pPr>
              <w:pStyle w:val="BodyText2"/>
              <w:rPr>
                <w:rFonts w:ascii="Arial" w:hAnsi="Arial"/>
                <w:sz w:val="22"/>
              </w:rPr>
            </w:pPr>
          </w:p>
        </w:tc>
        <w:tc>
          <w:tcPr>
            <w:tcW w:w="1276" w:type="dxa"/>
            <w:shd w:val="clear" w:color="auto" w:fill="auto"/>
          </w:tcPr>
          <w:p w14:paraId="2158AB5C" w14:textId="77777777" w:rsidR="00DA0C09" w:rsidRDefault="00DA0C09" w:rsidP="00DA0C09">
            <w:pPr>
              <w:pStyle w:val="BodyText2"/>
              <w:jc w:val="center"/>
              <w:rPr>
                <w:rFonts w:ascii="Arial" w:hAnsi="Arial"/>
                <w:sz w:val="22"/>
              </w:rPr>
            </w:pPr>
            <w:r>
              <w:rPr>
                <w:rFonts w:ascii="Arial" w:hAnsi="Arial"/>
                <w:sz w:val="22"/>
              </w:rPr>
              <w:t>1 year</w:t>
            </w:r>
          </w:p>
        </w:tc>
        <w:tc>
          <w:tcPr>
            <w:tcW w:w="1134" w:type="dxa"/>
            <w:shd w:val="clear" w:color="auto" w:fill="auto"/>
          </w:tcPr>
          <w:p w14:paraId="61B2AF61" w14:textId="77777777" w:rsidR="00DA0C09" w:rsidRDefault="00DA0C09" w:rsidP="00DA0C09">
            <w:pPr>
              <w:pStyle w:val="BodyText2"/>
              <w:jc w:val="center"/>
              <w:rPr>
                <w:rFonts w:ascii="Arial" w:hAnsi="Arial"/>
                <w:sz w:val="22"/>
              </w:rPr>
            </w:pPr>
            <w:r>
              <w:rPr>
                <w:rFonts w:ascii="Arial" w:hAnsi="Arial"/>
                <w:sz w:val="22"/>
              </w:rPr>
              <w:t>2 years</w:t>
            </w:r>
          </w:p>
        </w:tc>
        <w:tc>
          <w:tcPr>
            <w:tcW w:w="1276" w:type="dxa"/>
            <w:shd w:val="clear" w:color="auto" w:fill="auto"/>
          </w:tcPr>
          <w:p w14:paraId="1EFEF69B" w14:textId="77777777" w:rsidR="00DA0C09" w:rsidRDefault="00DA0C09" w:rsidP="00DA0C09">
            <w:pPr>
              <w:pStyle w:val="BodyText2"/>
              <w:jc w:val="center"/>
              <w:rPr>
                <w:rFonts w:ascii="Arial" w:hAnsi="Arial"/>
                <w:sz w:val="22"/>
              </w:rPr>
            </w:pPr>
            <w:r>
              <w:rPr>
                <w:rFonts w:ascii="Arial" w:hAnsi="Arial"/>
                <w:sz w:val="22"/>
              </w:rPr>
              <w:t>3 years</w:t>
            </w:r>
          </w:p>
        </w:tc>
        <w:tc>
          <w:tcPr>
            <w:tcW w:w="1417" w:type="dxa"/>
            <w:shd w:val="clear" w:color="auto" w:fill="auto"/>
          </w:tcPr>
          <w:p w14:paraId="36474E08" w14:textId="77777777" w:rsidR="00DA0C09" w:rsidRDefault="00DA0C09" w:rsidP="00DA0C09">
            <w:pPr>
              <w:pStyle w:val="BodyText2"/>
              <w:jc w:val="center"/>
              <w:rPr>
                <w:rFonts w:ascii="Arial" w:hAnsi="Arial"/>
                <w:sz w:val="22"/>
              </w:rPr>
            </w:pPr>
            <w:r>
              <w:rPr>
                <w:rFonts w:ascii="Arial" w:hAnsi="Arial"/>
                <w:sz w:val="22"/>
              </w:rPr>
              <w:t>4 years</w:t>
            </w:r>
          </w:p>
        </w:tc>
        <w:tc>
          <w:tcPr>
            <w:tcW w:w="1418" w:type="dxa"/>
            <w:shd w:val="clear" w:color="auto" w:fill="auto"/>
          </w:tcPr>
          <w:p w14:paraId="68896BCF" w14:textId="77777777" w:rsidR="00DA0C09" w:rsidRDefault="00DA0C09" w:rsidP="00DA0C09">
            <w:pPr>
              <w:pStyle w:val="BodyText2"/>
              <w:jc w:val="center"/>
              <w:rPr>
                <w:rFonts w:ascii="Arial" w:hAnsi="Arial"/>
                <w:sz w:val="22"/>
              </w:rPr>
            </w:pPr>
            <w:r>
              <w:rPr>
                <w:rFonts w:ascii="Arial" w:hAnsi="Arial"/>
                <w:sz w:val="22"/>
              </w:rPr>
              <w:t>5 years</w:t>
            </w:r>
          </w:p>
        </w:tc>
      </w:tr>
      <w:tr w:rsidR="00DA0C09" w14:paraId="716C630A" w14:textId="77777777" w:rsidTr="0089516F">
        <w:tc>
          <w:tcPr>
            <w:tcW w:w="1559" w:type="dxa"/>
          </w:tcPr>
          <w:p w14:paraId="5E63249B" w14:textId="77777777" w:rsidR="00DA0C09" w:rsidRDefault="00DA0C09" w:rsidP="00DA0C09">
            <w:pPr>
              <w:pStyle w:val="BodyText2"/>
              <w:rPr>
                <w:rFonts w:ascii="Arial" w:hAnsi="Arial"/>
                <w:b w:val="0"/>
                <w:sz w:val="22"/>
              </w:rPr>
            </w:pPr>
            <w:r>
              <w:rPr>
                <w:rFonts w:ascii="Arial" w:hAnsi="Arial"/>
                <w:b w:val="0"/>
                <w:sz w:val="22"/>
              </w:rPr>
              <w:t>Maximum</w:t>
            </w:r>
          </w:p>
        </w:tc>
        <w:tc>
          <w:tcPr>
            <w:tcW w:w="1276" w:type="dxa"/>
          </w:tcPr>
          <w:p w14:paraId="1C804A05" w14:textId="634964D7" w:rsidR="00DA0C09" w:rsidRPr="002B473E" w:rsidRDefault="001F23D3" w:rsidP="00CB59BB">
            <w:pPr>
              <w:pStyle w:val="BodyText2"/>
              <w:jc w:val="center"/>
              <w:rPr>
                <w:rFonts w:ascii="Arial" w:hAnsi="Arial"/>
                <w:b w:val="0"/>
                <w:sz w:val="22"/>
              </w:rPr>
            </w:pPr>
            <w:r w:rsidRPr="002B473E">
              <w:rPr>
                <w:rFonts w:ascii="Arial" w:hAnsi="Arial"/>
                <w:b w:val="0"/>
                <w:sz w:val="22"/>
              </w:rPr>
              <w:t>0</w:t>
            </w:r>
            <w:r w:rsidR="00DA0C09" w:rsidRPr="002B473E">
              <w:rPr>
                <w:rFonts w:ascii="Arial" w:hAnsi="Arial"/>
                <w:b w:val="0"/>
                <w:sz w:val="22"/>
              </w:rPr>
              <w:t>.</w:t>
            </w:r>
            <w:r w:rsidR="000D0B46" w:rsidRPr="002B473E">
              <w:rPr>
                <w:rFonts w:ascii="Arial" w:hAnsi="Arial"/>
                <w:b w:val="0"/>
                <w:sz w:val="22"/>
              </w:rPr>
              <w:t>0</w:t>
            </w:r>
            <w:r w:rsidR="001E37B8">
              <w:rPr>
                <w:rFonts w:ascii="Arial" w:hAnsi="Arial"/>
                <w:b w:val="0"/>
                <w:sz w:val="22"/>
              </w:rPr>
              <w:t>09</w:t>
            </w:r>
            <w:r w:rsidR="00DA0C09" w:rsidRPr="002B473E">
              <w:rPr>
                <w:rFonts w:ascii="Arial" w:hAnsi="Arial"/>
                <w:b w:val="0"/>
                <w:sz w:val="22"/>
              </w:rPr>
              <w:t>%</w:t>
            </w:r>
          </w:p>
        </w:tc>
        <w:tc>
          <w:tcPr>
            <w:tcW w:w="1134" w:type="dxa"/>
          </w:tcPr>
          <w:p w14:paraId="00A45107" w14:textId="2CCA5E87" w:rsidR="00DA0C09" w:rsidRPr="002B473E" w:rsidRDefault="00CB59BB" w:rsidP="00CB59BB">
            <w:pPr>
              <w:pStyle w:val="BodyText2"/>
              <w:jc w:val="center"/>
              <w:rPr>
                <w:rFonts w:ascii="Arial" w:hAnsi="Arial"/>
                <w:b w:val="0"/>
                <w:sz w:val="22"/>
              </w:rPr>
            </w:pPr>
            <w:r w:rsidRPr="002B473E">
              <w:rPr>
                <w:rFonts w:ascii="Arial" w:hAnsi="Arial"/>
                <w:b w:val="0"/>
                <w:sz w:val="22"/>
              </w:rPr>
              <w:t>0.0</w:t>
            </w:r>
            <w:r w:rsidR="001E37B8">
              <w:rPr>
                <w:rFonts w:ascii="Arial" w:hAnsi="Arial"/>
                <w:b w:val="0"/>
                <w:sz w:val="22"/>
              </w:rPr>
              <w:t>09</w:t>
            </w:r>
            <w:r w:rsidRPr="002B473E">
              <w:rPr>
                <w:rFonts w:ascii="Arial" w:hAnsi="Arial"/>
                <w:b w:val="0"/>
                <w:sz w:val="22"/>
              </w:rPr>
              <w:t>%</w:t>
            </w:r>
          </w:p>
        </w:tc>
        <w:tc>
          <w:tcPr>
            <w:tcW w:w="1276" w:type="dxa"/>
          </w:tcPr>
          <w:p w14:paraId="3AC5174A" w14:textId="77777777" w:rsidR="00DA0C09" w:rsidRDefault="00DA0C09" w:rsidP="00DA0C09">
            <w:pPr>
              <w:pStyle w:val="BodyText2"/>
              <w:jc w:val="center"/>
              <w:rPr>
                <w:rFonts w:ascii="Arial" w:hAnsi="Arial"/>
                <w:b w:val="0"/>
                <w:sz w:val="22"/>
              </w:rPr>
            </w:pPr>
            <w:r>
              <w:rPr>
                <w:rFonts w:ascii="Arial" w:hAnsi="Arial"/>
                <w:b w:val="0"/>
                <w:sz w:val="22"/>
              </w:rPr>
              <w:t>Not applicable</w:t>
            </w:r>
          </w:p>
        </w:tc>
        <w:tc>
          <w:tcPr>
            <w:tcW w:w="1417" w:type="dxa"/>
          </w:tcPr>
          <w:p w14:paraId="361B4FFF" w14:textId="77777777" w:rsidR="00DA0C09" w:rsidRDefault="00DA0C09" w:rsidP="00DA0C09">
            <w:pPr>
              <w:pStyle w:val="BodyText2"/>
              <w:jc w:val="center"/>
              <w:rPr>
                <w:rFonts w:ascii="Arial" w:hAnsi="Arial"/>
                <w:b w:val="0"/>
                <w:sz w:val="22"/>
              </w:rPr>
            </w:pPr>
            <w:r>
              <w:rPr>
                <w:rFonts w:ascii="Arial" w:hAnsi="Arial"/>
                <w:b w:val="0"/>
                <w:sz w:val="22"/>
              </w:rPr>
              <w:t>Not</w:t>
            </w:r>
          </w:p>
          <w:p w14:paraId="50D8ADF8" w14:textId="77777777" w:rsidR="00DA0C09" w:rsidRDefault="00FD6D9C" w:rsidP="00DA0C09">
            <w:pPr>
              <w:pStyle w:val="BodyText2"/>
              <w:jc w:val="center"/>
              <w:rPr>
                <w:rFonts w:ascii="Arial" w:hAnsi="Arial"/>
                <w:b w:val="0"/>
                <w:sz w:val="22"/>
              </w:rPr>
            </w:pPr>
            <w:r>
              <w:rPr>
                <w:rFonts w:ascii="Arial" w:hAnsi="Arial"/>
                <w:b w:val="0"/>
                <w:sz w:val="22"/>
              </w:rPr>
              <w:t>A</w:t>
            </w:r>
            <w:r w:rsidR="00DA0C09">
              <w:rPr>
                <w:rFonts w:ascii="Arial" w:hAnsi="Arial"/>
                <w:b w:val="0"/>
                <w:sz w:val="22"/>
              </w:rPr>
              <w:t>pplicable</w:t>
            </w:r>
          </w:p>
        </w:tc>
        <w:tc>
          <w:tcPr>
            <w:tcW w:w="1418" w:type="dxa"/>
          </w:tcPr>
          <w:p w14:paraId="2396F61C" w14:textId="77777777" w:rsidR="00DA0C09" w:rsidRDefault="00DA0C09" w:rsidP="00DA0C09">
            <w:pPr>
              <w:pStyle w:val="BodyText2"/>
              <w:jc w:val="center"/>
              <w:rPr>
                <w:rFonts w:ascii="Arial" w:hAnsi="Arial"/>
                <w:b w:val="0"/>
                <w:sz w:val="22"/>
              </w:rPr>
            </w:pPr>
            <w:r>
              <w:rPr>
                <w:rFonts w:ascii="Arial" w:hAnsi="Arial"/>
                <w:b w:val="0"/>
                <w:sz w:val="22"/>
              </w:rPr>
              <w:t>Not Applicable</w:t>
            </w:r>
          </w:p>
        </w:tc>
      </w:tr>
    </w:tbl>
    <w:p w14:paraId="662072C9" w14:textId="77777777" w:rsidR="005F1B21" w:rsidRDefault="005F1B21" w:rsidP="00615280">
      <w:pPr>
        <w:pStyle w:val="BodyText"/>
        <w:ind w:left="720"/>
        <w:rPr>
          <w:rFonts w:ascii="Arial" w:hAnsi="Arial"/>
        </w:rPr>
      </w:pPr>
    </w:p>
    <w:p w14:paraId="05E0887A" w14:textId="77777777" w:rsidR="00DA0C09" w:rsidRDefault="00DA0C09" w:rsidP="00615280">
      <w:pPr>
        <w:pStyle w:val="BodyText"/>
        <w:ind w:left="720"/>
        <w:rPr>
          <w:rFonts w:ascii="Arial" w:hAnsi="Arial"/>
        </w:rPr>
      </w:pPr>
      <w:r w:rsidRPr="005850F6">
        <w:rPr>
          <w:rFonts w:ascii="Arial" w:hAnsi="Arial"/>
        </w:rPr>
        <w:t xml:space="preserve">Note: This benchmark is an average risk of default </w:t>
      </w:r>
      <w:r w:rsidR="006C482E" w:rsidRPr="005850F6">
        <w:rPr>
          <w:rFonts w:ascii="Arial" w:hAnsi="Arial"/>
        </w:rPr>
        <w:t>measure and</w:t>
      </w:r>
      <w:r w:rsidRPr="005850F6">
        <w:rPr>
          <w:rFonts w:ascii="Arial" w:hAnsi="Arial"/>
        </w:rPr>
        <w:t xml:space="preserve"> would not constitute an expectation of loss against a particular investment.  </w:t>
      </w:r>
    </w:p>
    <w:p w14:paraId="11E062AD" w14:textId="77777777" w:rsidR="005F1B21" w:rsidRPr="005850F6" w:rsidRDefault="005F1B21" w:rsidP="00615280">
      <w:pPr>
        <w:pStyle w:val="BodyText"/>
        <w:ind w:left="720"/>
        <w:rPr>
          <w:rFonts w:ascii="Arial" w:hAnsi="Arial"/>
        </w:rPr>
      </w:pPr>
    </w:p>
    <w:p w14:paraId="68363CB8" w14:textId="18DF7072" w:rsidR="00DA0C09" w:rsidRDefault="005F1B21" w:rsidP="00924212">
      <w:pPr>
        <w:pStyle w:val="BodyText"/>
        <w:numPr>
          <w:ilvl w:val="1"/>
          <w:numId w:val="12"/>
        </w:numPr>
        <w:ind w:left="720" w:hanging="720"/>
        <w:rPr>
          <w:rFonts w:ascii="Arial" w:hAnsi="Arial"/>
        </w:rPr>
      </w:pPr>
      <w:r>
        <w:rPr>
          <w:rFonts w:ascii="Arial" w:hAnsi="Arial"/>
          <w:b/>
        </w:rPr>
        <w:t>I</w:t>
      </w:r>
      <w:r w:rsidR="00DA0C09" w:rsidRPr="005850F6">
        <w:rPr>
          <w:rFonts w:ascii="Arial" w:hAnsi="Arial"/>
          <w:b/>
        </w:rPr>
        <w:t xml:space="preserve">nvestment Counterparty Selection Criteria </w:t>
      </w:r>
      <w:r w:rsidR="00B5405A" w:rsidRPr="005C2F9C">
        <w:rPr>
          <w:rFonts w:ascii="Arial" w:hAnsi="Arial" w:cs="Arial"/>
        </w:rPr>
        <w:t>–</w:t>
      </w:r>
      <w:r w:rsidR="00DA0C09" w:rsidRPr="005850F6">
        <w:rPr>
          <w:rFonts w:ascii="Arial" w:hAnsi="Arial"/>
          <w:b/>
        </w:rPr>
        <w:t xml:space="preserve"> </w:t>
      </w:r>
      <w:r w:rsidR="00DA0C09" w:rsidRPr="005850F6">
        <w:rPr>
          <w:rFonts w:ascii="Arial" w:hAnsi="Arial"/>
        </w:rPr>
        <w:t xml:space="preserve">The primary principle governing the </w:t>
      </w:r>
      <w:r w:rsidR="004C4C8A">
        <w:rPr>
          <w:rFonts w:ascii="Arial" w:hAnsi="Arial"/>
        </w:rPr>
        <w:t>Commissioner</w:t>
      </w:r>
      <w:r w:rsidR="00DA0C09" w:rsidRPr="005850F6">
        <w:rPr>
          <w:rFonts w:ascii="Arial" w:hAnsi="Arial"/>
        </w:rPr>
        <w:t>’s investment</w:t>
      </w:r>
      <w:r w:rsidR="001815CF">
        <w:rPr>
          <w:rFonts w:ascii="Arial" w:hAnsi="Arial"/>
        </w:rPr>
        <w:t xml:space="preserve"> criteria is the security of his</w:t>
      </w:r>
      <w:r w:rsidR="00DA0C09" w:rsidRPr="005850F6">
        <w:rPr>
          <w:rFonts w:ascii="Arial" w:hAnsi="Arial"/>
        </w:rPr>
        <w:t xml:space="preserve"> investments, although the yield or return on the investment is also a key consideration. </w:t>
      </w:r>
      <w:r w:rsidR="00F1623F">
        <w:rPr>
          <w:rFonts w:ascii="Arial" w:hAnsi="Arial"/>
        </w:rPr>
        <w:t xml:space="preserve">Then Commissioner </w:t>
      </w:r>
      <w:r w:rsidR="00BE33ED">
        <w:rPr>
          <w:rFonts w:ascii="Arial" w:hAnsi="Arial"/>
        </w:rPr>
        <w:t>will also consider ESG factors when considering counterparties.</w:t>
      </w:r>
      <w:r w:rsidR="00DA0C09" w:rsidRPr="005850F6">
        <w:rPr>
          <w:rFonts w:ascii="Arial" w:hAnsi="Arial"/>
        </w:rPr>
        <w:t xml:space="preserve"> </w:t>
      </w:r>
      <w:r w:rsidR="00AC7A35">
        <w:rPr>
          <w:rFonts w:ascii="Arial" w:hAnsi="Arial"/>
        </w:rPr>
        <w:t xml:space="preserve">The </w:t>
      </w:r>
      <w:r w:rsidR="009C5B67">
        <w:rPr>
          <w:rFonts w:ascii="Arial" w:hAnsi="Arial"/>
        </w:rPr>
        <w:t>Commissioner</w:t>
      </w:r>
      <w:r w:rsidR="00AC7A35">
        <w:rPr>
          <w:rFonts w:ascii="Arial" w:hAnsi="Arial"/>
        </w:rPr>
        <w:t xml:space="preserve"> will not use non-specified investments</w:t>
      </w:r>
      <w:r w:rsidR="006B515B">
        <w:rPr>
          <w:rFonts w:ascii="Arial" w:hAnsi="Arial"/>
        </w:rPr>
        <w:t xml:space="preserve"> </w:t>
      </w:r>
      <w:proofErr w:type="gramStart"/>
      <w:r w:rsidR="006B515B">
        <w:rPr>
          <w:rFonts w:ascii="Arial" w:hAnsi="Arial"/>
        </w:rPr>
        <w:t>i.e.</w:t>
      </w:r>
      <w:proofErr w:type="gramEnd"/>
      <w:r w:rsidR="006B515B">
        <w:rPr>
          <w:rFonts w:ascii="Arial" w:hAnsi="Arial"/>
        </w:rPr>
        <w:t xml:space="preserve"> </w:t>
      </w:r>
      <w:r w:rsidR="006B515B" w:rsidRPr="00F50C2A">
        <w:rPr>
          <w:rFonts w:ascii="Arial" w:hAnsi="Arial"/>
        </w:rPr>
        <w:t xml:space="preserve">investments exceeding </w:t>
      </w:r>
      <w:r w:rsidR="00BF193F" w:rsidRPr="00F50C2A">
        <w:rPr>
          <w:rFonts w:ascii="Arial" w:hAnsi="Arial"/>
        </w:rPr>
        <w:t xml:space="preserve">1 year </w:t>
      </w:r>
      <w:r w:rsidR="006B515B" w:rsidRPr="00F50C2A">
        <w:rPr>
          <w:rFonts w:ascii="Arial" w:hAnsi="Arial"/>
        </w:rPr>
        <w:t>364 days</w:t>
      </w:r>
      <w:r w:rsidR="00AC7A35">
        <w:rPr>
          <w:rFonts w:ascii="Arial" w:hAnsi="Arial"/>
        </w:rPr>
        <w:t>.  T</w:t>
      </w:r>
      <w:r w:rsidR="00DA0C09" w:rsidRPr="005850F6">
        <w:rPr>
          <w:rFonts w:ascii="Arial" w:hAnsi="Arial"/>
        </w:rPr>
        <w:t xml:space="preserve">he </w:t>
      </w:r>
      <w:r w:rsidR="009C5B67">
        <w:rPr>
          <w:rFonts w:ascii="Arial" w:hAnsi="Arial"/>
        </w:rPr>
        <w:t>Commissioner</w:t>
      </w:r>
      <w:r w:rsidR="00DA0C09" w:rsidRPr="005850F6">
        <w:rPr>
          <w:rFonts w:ascii="Arial" w:hAnsi="Arial"/>
        </w:rPr>
        <w:t xml:space="preserve"> will ensure:</w:t>
      </w:r>
    </w:p>
    <w:p w14:paraId="03C44FB1" w14:textId="77777777" w:rsidR="007E53EA" w:rsidRPr="005850F6" w:rsidRDefault="007E53EA" w:rsidP="00615280">
      <w:pPr>
        <w:pStyle w:val="BodyText"/>
        <w:rPr>
          <w:rFonts w:ascii="Arial" w:hAnsi="Arial"/>
        </w:rPr>
      </w:pPr>
    </w:p>
    <w:p w14:paraId="1D31DB8C" w14:textId="0AE7805D" w:rsidR="007E53EA" w:rsidRDefault="007E53EA" w:rsidP="00924212">
      <w:pPr>
        <w:pStyle w:val="BodyText2"/>
        <w:numPr>
          <w:ilvl w:val="0"/>
          <w:numId w:val="2"/>
        </w:numPr>
        <w:tabs>
          <w:tab w:val="clear" w:pos="947"/>
          <w:tab w:val="num" w:pos="1440"/>
        </w:tabs>
        <w:autoSpaceDE/>
        <w:autoSpaceDN/>
        <w:adjustRightInd/>
        <w:ind w:left="1440" w:hanging="720"/>
        <w:rPr>
          <w:rFonts w:ascii="Arial" w:hAnsi="Arial"/>
          <w:b w:val="0"/>
        </w:rPr>
      </w:pPr>
      <w:r>
        <w:rPr>
          <w:rFonts w:ascii="Arial" w:hAnsi="Arial"/>
          <w:b w:val="0"/>
        </w:rPr>
        <w:t>A</w:t>
      </w:r>
      <w:r w:rsidR="00DA0C09" w:rsidRPr="005850F6">
        <w:rPr>
          <w:rFonts w:ascii="Arial" w:hAnsi="Arial"/>
          <w:b w:val="0"/>
        </w:rPr>
        <w:t xml:space="preserve"> policy covering </w:t>
      </w:r>
      <w:r w:rsidR="00B43DDA">
        <w:rPr>
          <w:rFonts w:ascii="Arial" w:hAnsi="Arial"/>
          <w:b w:val="0"/>
        </w:rPr>
        <w:t>types of investment</w:t>
      </w:r>
      <w:r w:rsidR="00DA0C09" w:rsidRPr="005850F6">
        <w:rPr>
          <w:rFonts w:ascii="Arial" w:hAnsi="Arial"/>
          <w:b w:val="0"/>
        </w:rPr>
        <w:t xml:space="preserve">, criteria for choosing investment counterparties with adequate security, and monitoring their security.  This is set out in the Specified </w:t>
      </w:r>
      <w:r w:rsidR="000A70A9">
        <w:rPr>
          <w:rFonts w:ascii="Arial" w:hAnsi="Arial"/>
          <w:b w:val="0"/>
        </w:rPr>
        <w:t>I</w:t>
      </w:r>
      <w:r w:rsidR="00DA0C09" w:rsidRPr="005850F6">
        <w:rPr>
          <w:rFonts w:ascii="Arial" w:hAnsi="Arial"/>
          <w:b w:val="0"/>
        </w:rPr>
        <w:t xml:space="preserve">nvestment </w:t>
      </w:r>
      <w:r w:rsidR="006B515B">
        <w:rPr>
          <w:rFonts w:ascii="Arial" w:hAnsi="Arial"/>
          <w:b w:val="0"/>
        </w:rPr>
        <w:t>(</w:t>
      </w:r>
      <w:r w:rsidR="006B515B" w:rsidRPr="00F50C2A">
        <w:rPr>
          <w:rFonts w:ascii="Arial" w:hAnsi="Arial"/>
          <w:b w:val="0"/>
        </w:rPr>
        <w:t xml:space="preserve">investments not exceeding </w:t>
      </w:r>
      <w:r w:rsidR="00BF193F" w:rsidRPr="00F50C2A">
        <w:rPr>
          <w:rFonts w:ascii="Arial" w:hAnsi="Arial"/>
          <w:b w:val="0"/>
        </w:rPr>
        <w:t xml:space="preserve">1 year </w:t>
      </w:r>
      <w:r w:rsidR="006B515B" w:rsidRPr="00F50C2A">
        <w:rPr>
          <w:rFonts w:ascii="Arial" w:hAnsi="Arial"/>
          <w:b w:val="0"/>
        </w:rPr>
        <w:t>364 days</w:t>
      </w:r>
      <w:r w:rsidR="006B515B">
        <w:rPr>
          <w:rFonts w:ascii="Arial" w:hAnsi="Arial"/>
          <w:b w:val="0"/>
        </w:rPr>
        <w:t xml:space="preserve">) </w:t>
      </w:r>
      <w:r w:rsidR="00DA0C09" w:rsidRPr="005850F6">
        <w:rPr>
          <w:rFonts w:ascii="Arial" w:hAnsi="Arial"/>
          <w:b w:val="0"/>
        </w:rPr>
        <w:t>sections below</w:t>
      </w:r>
      <w:r>
        <w:rPr>
          <w:rFonts w:ascii="Arial" w:hAnsi="Arial"/>
          <w:b w:val="0"/>
        </w:rPr>
        <w:t>; and</w:t>
      </w:r>
    </w:p>
    <w:p w14:paraId="6E342402" w14:textId="77777777" w:rsidR="00E11726" w:rsidRDefault="00E11726" w:rsidP="00E11726">
      <w:pPr>
        <w:pStyle w:val="BodyText2"/>
        <w:autoSpaceDE/>
        <w:autoSpaceDN/>
        <w:adjustRightInd/>
        <w:ind w:left="1440"/>
        <w:rPr>
          <w:rFonts w:ascii="Arial" w:hAnsi="Arial"/>
          <w:b w:val="0"/>
        </w:rPr>
      </w:pPr>
    </w:p>
    <w:p w14:paraId="1CC03DB6" w14:textId="77777777" w:rsidR="00DA0C09" w:rsidRDefault="007E53EA" w:rsidP="00924212">
      <w:pPr>
        <w:pStyle w:val="BodyText2"/>
        <w:numPr>
          <w:ilvl w:val="0"/>
          <w:numId w:val="2"/>
        </w:numPr>
        <w:tabs>
          <w:tab w:val="clear" w:pos="947"/>
          <w:tab w:val="num" w:pos="1440"/>
        </w:tabs>
        <w:autoSpaceDE/>
        <w:autoSpaceDN/>
        <w:adjustRightInd/>
        <w:ind w:left="1440" w:hanging="720"/>
        <w:rPr>
          <w:rFonts w:ascii="Arial" w:hAnsi="Arial"/>
          <w:b w:val="0"/>
        </w:rPr>
      </w:pPr>
      <w:r>
        <w:rPr>
          <w:rFonts w:ascii="Arial" w:hAnsi="Arial"/>
          <w:b w:val="0"/>
        </w:rPr>
        <w:t>S</w:t>
      </w:r>
      <w:r w:rsidR="00DA0C09" w:rsidRPr="005850F6">
        <w:rPr>
          <w:rFonts w:ascii="Arial" w:hAnsi="Arial"/>
          <w:b w:val="0"/>
        </w:rPr>
        <w:t>ufficient liquidity in investments.  For this purpose</w:t>
      </w:r>
      <w:r w:rsidR="009659CC">
        <w:rPr>
          <w:rFonts w:ascii="Arial" w:hAnsi="Arial"/>
          <w:b w:val="0"/>
        </w:rPr>
        <w:t xml:space="preserve"> procedures</w:t>
      </w:r>
      <w:r w:rsidR="00DA0C09" w:rsidRPr="005850F6">
        <w:rPr>
          <w:rFonts w:ascii="Arial" w:hAnsi="Arial"/>
          <w:b w:val="0"/>
        </w:rPr>
        <w:t xml:space="preserve"> will</w:t>
      </w:r>
      <w:r w:rsidR="009659CC">
        <w:rPr>
          <w:rFonts w:ascii="Arial" w:hAnsi="Arial"/>
          <w:b w:val="0"/>
        </w:rPr>
        <w:t xml:space="preserve"> be</w:t>
      </w:r>
      <w:r w:rsidR="00DA0C09" w:rsidRPr="005850F6">
        <w:rPr>
          <w:rFonts w:ascii="Arial" w:hAnsi="Arial"/>
          <w:b w:val="0"/>
        </w:rPr>
        <w:t xml:space="preserve"> set out for determining the maximum periods for which funds may prudently be committed.  These procedures also apply to the prudential indicators covering the maximum principal sums invested.  </w:t>
      </w:r>
    </w:p>
    <w:p w14:paraId="160C3D45" w14:textId="77777777" w:rsidR="007E53EA" w:rsidRDefault="007E53EA" w:rsidP="00615280">
      <w:pPr>
        <w:pStyle w:val="ListParagraph"/>
        <w:rPr>
          <w:rFonts w:ascii="Arial" w:hAnsi="Arial"/>
          <w:b/>
        </w:rPr>
      </w:pPr>
    </w:p>
    <w:p w14:paraId="6E9744D9" w14:textId="77777777" w:rsidR="007E53EA" w:rsidRDefault="00DA0C09" w:rsidP="00924212">
      <w:pPr>
        <w:pStyle w:val="BodyText"/>
        <w:numPr>
          <w:ilvl w:val="1"/>
          <w:numId w:val="12"/>
        </w:numPr>
        <w:ind w:left="720" w:hanging="720"/>
        <w:rPr>
          <w:rFonts w:ascii="Arial" w:hAnsi="Arial"/>
        </w:rPr>
      </w:pPr>
      <w:r w:rsidRPr="005850F6">
        <w:rPr>
          <w:rFonts w:ascii="Arial" w:hAnsi="Arial"/>
        </w:rPr>
        <w:t xml:space="preserve">The </w:t>
      </w:r>
      <w:r w:rsidR="009659CC" w:rsidRPr="00F50C2A">
        <w:rPr>
          <w:rFonts w:ascii="Arial" w:hAnsi="Arial"/>
        </w:rPr>
        <w:t>Assistant Chief Officer -</w:t>
      </w:r>
      <w:r w:rsidRPr="00F50C2A">
        <w:rPr>
          <w:rFonts w:ascii="Arial" w:hAnsi="Arial"/>
        </w:rPr>
        <w:t xml:space="preserve"> </w:t>
      </w:r>
      <w:r w:rsidR="008E358C" w:rsidRPr="00F50C2A">
        <w:rPr>
          <w:rFonts w:ascii="Arial" w:hAnsi="Arial"/>
        </w:rPr>
        <w:t>Resources</w:t>
      </w:r>
      <w:r w:rsidRPr="005850F6">
        <w:rPr>
          <w:rFonts w:ascii="Arial" w:hAnsi="Arial"/>
        </w:rPr>
        <w:t xml:space="preserve"> will maintain a counterparty list in compliance with the following criteria.  This criteria is separate </w:t>
      </w:r>
      <w:r w:rsidR="00B420A5">
        <w:rPr>
          <w:rFonts w:ascii="Arial" w:hAnsi="Arial"/>
        </w:rPr>
        <w:t>from</w:t>
      </w:r>
      <w:r w:rsidRPr="005850F6">
        <w:rPr>
          <w:rFonts w:ascii="Arial" w:hAnsi="Arial"/>
        </w:rPr>
        <w:t xml:space="preserve"> that </w:t>
      </w:r>
      <w:r w:rsidRPr="005850F6">
        <w:rPr>
          <w:rFonts w:ascii="Arial" w:hAnsi="Arial"/>
        </w:rPr>
        <w:lastRenderedPageBreak/>
        <w:t xml:space="preserve">which chooses Specified and Non-Specified </w:t>
      </w:r>
      <w:r w:rsidR="005F7FBD">
        <w:rPr>
          <w:rFonts w:ascii="Arial" w:hAnsi="Arial"/>
        </w:rPr>
        <w:t>I</w:t>
      </w:r>
      <w:r w:rsidRPr="005850F6">
        <w:rPr>
          <w:rFonts w:ascii="Arial" w:hAnsi="Arial"/>
        </w:rPr>
        <w:t>nvestments</w:t>
      </w:r>
      <w:r w:rsidR="00D869A7">
        <w:rPr>
          <w:rFonts w:ascii="Arial" w:hAnsi="Arial"/>
        </w:rPr>
        <w:t>,</w:t>
      </w:r>
      <w:r w:rsidRPr="005850F6">
        <w:rPr>
          <w:rFonts w:ascii="Arial" w:hAnsi="Arial"/>
        </w:rPr>
        <w:t xml:space="preserve"> as it provides an overall pool of counterparties considered high quality </w:t>
      </w:r>
      <w:r w:rsidR="00D869A7">
        <w:rPr>
          <w:rFonts w:ascii="Arial" w:hAnsi="Arial"/>
        </w:rPr>
        <w:t xml:space="preserve">that </w:t>
      </w:r>
      <w:r w:rsidRPr="005850F6">
        <w:rPr>
          <w:rFonts w:ascii="Arial" w:hAnsi="Arial"/>
        </w:rPr>
        <w:t xml:space="preserve">the </w:t>
      </w:r>
      <w:r w:rsidR="00B039FA">
        <w:rPr>
          <w:rFonts w:ascii="Arial" w:hAnsi="Arial"/>
        </w:rPr>
        <w:t>Commissioner</w:t>
      </w:r>
      <w:r w:rsidRPr="005850F6">
        <w:rPr>
          <w:rFonts w:ascii="Arial" w:hAnsi="Arial"/>
        </w:rPr>
        <w:t xml:space="preserve"> may u</w:t>
      </w:r>
      <w:r w:rsidR="001815CF">
        <w:rPr>
          <w:rFonts w:ascii="Arial" w:hAnsi="Arial"/>
        </w:rPr>
        <w:t>se rather than defining what his</w:t>
      </w:r>
      <w:r w:rsidRPr="005850F6">
        <w:rPr>
          <w:rFonts w:ascii="Arial" w:hAnsi="Arial"/>
        </w:rPr>
        <w:t xml:space="preserve"> investments are. </w:t>
      </w:r>
    </w:p>
    <w:p w14:paraId="3C392F4B" w14:textId="77777777" w:rsidR="00DA0C09" w:rsidRPr="005850F6" w:rsidRDefault="00DA0C09" w:rsidP="00615280">
      <w:pPr>
        <w:pStyle w:val="BodyText"/>
        <w:rPr>
          <w:rFonts w:ascii="Arial" w:hAnsi="Arial"/>
        </w:rPr>
      </w:pPr>
      <w:r w:rsidRPr="005850F6">
        <w:rPr>
          <w:rFonts w:ascii="Arial" w:hAnsi="Arial"/>
        </w:rPr>
        <w:t xml:space="preserve"> </w:t>
      </w:r>
    </w:p>
    <w:p w14:paraId="78D830D3" w14:textId="77777777" w:rsidR="00DA0C09" w:rsidRDefault="007C6A6E" w:rsidP="00924212">
      <w:pPr>
        <w:pStyle w:val="BodyText"/>
        <w:numPr>
          <w:ilvl w:val="1"/>
          <w:numId w:val="12"/>
        </w:numPr>
        <w:ind w:left="720" w:hanging="720"/>
        <w:rPr>
          <w:rFonts w:ascii="Arial" w:hAnsi="Arial"/>
        </w:rPr>
      </w:pPr>
      <w:r>
        <w:rPr>
          <w:rFonts w:ascii="Arial" w:hAnsi="Arial"/>
        </w:rPr>
        <w:t>T</w:t>
      </w:r>
      <w:r w:rsidR="00DA0C09" w:rsidRPr="005850F6">
        <w:rPr>
          <w:rFonts w:ascii="Arial" w:hAnsi="Arial"/>
        </w:rPr>
        <w:t>he rating criteria use</w:t>
      </w:r>
      <w:r w:rsidR="00D869A7">
        <w:rPr>
          <w:rFonts w:ascii="Arial" w:hAnsi="Arial"/>
        </w:rPr>
        <w:t>s</w:t>
      </w:r>
      <w:r w:rsidR="00DA0C09" w:rsidRPr="005850F6">
        <w:rPr>
          <w:rFonts w:ascii="Arial" w:hAnsi="Arial"/>
        </w:rPr>
        <w:t xml:space="preserve"> the </w:t>
      </w:r>
      <w:r w:rsidR="00DA0C09" w:rsidRPr="00723C27">
        <w:rPr>
          <w:rFonts w:ascii="Arial" w:hAnsi="Arial"/>
        </w:rPr>
        <w:t>lowest common denominator</w:t>
      </w:r>
      <w:r w:rsidR="00DA0C09" w:rsidRPr="005850F6">
        <w:rPr>
          <w:rFonts w:ascii="Arial" w:hAnsi="Arial"/>
        </w:rPr>
        <w:t xml:space="preserve"> method of selecting counterparties and applying limits.  This means that the application of the </w:t>
      </w:r>
      <w:r w:rsidR="006C5731">
        <w:rPr>
          <w:rFonts w:ascii="Arial" w:hAnsi="Arial"/>
        </w:rPr>
        <w:t>Commissioner</w:t>
      </w:r>
      <w:r w:rsidR="00DA0C09" w:rsidRPr="005850F6">
        <w:rPr>
          <w:rFonts w:ascii="Arial" w:hAnsi="Arial"/>
        </w:rPr>
        <w:t xml:space="preserve">’s minimum criteria will apply to the lowest available rating for any institution.  For instance if an institution is rated by two agencies, one meets the </w:t>
      </w:r>
      <w:r w:rsidR="006C5731">
        <w:rPr>
          <w:rFonts w:ascii="Arial" w:hAnsi="Arial"/>
        </w:rPr>
        <w:t>Commissioner</w:t>
      </w:r>
      <w:r w:rsidR="00DA0C09" w:rsidRPr="005850F6">
        <w:rPr>
          <w:rFonts w:ascii="Arial" w:hAnsi="Arial"/>
        </w:rPr>
        <w:t>’s criteria, the other does not, the institution will fall outside the lending criteria.  This is in compliance with a CIPFA Treasury Management Panel recommendation in March 2009 and the CIPFA Treasury Management Code of Practice.</w:t>
      </w:r>
    </w:p>
    <w:p w14:paraId="18D61407" w14:textId="77777777" w:rsidR="00AD7E66" w:rsidRPr="005850F6" w:rsidRDefault="00AD7E66" w:rsidP="00615280">
      <w:pPr>
        <w:pStyle w:val="BodyText"/>
        <w:rPr>
          <w:rFonts w:ascii="Arial" w:hAnsi="Arial"/>
        </w:rPr>
      </w:pPr>
    </w:p>
    <w:p w14:paraId="67CB104E" w14:textId="77777777" w:rsidR="00C4248B" w:rsidRDefault="007C6A6E" w:rsidP="00924212">
      <w:pPr>
        <w:pStyle w:val="BodyText"/>
        <w:numPr>
          <w:ilvl w:val="1"/>
          <w:numId w:val="12"/>
        </w:numPr>
        <w:ind w:left="720" w:hanging="720"/>
        <w:rPr>
          <w:rFonts w:ascii="Arial" w:hAnsi="Arial"/>
        </w:rPr>
      </w:pPr>
      <w:r w:rsidRPr="00AA7297">
        <w:rPr>
          <w:rFonts w:ascii="Arial" w:hAnsi="Arial"/>
        </w:rPr>
        <w:t>C</w:t>
      </w:r>
      <w:r w:rsidR="00DA0C09" w:rsidRPr="00AA7297">
        <w:rPr>
          <w:rFonts w:ascii="Arial" w:hAnsi="Arial"/>
        </w:rPr>
        <w:t>redit rating inform</w:t>
      </w:r>
      <w:r w:rsidR="00DA0C09" w:rsidRPr="00AF67C4">
        <w:rPr>
          <w:rFonts w:ascii="Arial" w:hAnsi="Arial"/>
        </w:rPr>
        <w:t xml:space="preserve">ation is supplied by </w:t>
      </w:r>
      <w:r w:rsidR="00621EB4">
        <w:rPr>
          <w:rFonts w:ascii="Arial" w:hAnsi="Arial"/>
        </w:rPr>
        <w:t xml:space="preserve">the Commissioner’s </w:t>
      </w:r>
      <w:r w:rsidR="00DA0C09" w:rsidRPr="00AF67C4">
        <w:rPr>
          <w:rFonts w:ascii="Arial" w:hAnsi="Arial"/>
        </w:rPr>
        <w:t>treasury consultants on all active counterparties that comply with the criteria below.  Any counterparty failing to meet the criteria would be omitted from the counterparty (dealing) list.  Any rating changes, rating watches (notif</w:t>
      </w:r>
      <w:r w:rsidR="00DA0C09" w:rsidRPr="00813B0F">
        <w:rPr>
          <w:rFonts w:ascii="Arial" w:hAnsi="Arial"/>
        </w:rPr>
        <w:t>ication of a likely change), rating outlooks (notification of a possible longer term change) are provided to officers almost immediately after they occur and this information is considered before dealing.  For instance a negative rating watch applying to a</w:t>
      </w:r>
      <w:r w:rsidR="00384E09" w:rsidRPr="00A96CAC">
        <w:rPr>
          <w:rFonts w:ascii="Arial" w:hAnsi="Arial"/>
        </w:rPr>
        <w:t xml:space="preserve"> </w:t>
      </w:r>
      <w:r w:rsidR="00DA0C09" w:rsidRPr="003E2650">
        <w:rPr>
          <w:rFonts w:ascii="Arial" w:hAnsi="Arial"/>
        </w:rPr>
        <w:t xml:space="preserve">counterparty at the minimum </w:t>
      </w:r>
      <w:r w:rsidR="00113DFE" w:rsidRPr="003B5F48">
        <w:rPr>
          <w:rFonts w:ascii="Arial" w:hAnsi="Arial"/>
        </w:rPr>
        <w:t>of the Commission</w:t>
      </w:r>
      <w:r w:rsidR="00113DFE" w:rsidRPr="00F70EB1">
        <w:rPr>
          <w:rFonts w:ascii="Arial" w:hAnsi="Arial"/>
        </w:rPr>
        <w:t xml:space="preserve">er’s </w:t>
      </w:r>
      <w:r w:rsidR="00DA0C09" w:rsidRPr="00AA7297">
        <w:rPr>
          <w:rFonts w:ascii="Arial" w:hAnsi="Arial"/>
        </w:rPr>
        <w:t>criteria will be suspended from use, with all others being reviewed in light of market conditions</w:t>
      </w:r>
      <w:r w:rsidR="0003279C" w:rsidRPr="00AF67C4">
        <w:rPr>
          <w:rFonts w:ascii="Arial" w:hAnsi="Arial"/>
        </w:rPr>
        <w:t>.</w:t>
      </w:r>
    </w:p>
    <w:p w14:paraId="743D7047" w14:textId="77777777" w:rsidR="00C4248B" w:rsidRDefault="00C4248B" w:rsidP="00615280">
      <w:pPr>
        <w:pStyle w:val="ListParagraph"/>
        <w:rPr>
          <w:rFonts w:ascii="Arial" w:hAnsi="Arial"/>
        </w:rPr>
      </w:pPr>
    </w:p>
    <w:p w14:paraId="74093BDE" w14:textId="77777777" w:rsidR="00343FBC" w:rsidRDefault="00C4248B" w:rsidP="00924212">
      <w:pPr>
        <w:pStyle w:val="BodyText"/>
        <w:numPr>
          <w:ilvl w:val="1"/>
          <w:numId w:val="12"/>
        </w:numPr>
        <w:ind w:left="720" w:hanging="720"/>
        <w:rPr>
          <w:rFonts w:ascii="Arial" w:hAnsi="Arial"/>
        </w:rPr>
      </w:pPr>
      <w:r>
        <w:rPr>
          <w:rFonts w:ascii="Arial" w:hAnsi="Arial"/>
        </w:rPr>
        <w:t>T</w:t>
      </w:r>
      <w:r w:rsidR="00DA0C09" w:rsidRPr="00AF67C4">
        <w:rPr>
          <w:rFonts w:ascii="Arial" w:hAnsi="Arial"/>
        </w:rPr>
        <w:t xml:space="preserve">he </w:t>
      </w:r>
      <w:r w:rsidR="00D24392" w:rsidRPr="00AF67C4">
        <w:rPr>
          <w:rFonts w:ascii="Arial" w:hAnsi="Arial"/>
        </w:rPr>
        <w:t>Commissioner</w:t>
      </w:r>
      <w:r w:rsidR="0067234C" w:rsidRPr="00AF67C4">
        <w:rPr>
          <w:rFonts w:ascii="Arial" w:hAnsi="Arial"/>
        </w:rPr>
        <w:t xml:space="preserve"> only use</w:t>
      </w:r>
      <w:r w:rsidR="00D24392" w:rsidRPr="00813B0F">
        <w:rPr>
          <w:rFonts w:ascii="Arial" w:hAnsi="Arial"/>
        </w:rPr>
        <w:t>s</w:t>
      </w:r>
      <w:r w:rsidR="0067234C" w:rsidRPr="00813B0F">
        <w:rPr>
          <w:rFonts w:ascii="Arial" w:hAnsi="Arial"/>
        </w:rPr>
        <w:t xml:space="preserve"> </w:t>
      </w:r>
      <w:r w:rsidR="00343FBC" w:rsidRPr="0091402D">
        <w:rPr>
          <w:rFonts w:ascii="Arial" w:hAnsi="Arial"/>
        </w:rPr>
        <w:t>the following high credit quality counterparties:</w:t>
      </w:r>
    </w:p>
    <w:p w14:paraId="214A9907" w14:textId="77777777" w:rsidR="00B575F0" w:rsidRPr="00AA7297" w:rsidRDefault="00B575F0" w:rsidP="00615280">
      <w:pPr>
        <w:pStyle w:val="BodyText"/>
        <w:rPr>
          <w:rFonts w:ascii="Arial" w:hAnsi="Arial"/>
        </w:rPr>
      </w:pPr>
    </w:p>
    <w:p w14:paraId="45DD723E" w14:textId="77777777" w:rsidR="00B575F0" w:rsidRDefault="0067234C" w:rsidP="00924212">
      <w:pPr>
        <w:pStyle w:val="BodyText2"/>
        <w:numPr>
          <w:ilvl w:val="0"/>
          <w:numId w:val="22"/>
        </w:numPr>
        <w:autoSpaceDE/>
        <w:autoSpaceDN/>
        <w:adjustRightInd/>
        <w:ind w:left="1418" w:hanging="709"/>
        <w:rPr>
          <w:rFonts w:ascii="Arial" w:hAnsi="Arial"/>
          <w:b w:val="0"/>
        </w:rPr>
      </w:pPr>
      <w:r>
        <w:rPr>
          <w:rFonts w:ascii="Arial" w:hAnsi="Arial"/>
          <w:b w:val="0"/>
        </w:rPr>
        <w:t xml:space="preserve">UK banks and </w:t>
      </w:r>
      <w:r w:rsidRPr="000251EC">
        <w:rPr>
          <w:rFonts w:ascii="Arial" w:hAnsi="Arial"/>
          <w:b w:val="0"/>
        </w:rPr>
        <w:t>banks</w:t>
      </w:r>
      <w:r w:rsidR="00DA0C09" w:rsidRPr="000251EC">
        <w:rPr>
          <w:rFonts w:ascii="Arial" w:hAnsi="Arial"/>
          <w:b w:val="0"/>
        </w:rPr>
        <w:t xml:space="preserve"> domiciled in a country </w:t>
      </w:r>
      <w:r w:rsidR="00B5535E">
        <w:rPr>
          <w:rFonts w:ascii="Arial" w:hAnsi="Arial"/>
          <w:b w:val="0"/>
        </w:rPr>
        <w:t xml:space="preserve">other than the UK </w:t>
      </w:r>
      <w:r w:rsidR="00DA0C09" w:rsidRPr="000251EC">
        <w:rPr>
          <w:rFonts w:ascii="Arial" w:hAnsi="Arial"/>
          <w:b w:val="0"/>
        </w:rPr>
        <w:t xml:space="preserve">which </w:t>
      </w:r>
      <w:r w:rsidR="00DA0C09" w:rsidRPr="00FF2A4A">
        <w:rPr>
          <w:rFonts w:ascii="Arial" w:hAnsi="Arial"/>
          <w:b w:val="0"/>
        </w:rPr>
        <w:t xml:space="preserve">has a minimum </w:t>
      </w:r>
      <w:r w:rsidR="00DA0C09" w:rsidRPr="00B5535E">
        <w:rPr>
          <w:rFonts w:ascii="Arial" w:hAnsi="Arial"/>
          <w:b w:val="0"/>
        </w:rPr>
        <w:t xml:space="preserve">Sovereign long term rating of </w:t>
      </w:r>
      <w:r w:rsidR="000251EC" w:rsidRPr="00B5535E">
        <w:rPr>
          <w:rFonts w:ascii="Arial" w:hAnsi="Arial"/>
          <w:b w:val="0"/>
        </w:rPr>
        <w:t>AAA</w:t>
      </w:r>
      <w:r w:rsidR="007D2764" w:rsidRPr="00FF2A4A">
        <w:rPr>
          <w:rFonts w:ascii="Arial" w:hAnsi="Arial"/>
          <w:b w:val="0"/>
        </w:rPr>
        <w:t>,</w:t>
      </w:r>
      <w:r w:rsidR="00DA0C09" w:rsidRPr="005850F6">
        <w:rPr>
          <w:rFonts w:ascii="Arial" w:hAnsi="Arial"/>
          <w:b w:val="0"/>
        </w:rPr>
        <w:t xml:space="preserve"> which have at least the following</w:t>
      </w:r>
      <w:r w:rsidR="00DA0C09">
        <w:rPr>
          <w:rFonts w:ascii="Arial" w:hAnsi="Arial"/>
          <w:b w:val="0"/>
          <w:sz w:val="22"/>
        </w:rPr>
        <w:t xml:space="preserve"> </w:t>
      </w:r>
      <w:r w:rsidR="00DA0C09" w:rsidRPr="005850F6">
        <w:rPr>
          <w:rFonts w:ascii="Arial" w:hAnsi="Arial"/>
          <w:b w:val="0"/>
        </w:rPr>
        <w:t>Fitch, Moody’s and Standard and Poor</w:t>
      </w:r>
      <w:r w:rsidR="00127ECF">
        <w:rPr>
          <w:rFonts w:ascii="Arial" w:hAnsi="Arial"/>
          <w:b w:val="0"/>
        </w:rPr>
        <w:t>’</w:t>
      </w:r>
      <w:r w:rsidR="00DA0C09" w:rsidRPr="005850F6">
        <w:rPr>
          <w:rFonts w:ascii="Arial" w:hAnsi="Arial"/>
          <w:b w:val="0"/>
        </w:rPr>
        <w:t>s ratings (where rated):</w:t>
      </w:r>
    </w:p>
    <w:p w14:paraId="5B74800D" w14:textId="77777777" w:rsidR="00C258CA" w:rsidRDefault="00C258CA" w:rsidP="00353197">
      <w:pPr>
        <w:pStyle w:val="BodyText2"/>
        <w:autoSpaceDE/>
        <w:autoSpaceDN/>
        <w:adjustRightInd/>
        <w:ind w:left="2160"/>
        <w:rPr>
          <w:rFonts w:ascii="Arial" w:hAnsi="Arial"/>
          <w:b w:val="0"/>
        </w:rPr>
      </w:pPr>
    </w:p>
    <w:p w14:paraId="1F615029" w14:textId="77777777" w:rsidR="00DA0C09" w:rsidRPr="005850F6" w:rsidRDefault="00DA0C09" w:rsidP="00924212">
      <w:pPr>
        <w:pStyle w:val="BodyText2"/>
        <w:numPr>
          <w:ilvl w:val="2"/>
          <w:numId w:val="3"/>
        </w:numPr>
        <w:autoSpaceDE/>
        <w:autoSpaceDN/>
        <w:adjustRightInd/>
        <w:rPr>
          <w:rFonts w:ascii="Arial" w:hAnsi="Arial"/>
          <w:b w:val="0"/>
        </w:rPr>
      </w:pPr>
      <w:r w:rsidRPr="00615280">
        <w:rPr>
          <w:rFonts w:ascii="Arial" w:hAnsi="Arial"/>
          <w:b w:val="0"/>
        </w:rPr>
        <w:t xml:space="preserve">Short Term </w:t>
      </w:r>
      <w:r w:rsidRPr="005850F6">
        <w:rPr>
          <w:rFonts w:ascii="Arial" w:hAnsi="Arial"/>
          <w:b w:val="0"/>
        </w:rPr>
        <w:t>–</w:t>
      </w:r>
      <w:r w:rsidRPr="00615280">
        <w:rPr>
          <w:rFonts w:ascii="Arial" w:hAnsi="Arial"/>
          <w:b w:val="0"/>
        </w:rPr>
        <w:t xml:space="preserve"> F1/A1/</w:t>
      </w:r>
      <w:proofErr w:type="gramStart"/>
      <w:r w:rsidRPr="00615280">
        <w:rPr>
          <w:rFonts w:ascii="Arial" w:hAnsi="Arial"/>
          <w:b w:val="0"/>
        </w:rPr>
        <w:t>P1</w:t>
      </w:r>
      <w:r w:rsidR="00511046">
        <w:rPr>
          <w:rFonts w:ascii="Arial" w:hAnsi="Arial"/>
          <w:b w:val="0"/>
        </w:rPr>
        <w:t>;</w:t>
      </w:r>
      <w:proofErr w:type="gramEnd"/>
    </w:p>
    <w:p w14:paraId="734CFBC6" w14:textId="77777777" w:rsidR="00DA0C09" w:rsidRPr="00615280" w:rsidRDefault="00DA0C09" w:rsidP="00924212">
      <w:pPr>
        <w:pStyle w:val="BodyText2"/>
        <w:numPr>
          <w:ilvl w:val="2"/>
          <w:numId w:val="3"/>
        </w:numPr>
        <w:autoSpaceDE/>
        <w:autoSpaceDN/>
        <w:adjustRightInd/>
        <w:rPr>
          <w:rFonts w:ascii="Arial" w:hAnsi="Arial"/>
          <w:b w:val="0"/>
        </w:rPr>
      </w:pPr>
      <w:r w:rsidRPr="00615280">
        <w:rPr>
          <w:rFonts w:ascii="Arial" w:hAnsi="Arial"/>
          <w:b w:val="0"/>
        </w:rPr>
        <w:t>Long Term</w:t>
      </w:r>
      <w:r w:rsidRPr="005850F6">
        <w:rPr>
          <w:rFonts w:ascii="Arial" w:hAnsi="Arial"/>
          <w:b w:val="0"/>
        </w:rPr>
        <w:t xml:space="preserve"> – </w:t>
      </w:r>
      <w:proofErr w:type="gramStart"/>
      <w:r w:rsidRPr="005850F6">
        <w:rPr>
          <w:rFonts w:ascii="Arial" w:hAnsi="Arial"/>
          <w:b w:val="0"/>
        </w:rPr>
        <w:t>A</w:t>
      </w:r>
      <w:r w:rsidR="0089516F">
        <w:rPr>
          <w:rFonts w:ascii="Arial" w:hAnsi="Arial"/>
          <w:b w:val="0"/>
        </w:rPr>
        <w:t>;</w:t>
      </w:r>
      <w:proofErr w:type="gramEnd"/>
    </w:p>
    <w:p w14:paraId="6B63D4B0" w14:textId="77777777" w:rsidR="00C23A1D" w:rsidRDefault="00C23A1D" w:rsidP="00615280">
      <w:pPr>
        <w:pStyle w:val="BodyText2"/>
        <w:autoSpaceDE/>
        <w:autoSpaceDN/>
        <w:adjustRightInd/>
        <w:ind w:left="1980"/>
        <w:rPr>
          <w:rFonts w:ascii="Arial" w:hAnsi="Arial"/>
          <w:b w:val="0"/>
        </w:rPr>
      </w:pPr>
    </w:p>
    <w:p w14:paraId="6FE34438" w14:textId="1E91A018" w:rsidR="002F6699" w:rsidRDefault="002F6699" w:rsidP="00924212">
      <w:pPr>
        <w:pStyle w:val="BodyText2"/>
        <w:numPr>
          <w:ilvl w:val="0"/>
          <w:numId w:val="22"/>
        </w:numPr>
        <w:autoSpaceDE/>
        <w:autoSpaceDN/>
        <w:adjustRightInd/>
        <w:ind w:left="1418" w:hanging="709"/>
        <w:rPr>
          <w:rFonts w:ascii="Arial" w:hAnsi="Arial"/>
          <w:b w:val="0"/>
        </w:rPr>
      </w:pPr>
      <w:r w:rsidRPr="00AA7297">
        <w:rPr>
          <w:rFonts w:ascii="Arial" w:hAnsi="Arial"/>
          <w:b w:val="0"/>
        </w:rPr>
        <w:t>Part</w:t>
      </w:r>
      <w:r w:rsidR="003838F9">
        <w:rPr>
          <w:rFonts w:ascii="Arial" w:hAnsi="Arial"/>
          <w:b w:val="0"/>
        </w:rPr>
        <w:t>-</w:t>
      </w:r>
      <w:r w:rsidRPr="00AA7297">
        <w:rPr>
          <w:rFonts w:ascii="Arial" w:hAnsi="Arial"/>
          <w:b w:val="0"/>
        </w:rPr>
        <w:t xml:space="preserve">nationalised </w:t>
      </w:r>
      <w:r w:rsidRPr="00723C27">
        <w:rPr>
          <w:rFonts w:ascii="Arial" w:hAnsi="Arial"/>
          <w:b w:val="0"/>
        </w:rPr>
        <w:t>UK banks</w:t>
      </w:r>
      <w:r w:rsidRPr="00AA7297">
        <w:rPr>
          <w:rFonts w:ascii="Arial" w:hAnsi="Arial"/>
          <w:b w:val="0"/>
        </w:rPr>
        <w:t xml:space="preserve"> – Lloyds Banking Group and Royal Bank of Scotland. </w:t>
      </w:r>
      <w:r w:rsidR="002B473E">
        <w:rPr>
          <w:rFonts w:ascii="Arial" w:hAnsi="Arial"/>
          <w:b w:val="0"/>
        </w:rPr>
        <w:t xml:space="preserve"> </w:t>
      </w:r>
      <w:r w:rsidRPr="00AA7297">
        <w:rPr>
          <w:rFonts w:ascii="Arial" w:hAnsi="Arial"/>
          <w:b w:val="0"/>
        </w:rPr>
        <w:t>These banks can be included if they continue to be</w:t>
      </w:r>
      <w:r w:rsidR="00B575F0" w:rsidRPr="00AF67C4">
        <w:rPr>
          <w:rFonts w:ascii="Arial" w:hAnsi="Arial"/>
          <w:b w:val="0"/>
        </w:rPr>
        <w:t xml:space="preserve"> </w:t>
      </w:r>
      <w:r w:rsidRPr="00AF67C4">
        <w:rPr>
          <w:rFonts w:ascii="Arial" w:hAnsi="Arial"/>
          <w:b w:val="0"/>
        </w:rPr>
        <w:t>part</w:t>
      </w:r>
      <w:r w:rsidR="003838F9">
        <w:rPr>
          <w:rFonts w:ascii="Arial" w:hAnsi="Arial"/>
          <w:b w:val="0"/>
        </w:rPr>
        <w:t>-</w:t>
      </w:r>
      <w:r w:rsidRPr="00AF67C4">
        <w:rPr>
          <w:rFonts w:ascii="Arial" w:hAnsi="Arial"/>
          <w:b w:val="0"/>
        </w:rPr>
        <w:t>nationalised or they meet the ratings i</w:t>
      </w:r>
      <w:r w:rsidR="00353197">
        <w:rPr>
          <w:rFonts w:ascii="Arial" w:hAnsi="Arial"/>
          <w:b w:val="0"/>
        </w:rPr>
        <w:t>n Banks above;</w:t>
      </w:r>
    </w:p>
    <w:p w14:paraId="7CBD01EA" w14:textId="77777777" w:rsidR="00DA0C09" w:rsidRPr="005850F6" w:rsidRDefault="00DA0C09" w:rsidP="00924212">
      <w:pPr>
        <w:pStyle w:val="BodyText2"/>
        <w:numPr>
          <w:ilvl w:val="0"/>
          <w:numId w:val="22"/>
        </w:numPr>
        <w:autoSpaceDE/>
        <w:autoSpaceDN/>
        <w:adjustRightInd/>
        <w:ind w:hanging="238"/>
        <w:rPr>
          <w:rFonts w:ascii="Arial" w:hAnsi="Arial"/>
          <w:b w:val="0"/>
        </w:rPr>
      </w:pPr>
      <w:r w:rsidRPr="00AD0BBD">
        <w:rPr>
          <w:rFonts w:ascii="Arial" w:hAnsi="Arial"/>
          <w:b w:val="0"/>
        </w:rPr>
        <w:t>Building Societies</w:t>
      </w:r>
      <w:r w:rsidRPr="005850F6">
        <w:rPr>
          <w:rFonts w:ascii="Arial" w:hAnsi="Arial"/>
          <w:b w:val="0"/>
        </w:rPr>
        <w:t xml:space="preserve"> which:</w:t>
      </w:r>
    </w:p>
    <w:p w14:paraId="79FF6BA9" w14:textId="77777777" w:rsidR="00AD0BBD" w:rsidRDefault="00511046" w:rsidP="00924212">
      <w:pPr>
        <w:pStyle w:val="BodyText2"/>
        <w:numPr>
          <w:ilvl w:val="2"/>
          <w:numId w:val="3"/>
        </w:numPr>
        <w:autoSpaceDE/>
        <w:autoSpaceDN/>
        <w:adjustRightInd/>
        <w:rPr>
          <w:rFonts w:ascii="Arial" w:hAnsi="Arial"/>
          <w:b w:val="0"/>
        </w:rPr>
      </w:pPr>
      <w:r>
        <w:rPr>
          <w:rFonts w:ascii="Arial" w:hAnsi="Arial"/>
          <w:b w:val="0"/>
        </w:rPr>
        <w:t>M</w:t>
      </w:r>
      <w:r w:rsidR="00DA0C09" w:rsidRPr="005850F6">
        <w:rPr>
          <w:rFonts w:ascii="Arial" w:hAnsi="Arial"/>
          <w:b w:val="0"/>
        </w:rPr>
        <w:t>eet the ratings for banks outlined above</w:t>
      </w:r>
      <w:r w:rsidR="00AD0BBD">
        <w:rPr>
          <w:rFonts w:ascii="Arial" w:hAnsi="Arial"/>
          <w:b w:val="0"/>
        </w:rPr>
        <w:t>; or</w:t>
      </w:r>
    </w:p>
    <w:p w14:paraId="56D223C3" w14:textId="77777777" w:rsidR="00DA0C09" w:rsidRDefault="00511046" w:rsidP="00924212">
      <w:pPr>
        <w:pStyle w:val="BodyText2"/>
        <w:numPr>
          <w:ilvl w:val="2"/>
          <w:numId w:val="3"/>
        </w:numPr>
        <w:autoSpaceDE/>
        <w:autoSpaceDN/>
        <w:adjustRightInd/>
        <w:rPr>
          <w:rFonts w:ascii="Arial" w:hAnsi="Arial"/>
          <w:b w:val="0"/>
        </w:rPr>
      </w:pPr>
      <w:r>
        <w:rPr>
          <w:rFonts w:ascii="Arial" w:hAnsi="Arial"/>
          <w:b w:val="0"/>
        </w:rPr>
        <w:t>H</w:t>
      </w:r>
      <w:r w:rsidR="00353197">
        <w:rPr>
          <w:rFonts w:ascii="Arial" w:hAnsi="Arial"/>
          <w:b w:val="0"/>
        </w:rPr>
        <w:t>ave assets in excess of £1bn;</w:t>
      </w:r>
    </w:p>
    <w:p w14:paraId="22ED3586" w14:textId="0CAC5B4C" w:rsidR="00621EB4" w:rsidRDefault="00DA0C09" w:rsidP="00924212">
      <w:pPr>
        <w:pStyle w:val="BodyText2"/>
        <w:numPr>
          <w:ilvl w:val="0"/>
          <w:numId w:val="22"/>
        </w:numPr>
        <w:autoSpaceDE/>
        <w:autoSpaceDN/>
        <w:adjustRightInd/>
        <w:ind w:hanging="238"/>
        <w:rPr>
          <w:rFonts w:ascii="Arial" w:hAnsi="Arial"/>
          <w:b w:val="0"/>
        </w:rPr>
      </w:pPr>
      <w:r w:rsidRPr="00621EB4">
        <w:rPr>
          <w:rFonts w:ascii="Arial" w:hAnsi="Arial"/>
          <w:b w:val="0"/>
        </w:rPr>
        <w:t>Money Market Funds</w:t>
      </w:r>
      <w:r w:rsidRPr="00621EB4">
        <w:rPr>
          <w:rFonts w:ascii="Arial" w:hAnsi="Arial"/>
        </w:rPr>
        <w:t xml:space="preserve"> </w:t>
      </w:r>
      <w:r w:rsidRPr="00621EB4">
        <w:rPr>
          <w:rFonts w:ascii="Arial" w:hAnsi="Arial"/>
          <w:b w:val="0"/>
        </w:rPr>
        <w:t xml:space="preserve">– </w:t>
      </w:r>
      <w:proofErr w:type="gramStart"/>
      <w:r w:rsidRPr="00621EB4">
        <w:rPr>
          <w:rFonts w:ascii="Arial" w:hAnsi="Arial"/>
          <w:b w:val="0"/>
        </w:rPr>
        <w:t>AAA</w:t>
      </w:r>
      <w:r w:rsidR="00C4248B" w:rsidRPr="00621EB4">
        <w:rPr>
          <w:rFonts w:ascii="Arial" w:hAnsi="Arial"/>
          <w:b w:val="0"/>
        </w:rPr>
        <w:t>;</w:t>
      </w:r>
      <w:proofErr w:type="gramEnd"/>
      <w:r w:rsidR="00E404E7" w:rsidRPr="00621EB4">
        <w:rPr>
          <w:rFonts w:ascii="Arial" w:hAnsi="Arial"/>
          <w:b w:val="0"/>
        </w:rPr>
        <w:t xml:space="preserve"> </w:t>
      </w:r>
    </w:p>
    <w:p w14:paraId="012B2256" w14:textId="77777777" w:rsidR="00DA0C09" w:rsidRPr="00621EB4" w:rsidRDefault="00DA0C09" w:rsidP="00924212">
      <w:pPr>
        <w:pStyle w:val="BodyText2"/>
        <w:numPr>
          <w:ilvl w:val="0"/>
          <w:numId w:val="22"/>
        </w:numPr>
        <w:autoSpaceDE/>
        <w:autoSpaceDN/>
        <w:adjustRightInd/>
        <w:ind w:hanging="238"/>
        <w:rPr>
          <w:rFonts w:ascii="Arial" w:hAnsi="Arial"/>
          <w:b w:val="0"/>
        </w:rPr>
      </w:pPr>
      <w:r w:rsidRPr="00621EB4">
        <w:rPr>
          <w:rFonts w:ascii="Arial" w:hAnsi="Arial"/>
          <w:b w:val="0"/>
        </w:rPr>
        <w:t>UK Government</w:t>
      </w:r>
      <w:r w:rsidRPr="00621EB4">
        <w:rPr>
          <w:rFonts w:ascii="Arial" w:hAnsi="Arial"/>
        </w:rPr>
        <w:t xml:space="preserve"> </w:t>
      </w:r>
      <w:r w:rsidRPr="00621EB4">
        <w:rPr>
          <w:rFonts w:ascii="Arial" w:hAnsi="Arial"/>
          <w:b w:val="0"/>
        </w:rPr>
        <w:t>(including gilts and the DMADF</w:t>
      </w:r>
      <w:r w:rsidR="006B515B" w:rsidRPr="00621EB4">
        <w:rPr>
          <w:rFonts w:ascii="Arial" w:hAnsi="Arial"/>
          <w:b w:val="0"/>
        </w:rPr>
        <w:t xml:space="preserve"> (see below)</w:t>
      </w:r>
      <w:r w:rsidRPr="00621EB4">
        <w:rPr>
          <w:rFonts w:ascii="Arial" w:hAnsi="Arial"/>
          <w:b w:val="0"/>
        </w:rPr>
        <w:t>)</w:t>
      </w:r>
      <w:r w:rsidR="00C4248B" w:rsidRPr="00621EB4">
        <w:rPr>
          <w:rFonts w:ascii="Arial" w:hAnsi="Arial"/>
          <w:b w:val="0"/>
        </w:rPr>
        <w:t>;</w:t>
      </w:r>
    </w:p>
    <w:p w14:paraId="6ED0E9BF" w14:textId="77777777" w:rsidR="00CB59BB" w:rsidRDefault="00DA0C09" w:rsidP="00683E5D">
      <w:pPr>
        <w:pStyle w:val="BodyText2"/>
        <w:numPr>
          <w:ilvl w:val="0"/>
          <w:numId w:val="22"/>
        </w:numPr>
        <w:autoSpaceDE/>
        <w:autoSpaceDN/>
        <w:adjustRightInd/>
        <w:ind w:hanging="238"/>
        <w:rPr>
          <w:rFonts w:ascii="Arial" w:hAnsi="Arial"/>
          <w:b w:val="0"/>
        </w:rPr>
      </w:pPr>
      <w:r w:rsidRPr="006D0BA7">
        <w:rPr>
          <w:rFonts w:ascii="Arial" w:hAnsi="Arial"/>
          <w:b w:val="0"/>
        </w:rPr>
        <w:t>Local Authorities</w:t>
      </w:r>
      <w:r w:rsidR="00C4248B">
        <w:rPr>
          <w:rFonts w:ascii="Arial" w:hAnsi="Arial"/>
          <w:b w:val="0"/>
        </w:rPr>
        <w:t xml:space="preserve">; </w:t>
      </w:r>
    </w:p>
    <w:p w14:paraId="5FA4408B" w14:textId="77777777" w:rsidR="002B473E" w:rsidRDefault="00CB59BB" w:rsidP="00683E5D">
      <w:pPr>
        <w:pStyle w:val="BodyText2"/>
        <w:numPr>
          <w:ilvl w:val="0"/>
          <w:numId w:val="22"/>
        </w:numPr>
        <w:autoSpaceDE/>
        <w:autoSpaceDN/>
        <w:adjustRightInd/>
        <w:ind w:hanging="238"/>
        <w:rPr>
          <w:rFonts w:ascii="Arial" w:hAnsi="Arial"/>
          <w:b w:val="0"/>
        </w:rPr>
      </w:pPr>
      <w:r>
        <w:rPr>
          <w:rFonts w:ascii="Arial" w:hAnsi="Arial"/>
          <w:b w:val="0"/>
        </w:rPr>
        <w:t>Property Funds</w:t>
      </w:r>
      <w:r w:rsidR="008344BD">
        <w:rPr>
          <w:rFonts w:ascii="Arial" w:hAnsi="Arial"/>
          <w:b w:val="0"/>
        </w:rPr>
        <w:t xml:space="preserve"> – These funds allow the Commissioner to diversify </w:t>
      </w:r>
    </w:p>
    <w:p w14:paraId="3B4CF920" w14:textId="77777777" w:rsidR="00DA0C09" w:rsidRDefault="008344BD" w:rsidP="002B473E">
      <w:pPr>
        <w:pStyle w:val="BodyText2"/>
        <w:autoSpaceDE/>
        <w:autoSpaceDN/>
        <w:adjustRightInd/>
        <w:ind w:left="1418"/>
        <w:rPr>
          <w:rFonts w:ascii="Arial" w:hAnsi="Arial"/>
          <w:b w:val="0"/>
        </w:rPr>
      </w:pPr>
      <w:r>
        <w:rPr>
          <w:rFonts w:ascii="Arial" w:hAnsi="Arial"/>
          <w:b w:val="0"/>
        </w:rPr>
        <w:t>into asset classes other than cash without the need to own and manage the underlying investments</w:t>
      </w:r>
      <w:r w:rsidR="00CB59BB">
        <w:rPr>
          <w:rFonts w:ascii="Arial" w:hAnsi="Arial"/>
          <w:b w:val="0"/>
        </w:rPr>
        <w:t xml:space="preserve">; </w:t>
      </w:r>
      <w:r>
        <w:rPr>
          <w:rFonts w:ascii="Arial" w:hAnsi="Arial"/>
          <w:b w:val="0"/>
        </w:rPr>
        <w:t>Property</w:t>
      </w:r>
      <w:r w:rsidRPr="008344BD">
        <w:rPr>
          <w:rFonts w:ascii="Arial" w:hAnsi="Arial"/>
          <w:b w:val="0"/>
        </w:rPr>
        <w:t xml:space="preserve"> Funds offer enhance</w:t>
      </w:r>
      <w:r w:rsidR="002B473E">
        <w:rPr>
          <w:rFonts w:ascii="Arial" w:hAnsi="Arial"/>
          <w:b w:val="0"/>
        </w:rPr>
        <w:t>d</w:t>
      </w:r>
      <w:r w:rsidRPr="008344BD">
        <w:rPr>
          <w:rFonts w:ascii="Arial" w:hAnsi="Arial"/>
          <w:b w:val="0"/>
        </w:rPr>
        <w:t xml:space="preserve"> returns over the longer term but are more volatile in the short term. Their value changes</w:t>
      </w:r>
      <w:r>
        <w:rPr>
          <w:rFonts w:ascii="Arial" w:hAnsi="Arial"/>
          <w:b w:val="0"/>
        </w:rPr>
        <w:t xml:space="preserve"> with market prices, so will be considered for longer investment periods;</w:t>
      </w:r>
      <w:r w:rsidRPr="008344BD">
        <w:rPr>
          <w:rFonts w:ascii="Arial" w:hAnsi="Arial"/>
          <w:b w:val="0"/>
        </w:rPr>
        <w:t xml:space="preserve"> </w:t>
      </w:r>
      <w:r w:rsidR="00C4248B">
        <w:rPr>
          <w:rFonts w:ascii="Arial" w:hAnsi="Arial"/>
          <w:b w:val="0"/>
        </w:rPr>
        <w:t>and</w:t>
      </w:r>
    </w:p>
    <w:p w14:paraId="12FE184B" w14:textId="77777777" w:rsidR="00DA0C09" w:rsidRDefault="00127ECF" w:rsidP="00615280">
      <w:pPr>
        <w:pStyle w:val="BodyText2"/>
        <w:autoSpaceDE/>
        <w:autoSpaceDN/>
        <w:adjustRightInd/>
        <w:ind w:left="1418" w:hanging="709"/>
        <w:rPr>
          <w:rFonts w:ascii="Arial" w:hAnsi="Arial"/>
          <w:b w:val="0"/>
        </w:rPr>
      </w:pPr>
      <w:r>
        <w:rPr>
          <w:rFonts w:ascii="Arial" w:hAnsi="Arial"/>
          <w:b w:val="0"/>
        </w:rPr>
        <w:t>(vi</w:t>
      </w:r>
      <w:r w:rsidR="00CB59BB">
        <w:rPr>
          <w:rFonts w:ascii="Arial" w:hAnsi="Arial"/>
          <w:b w:val="0"/>
        </w:rPr>
        <w:t>i</w:t>
      </w:r>
      <w:r>
        <w:rPr>
          <w:rFonts w:ascii="Arial" w:hAnsi="Arial"/>
          <w:b w:val="0"/>
        </w:rPr>
        <w:t xml:space="preserve">i) </w:t>
      </w:r>
      <w:r w:rsidR="007A57A8">
        <w:rPr>
          <w:rFonts w:ascii="Arial" w:hAnsi="Arial"/>
          <w:b w:val="0"/>
        </w:rPr>
        <w:tab/>
      </w:r>
      <w:r w:rsidR="00DA0C09" w:rsidRPr="00F50C2A">
        <w:rPr>
          <w:rFonts w:ascii="Arial" w:hAnsi="Arial"/>
          <w:b w:val="0"/>
        </w:rPr>
        <w:t>Supranational institutions</w:t>
      </w:r>
      <w:r w:rsidR="00C4248B">
        <w:rPr>
          <w:rFonts w:ascii="Arial" w:hAnsi="Arial"/>
          <w:b w:val="0"/>
        </w:rPr>
        <w:t>.</w:t>
      </w:r>
    </w:p>
    <w:p w14:paraId="38F6BCA7" w14:textId="77777777" w:rsidR="00511046" w:rsidRPr="006D0BA7" w:rsidRDefault="00511046" w:rsidP="00615280">
      <w:pPr>
        <w:pStyle w:val="BodyText2"/>
        <w:autoSpaceDE/>
        <w:autoSpaceDN/>
        <w:adjustRightInd/>
        <w:rPr>
          <w:rFonts w:ascii="Arial" w:hAnsi="Arial"/>
          <w:b w:val="0"/>
        </w:rPr>
      </w:pPr>
    </w:p>
    <w:p w14:paraId="6CB0307A" w14:textId="77777777" w:rsidR="00621EB4" w:rsidRDefault="006F4B27" w:rsidP="00924212">
      <w:pPr>
        <w:pStyle w:val="BodyText"/>
        <w:numPr>
          <w:ilvl w:val="1"/>
          <w:numId w:val="12"/>
        </w:numPr>
        <w:rPr>
          <w:rFonts w:ascii="Arial" w:hAnsi="Arial"/>
        </w:rPr>
      </w:pPr>
      <w:r>
        <w:rPr>
          <w:rFonts w:ascii="Arial" w:hAnsi="Arial"/>
        </w:rPr>
        <w:t>D</w:t>
      </w:r>
      <w:r w:rsidR="00DA0C09" w:rsidRPr="005850F6">
        <w:rPr>
          <w:rFonts w:ascii="Arial" w:hAnsi="Arial"/>
        </w:rPr>
        <w:t xml:space="preserve">ue </w:t>
      </w:r>
      <w:r w:rsidR="00DA0C09" w:rsidRPr="00621EB4">
        <w:rPr>
          <w:rFonts w:ascii="Arial" w:hAnsi="Arial"/>
        </w:rPr>
        <w:t>care will be taken to consider the country, group and sector exposure</w:t>
      </w:r>
    </w:p>
    <w:p w14:paraId="3E40A20B" w14:textId="77777777" w:rsidR="00DA0C09" w:rsidRPr="00621EB4" w:rsidRDefault="00DA0C09" w:rsidP="00621EB4">
      <w:pPr>
        <w:pStyle w:val="BodyText"/>
        <w:ind w:left="720"/>
        <w:rPr>
          <w:rFonts w:ascii="Arial" w:hAnsi="Arial"/>
        </w:rPr>
      </w:pPr>
      <w:r w:rsidRPr="00621EB4">
        <w:rPr>
          <w:rFonts w:ascii="Arial" w:hAnsi="Arial"/>
        </w:rPr>
        <w:t xml:space="preserve">of the </w:t>
      </w:r>
      <w:r w:rsidR="00860D58" w:rsidRPr="00621EB4">
        <w:rPr>
          <w:rFonts w:ascii="Arial" w:hAnsi="Arial"/>
        </w:rPr>
        <w:t>Commissioner</w:t>
      </w:r>
      <w:r w:rsidRPr="00621EB4">
        <w:rPr>
          <w:rFonts w:ascii="Arial" w:hAnsi="Arial"/>
        </w:rPr>
        <w:t>’s investments.  In part</w:t>
      </w:r>
      <w:r w:rsidR="00384E09" w:rsidRPr="00621EB4">
        <w:rPr>
          <w:rFonts w:ascii="Arial" w:hAnsi="Arial"/>
        </w:rPr>
        <w:t>,</w:t>
      </w:r>
      <w:r w:rsidRPr="00621EB4">
        <w:rPr>
          <w:rFonts w:ascii="Arial" w:hAnsi="Arial"/>
        </w:rPr>
        <w:t xml:space="preserve"> the country selection will be chosen by the credit rating of the Sovereign state</w:t>
      </w:r>
      <w:r w:rsidR="00B33352" w:rsidRPr="00621EB4">
        <w:rPr>
          <w:rFonts w:ascii="Arial" w:hAnsi="Arial"/>
        </w:rPr>
        <w:t>.</w:t>
      </w:r>
      <w:r w:rsidRPr="00621EB4">
        <w:rPr>
          <w:rFonts w:ascii="Arial" w:hAnsi="Arial"/>
        </w:rPr>
        <w:t xml:space="preserve">  In addition:</w:t>
      </w:r>
    </w:p>
    <w:p w14:paraId="50956539" w14:textId="77777777" w:rsidR="00127ECF" w:rsidRPr="00F813B4" w:rsidRDefault="00127ECF" w:rsidP="00615280">
      <w:pPr>
        <w:pStyle w:val="BodyText"/>
        <w:ind w:left="720" w:hanging="720"/>
        <w:rPr>
          <w:rFonts w:ascii="Arial" w:hAnsi="Arial"/>
          <w:i/>
          <w:color w:val="0000FF"/>
        </w:rPr>
      </w:pPr>
    </w:p>
    <w:p w14:paraId="0E5924C3" w14:textId="77777777" w:rsidR="00DA0C09" w:rsidRPr="00353197" w:rsidRDefault="00C4248B" w:rsidP="00924212">
      <w:pPr>
        <w:pStyle w:val="BodyText"/>
        <w:numPr>
          <w:ilvl w:val="0"/>
          <w:numId w:val="5"/>
        </w:numPr>
        <w:tabs>
          <w:tab w:val="clear" w:pos="1080"/>
          <w:tab w:val="num" w:pos="1418"/>
        </w:tabs>
        <w:ind w:left="1418" w:hanging="698"/>
        <w:rPr>
          <w:rFonts w:ascii="Arial" w:hAnsi="Arial"/>
          <w:i/>
          <w:color w:val="0000FF"/>
        </w:rPr>
      </w:pPr>
      <w:r w:rsidRPr="00353197">
        <w:rPr>
          <w:rFonts w:ascii="Arial" w:hAnsi="Arial"/>
        </w:rPr>
        <w:t>N</w:t>
      </w:r>
      <w:r w:rsidR="00EC2E24" w:rsidRPr="00353197">
        <w:rPr>
          <w:rFonts w:ascii="Arial" w:hAnsi="Arial"/>
        </w:rPr>
        <w:t xml:space="preserve">o </w:t>
      </w:r>
      <w:r w:rsidR="00F813B4" w:rsidRPr="00353197">
        <w:rPr>
          <w:rFonts w:ascii="Arial" w:hAnsi="Arial"/>
        </w:rPr>
        <w:t xml:space="preserve">more than £3m will be placed with any single non-UK country at any time; </w:t>
      </w:r>
    </w:p>
    <w:p w14:paraId="0CE3F348" w14:textId="3A1BD276" w:rsidR="00127ECF" w:rsidRPr="00353197" w:rsidRDefault="007E6A95" w:rsidP="007E6A95">
      <w:pPr>
        <w:pStyle w:val="BodyText"/>
        <w:numPr>
          <w:ilvl w:val="0"/>
          <w:numId w:val="5"/>
        </w:numPr>
        <w:rPr>
          <w:rFonts w:ascii="Arial" w:hAnsi="Arial"/>
          <w:i/>
          <w:color w:val="0000FF"/>
        </w:rPr>
      </w:pPr>
      <w:r>
        <w:rPr>
          <w:rFonts w:ascii="Arial" w:hAnsi="Arial"/>
        </w:rPr>
        <w:t xml:space="preserve">     </w:t>
      </w:r>
      <w:r w:rsidR="00C4248B" w:rsidRPr="00353197">
        <w:rPr>
          <w:rFonts w:ascii="Arial" w:hAnsi="Arial"/>
        </w:rPr>
        <w:t>L</w:t>
      </w:r>
      <w:r w:rsidR="00F813B4" w:rsidRPr="00353197">
        <w:rPr>
          <w:rFonts w:ascii="Arial" w:hAnsi="Arial"/>
        </w:rPr>
        <w:t>imits in place above will apply to Group companies;</w:t>
      </w:r>
      <w:r w:rsidR="00C4248B" w:rsidRPr="00353197">
        <w:rPr>
          <w:rFonts w:ascii="Arial" w:hAnsi="Arial"/>
        </w:rPr>
        <w:t xml:space="preserve"> and</w:t>
      </w:r>
    </w:p>
    <w:p w14:paraId="1FF8CB9A" w14:textId="6EDCF6EE" w:rsidR="00DA0C09" w:rsidRPr="00615280" w:rsidRDefault="007E6A95" w:rsidP="00924212">
      <w:pPr>
        <w:pStyle w:val="BodyText"/>
        <w:numPr>
          <w:ilvl w:val="0"/>
          <w:numId w:val="5"/>
        </w:numPr>
        <w:tabs>
          <w:tab w:val="clear" w:pos="1080"/>
          <w:tab w:val="num" w:pos="1418"/>
        </w:tabs>
        <w:rPr>
          <w:rFonts w:ascii="Arial" w:hAnsi="Arial"/>
          <w:i/>
        </w:rPr>
      </w:pPr>
      <w:r>
        <w:rPr>
          <w:rFonts w:ascii="Arial" w:hAnsi="Arial"/>
        </w:rPr>
        <w:t xml:space="preserve">     </w:t>
      </w:r>
      <w:r w:rsidR="00DA0C09" w:rsidRPr="005850F6">
        <w:rPr>
          <w:rFonts w:ascii="Arial" w:hAnsi="Arial"/>
        </w:rPr>
        <w:t>Sector limits will be monitored regularly for appropriateness.</w:t>
      </w:r>
    </w:p>
    <w:p w14:paraId="26A7A07F" w14:textId="77777777" w:rsidR="00127ECF" w:rsidRPr="009E249F" w:rsidRDefault="00127ECF" w:rsidP="00615280">
      <w:pPr>
        <w:pStyle w:val="BodyText"/>
        <w:rPr>
          <w:rFonts w:ascii="Arial" w:hAnsi="Arial"/>
        </w:rPr>
      </w:pPr>
    </w:p>
    <w:p w14:paraId="07C501E8" w14:textId="77777777" w:rsidR="00621EB4" w:rsidRPr="00621EB4" w:rsidRDefault="004946B1" w:rsidP="00924212">
      <w:pPr>
        <w:pStyle w:val="BodyText"/>
        <w:numPr>
          <w:ilvl w:val="1"/>
          <w:numId w:val="13"/>
        </w:numPr>
        <w:ind w:left="709" w:hanging="709"/>
        <w:rPr>
          <w:rFonts w:ascii="Arial" w:hAnsi="Arial"/>
        </w:rPr>
      </w:pPr>
      <w:r w:rsidRPr="00621EB4">
        <w:rPr>
          <w:rFonts w:ascii="Arial" w:hAnsi="Arial"/>
        </w:rPr>
        <w:t>A</w:t>
      </w:r>
      <w:r w:rsidR="00DA0C09" w:rsidRPr="00621EB4">
        <w:rPr>
          <w:rFonts w:ascii="Arial" w:hAnsi="Arial"/>
        </w:rPr>
        <w:t xml:space="preserve">dditional requirements under the Code of Practice now require the </w:t>
      </w:r>
      <w:r w:rsidR="006B515B" w:rsidRPr="00621EB4">
        <w:rPr>
          <w:rFonts w:ascii="Arial" w:hAnsi="Arial"/>
        </w:rPr>
        <w:tab/>
      </w:r>
      <w:r w:rsidR="0019147C" w:rsidRPr="00621EB4">
        <w:rPr>
          <w:rFonts w:ascii="Arial" w:hAnsi="Arial"/>
        </w:rPr>
        <w:t>Commissioner</w:t>
      </w:r>
      <w:r w:rsidR="00467AA9" w:rsidRPr="00621EB4">
        <w:rPr>
          <w:rFonts w:ascii="Arial" w:hAnsi="Arial"/>
        </w:rPr>
        <w:t xml:space="preserve"> to sup</w:t>
      </w:r>
      <w:r w:rsidR="00DA0C09" w:rsidRPr="00621EB4">
        <w:rPr>
          <w:rFonts w:ascii="Arial" w:hAnsi="Arial"/>
        </w:rPr>
        <w:t>plement credit rating information.  Whilst the</w:t>
      </w:r>
      <w:r w:rsidR="00621EB4">
        <w:rPr>
          <w:rFonts w:ascii="Arial" w:hAnsi="Arial"/>
        </w:rPr>
        <w:t xml:space="preserve"> </w:t>
      </w:r>
      <w:r w:rsidR="00621EB4" w:rsidRPr="00621EB4">
        <w:rPr>
          <w:rFonts w:ascii="Arial" w:hAnsi="Arial"/>
        </w:rPr>
        <w:t>above</w:t>
      </w:r>
      <w:r w:rsidR="00621EB4">
        <w:rPr>
          <w:rFonts w:ascii="Arial" w:hAnsi="Arial"/>
        </w:rPr>
        <w:t xml:space="preserve"> </w:t>
      </w:r>
      <w:r w:rsidR="00DA0C09" w:rsidRPr="00621EB4">
        <w:rPr>
          <w:rFonts w:ascii="Arial" w:hAnsi="Arial"/>
        </w:rPr>
        <w:t>criteria</w:t>
      </w:r>
      <w:r w:rsidR="00621EB4">
        <w:rPr>
          <w:rFonts w:ascii="Arial" w:hAnsi="Arial"/>
        </w:rPr>
        <w:t xml:space="preserve"> </w:t>
      </w:r>
      <w:r w:rsidR="00DA0C09" w:rsidRPr="00621EB4">
        <w:rPr>
          <w:rFonts w:ascii="Arial" w:hAnsi="Arial"/>
        </w:rPr>
        <w:t>relies</w:t>
      </w:r>
      <w:r w:rsidR="00621EB4">
        <w:rPr>
          <w:rFonts w:ascii="Arial" w:hAnsi="Arial"/>
        </w:rPr>
        <w:t xml:space="preserve"> </w:t>
      </w:r>
      <w:r w:rsidR="00DA0C09" w:rsidRPr="00621EB4">
        <w:rPr>
          <w:rFonts w:ascii="Arial" w:hAnsi="Arial"/>
        </w:rPr>
        <w:t>primarily</w:t>
      </w:r>
      <w:r w:rsidR="00621EB4">
        <w:rPr>
          <w:rFonts w:ascii="Arial" w:hAnsi="Arial"/>
        </w:rPr>
        <w:t xml:space="preserve"> </w:t>
      </w:r>
      <w:r w:rsidR="00DA0C09" w:rsidRPr="00621EB4">
        <w:rPr>
          <w:rFonts w:ascii="Arial" w:hAnsi="Arial"/>
        </w:rPr>
        <w:t>on the application of credit ratings to provide</w:t>
      </w:r>
      <w:r w:rsidR="00621EB4">
        <w:rPr>
          <w:rFonts w:ascii="Arial" w:hAnsi="Arial"/>
        </w:rPr>
        <w:t xml:space="preserve"> </w:t>
      </w:r>
      <w:r w:rsidR="00621EB4" w:rsidRPr="00621EB4">
        <w:rPr>
          <w:rFonts w:ascii="Arial" w:hAnsi="Arial"/>
        </w:rPr>
        <w:t xml:space="preserve">a pool </w:t>
      </w:r>
      <w:r w:rsidR="00DA0C09" w:rsidRPr="00621EB4">
        <w:rPr>
          <w:rFonts w:ascii="Arial" w:hAnsi="Arial"/>
        </w:rPr>
        <w:t xml:space="preserve">of appropriate counterparties for officers to use, </w:t>
      </w:r>
      <w:r w:rsidR="00621EB4" w:rsidRPr="00621EB4">
        <w:rPr>
          <w:rFonts w:ascii="Arial" w:hAnsi="Arial"/>
        </w:rPr>
        <w:t>additional o</w:t>
      </w:r>
      <w:r w:rsidR="00DA0C09" w:rsidRPr="00621EB4">
        <w:rPr>
          <w:rFonts w:ascii="Arial" w:hAnsi="Arial"/>
        </w:rPr>
        <w:t>perational market information will be applied before making any specific investment decision from the agreed pool of counterparties.  This additional market information (for example Credit Default Swaps, negative rating watches/</w:t>
      </w:r>
      <w:r w:rsidR="00D869A7">
        <w:rPr>
          <w:rFonts w:ascii="Arial" w:hAnsi="Arial"/>
        </w:rPr>
        <w:t xml:space="preserve"> </w:t>
      </w:r>
      <w:r w:rsidR="00DA0C09" w:rsidRPr="00621EB4">
        <w:rPr>
          <w:rFonts w:ascii="Arial" w:hAnsi="Arial"/>
        </w:rPr>
        <w:t xml:space="preserve">outlooks) will be applied to </w:t>
      </w:r>
      <w:r w:rsidR="006B515B" w:rsidRPr="00621EB4">
        <w:rPr>
          <w:rFonts w:ascii="Arial" w:hAnsi="Arial"/>
        </w:rPr>
        <w:tab/>
      </w:r>
      <w:r w:rsidR="00DA0C09" w:rsidRPr="00621EB4">
        <w:rPr>
          <w:rFonts w:ascii="Arial" w:hAnsi="Arial"/>
        </w:rPr>
        <w:t>compare the relative security of differing investment counterparties.</w:t>
      </w:r>
    </w:p>
    <w:p w14:paraId="2BE6C59F" w14:textId="77777777" w:rsidR="00621EB4" w:rsidRDefault="00621EB4" w:rsidP="00621EB4">
      <w:pPr>
        <w:pStyle w:val="BodyText"/>
        <w:ind w:left="709"/>
        <w:rPr>
          <w:rFonts w:ascii="Arial" w:hAnsi="Arial"/>
        </w:rPr>
      </w:pPr>
    </w:p>
    <w:p w14:paraId="4F384246" w14:textId="77777777" w:rsidR="00DA0C09" w:rsidRPr="00621EB4" w:rsidRDefault="009A7C47" w:rsidP="00924212">
      <w:pPr>
        <w:pStyle w:val="BodyText"/>
        <w:numPr>
          <w:ilvl w:val="1"/>
          <w:numId w:val="13"/>
        </w:numPr>
        <w:ind w:left="709" w:hanging="709"/>
        <w:rPr>
          <w:rFonts w:ascii="Arial" w:hAnsi="Arial"/>
        </w:rPr>
      </w:pPr>
      <w:r w:rsidRPr="00621EB4">
        <w:rPr>
          <w:rFonts w:ascii="Arial" w:hAnsi="Arial"/>
        </w:rPr>
        <w:t>Th</w:t>
      </w:r>
      <w:r w:rsidR="00DA0C09" w:rsidRPr="00621EB4">
        <w:rPr>
          <w:rFonts w:ascii="Arial" w:hAnsi="Arial"/>
        </w:rPr>
        <w:t xml:space="preserve">e time and monetary limits for institutions on the </w:t>
      </w:r>
      <w:r w:rsidR="0010202C" w:rsidRPr="00621EB4">
        <w:rPr>
          <w:rFonts w:ascii="Arial" w:hAnsi="Arial"/>
        </w:rPr>
        <w:t>Commissioner</w:t>
      </w:r>
      <w:r w:rsidR="00DA0C09" w:rsidRPr="00621EB4">
        <w:rPr>
          <w:rFonts w:ascii="Arial" w:hAnsi="Arial"/>
        </w:rPr>
        <w:t>’s Counterparty List are as follows:</w:t>
      </w:r>
    </w:p>
    <w:p w14:paraId="3C534548" w14:textId="77777777" w:rsidR="00D71173" w:rsidRDefault="00D71173" w:rsidP="00D71173">
      <w:pPr>
        <w:pStyle w:val="ListParagraph"/>
        <w:rPr>
          <w:rFonts w:ascii="Arial" w:hAnsi="Arial"/>
        </w:rPr>
      </w:pPr>
    </w:p>
    <w:tbl>
      <w:tblPr>
        <w:tblW w:w="7999" w:type="dxa"/>
        <w:tblInd w:w="735" w:type="dxa"/>
        <w:tblLayout w:type="fixed"/>
        <w:tblCellMar>
          <w:left w:w="0" w:type="dxa"/>
          <w:right w:w="0" w:type="dxa"/>
        </w:tblCellMar>
        <w:tblLook w:val="0000" w:firstRow="0" w:lastRow="0" w:firstColumn="0" w:lastColumn="0" w:noHBand="0" w:noVBand="0"/>
      </w:tblPr>
      <w:tblGrid>
        <w:gridCol w:w="2857"/>
        <w:gridCol w:w="1582"/>
        <w:gridCol w:w="1780"/>
        <w:gridCol w:w="1780"/>
      </w:tblGrid>
      <w:tr w:rsidR="00DA0C09" w:rsidRPr="005850F6" w14:paraId="09DEEF46" w14:textId="77777777" w:rsidTr="00DF7F1A">
        <w:trPr>
          <w:trHeight w:val="490"/>
        </w:trPr>
        <w:tc>
          <w:tcPr>
            <w:tcW w:w="2857" w:type="dxa"/>
            <w:tcBorders>
              <w:top w:val="single" w:sz="4" w:space="0" w:color="auto"/>
              <w:left w:val="single" w:sz="4" w:space="0" w:color="auto"/>
              <w:bottom w:val="single" w:sz="6" w:space="0" w:color="000000"/>
              <w:right w:val="single" w:sz="6" w:space="0" w:color="000000"/>
            </w:tcBorders>
            <w:shd w:val="clear" w:color="auto" w:fill="auto"/>
          </w:tcPr>
          <w:p w14:paraId="6195AA6E" w14:textId="77777777" w:rsidR="00DA0C09" w:rsidRPr="005850F6" w:rsidRDefault="00DA0C09" w:rsidP="00353197">
            <w:pPr>
              <w:pStyle w:val="BodyText2"/>
              <w:rPr>
                <w:rFonts w:ascii="Arial" w:hAnsi="Arial"/>
                <w:b w:val="0"/>
              </w:rPr>
            </w:pPr>
            <w:r w:rsidRPr="005850F6">
              <w:rPr>
                <w:rFonts w:ascii="Arial" w:hAnsi="Arial"/>
                <w:b w:val="0"/>
              </w:rPr>
              <w:t> </w:t>
            </w:r>
          </w:p>
        </w:tc>
        <w:tc>
          <w:tcPr>
            <w:tcW w:w="1582" w:type="dxa"/>
            <w:tcBorders>
              <w:top w:val="single" w:sz="4" w:space="0" w:color="auto"/>
              <w:left w:val="single" w:sz="6" w:space="0" w:color="000000"/>
              <w:bottom w:val="single" w:sz="6" w:space="0" w:color="000000"/>
              <w:right w:val="single" w:sz="6" w:space="0" w:color="000000"/>
            </w:tcBorders>
            <w:shd w:val="clear" w:color="auto" w:fill="auto"/>
          </w:tcPr>
          <w:p w14:paraId="45B81E8B" w14:textId="77777777" w:rsidR="00DA0C09" w:rsidRPr="005850F6" w:rsidRDefault="00DA0C09" w:rsidP="00DA0C09">
            <w:pPr>
              <w:pStyle w:val="BodyText2"/>
              <w:spacing w:after="120"/>
              <w:jc w:val="center"/>
              <w:rPr>
                <w:rFonts w:ascii="Arial" w:hAnsi="Arial"/>
              </w:rPr>
            </w:pPr>
            <w:r w:rsidRPr="005850F6">
              <w:rPr>
                <w:rFonts w:ascii="Arial" w:hAnsi="Arial"/>
              </w:rPr>
              <w:t>Fitch</w:t>
            </w:r>
          </w:p>
          <w:p w14:paraId="43789981" w14:textId="77777777" w:rsidR="00DA0C09" w:rsidRPr="005850F6" w:rsidRDefault="00DA0C09" w:rsidP="00DA0C09">
            <w:pPr>
              <w:pStyle w:val="BodyText2"/>
              <w:spacing w:after="120"/>
              <w:jc w:val="center"/>
              <w:rPr>
                <w:rFonts w:ascii="Arial" w:hAnsi="Arial"/>
              </w:rPr>
            </w:pPr>
            <w:r w:rsidRPr="005850F6">
              <w:rPr>
                <w:rFonts w:ascii="Arial" w:hAnsi="Arial"/>
              </w:rPr>
              <w:t>(or equivalent)</w:t>
            </w:r>
          </w:p>
        </w:tc>
        <w:tc>
          <w:tcPr>
            <w:tcW w:w="1780" w:type="dxa"/>
            <w:tcBorders>
              <w:top w:val="single" w:sz="4" w:space="0" w:color="auto"/>
              <w:left w:val="single" w:sz="6" w:space="0" w:color="000000"/>
              <w:bottom w:val="single" w:sz="6" w:space="0" w:color="000000"/>
              <w:right w:val="single" w:sz="6" w:space="0" w:color="000000"/>
            </w:tcBorders>
            <w:shd w:val="clear" w:color="auto" w:fill="auto"/>
          </w:tcPr>
          <w:p w14:paraId="04A5CFFF" w14:textId="77777777" w:rsidR="00DA0C09" w:rsidRPr="005850F6" w:rsidRDefault="00DA0C09" w:rsidP="00DA0C09">
            <w:pPr>
              <w:pStyle w:val="BodyText2"/>
              <w:spacing w:after="120"/>
              <w:jc w:val="center"/>
              <w:rPr>
                <w:rFonts w:ascii="Arial" w:hAnsi="Arial"/>
              </w:rPr>
            </w:pPr>
            <w:r w:rsidRPr="005850F6">
              <w:rPr>
                <w:rFonts w:ascii="Arial" w:hAnsi="Arial"/>
              </w:rPr>
              <w:t>Money Limit</w:t>
            </w:r>
          </w:p>
        </w:tc>
        <w:tc>
          <w:tcPr>
            <w:tcW w:w="1780" w:type="dxa"/>
            <w:tcBorders>
              <w:top w:val="single" w:sz="4" w:space="0" w:color="auto"/>
              <w:left w:val="single" w:sz="6" w:space="0" w:color="000000"/>
              <w:bottom w:val="single" w:sz="6" w:space="0" w:color="000000"/>
              <w:right w:val="single" w:sz="4" w:space="0" w:color="auto"/>
            </w:tcBorders>
            <w:shd w:val="clear" w:color="auto" w:fill="auto"/>
          </w:tcPr>
          <w:p w14:paraId="68290CDA" w14:textId="77777777" w:rsidR="00DA0C09" w:rsidRPr="005850F6" w:rsidRDefault="00DA0C09" w:rsidP="00DA0C09">
            <w:pPr>
              <w:pStyle w:val="BodyText2"/>
              <w:spacing w:after="120"/>
              <w:jc w:val="center"/>
              <w:rPr>
                <w:rFonts w:ascii="Arial" w:hAnsi="Arial"/>
              </w:rPr>
            </w:pPr>
            <w:r w:rsidRPr="005850F6">
              <w:rPr>
                <w:rFonts w:ascii="Arial" w:hAnsi="Arial"/>
              </w:rPr>
              <w:t>Time Limit</w:t>
            </w:r>
          </w:p>
        </w:tc>
      </w:tr>
      <w:tr w:rsidR="00DA0C09" w:rsidRPr="005850F6" w14:paraId="26F88E90" w14:textId="77777777" w:rsidTr="00DF7F1A">
        <w:trPr>
          <w:trHeight w:val="337"/>
        </w:trPr>
        <w:tc>
          <w:tcPr>
            <w:tcW w:w="2857" w:type="dxa"/>
            <w:tcBorders>
              <w:top w:val="single" w:sz="6" w:space="0" w:color="000000"/>
              <w:left w:val="single" w:sz="4" w:space="0" w:color="auto"/>
              <w:bottom w:val="single" w:sz="6" w:space="0" w:color="000000"/>
              <w:right w:val="single" w:sz="6" w:space="0" w:color="000000"/>
            </w:tcBorders>
          </w:tcPr>
          <w:p w14:paraId="488E0F5F" w14:textId="77777777" w:rsidR="00DA0C09" w:rsidRPr="00F333F1" w:rsidRDefault="00C258CA" w:rsidP="00353197">
            <w:pPr>
              <w:pStyle w:val="BodyText2"/>
              <w:rPr>
                <w:rFonts w:ascii="Arial" w:hAnsi="Arial"/>
                <w:b w:val="0"/>
              </w:rPr>
            </w:pPr>
            <w:r w:rsidRPr="00F333F1">
              <w:rPr>
                <w:rFonts w:ascii="Arial" w:hAnsi="Arial"/>
                <w:b w:val="0"/>
              </w:rPr>
              <w:t xml:space="preserve">UK </w:t>
            </w:r>
            <w:r w:rsidR="001F508E" w:rsidRPr="00F333F1">
              <w:rPr>
                <w:rFonts w:ascii="Arial" w:hAnsi="Arial"/>
                <w:b w:val="0"/>
              </w:rPr>
              <w:t>Banks (Groups)</w:t>
            </w:r>
          </w:p>
        </w:tc>
        <w:tc>
          <w:tcPr>
            <w:tcW w:w="1582" w:type="dxa"/>
            <w:tcBorders>
              <w:top w:val="single" w:sz="6" w:space="0" w:color="000000"/>
              <w:left w:val="single" w:sz="6" w:space="0" w:color="000000"/>
              <w:bottom w:val="single" w:sz="6" w:space="0" w:color="000000"/>
              <w:right w:val="single" w:sz="6" w:space="0" w:color="000000"/>
            </w:tcBorders>
          </w:tcPr>
          <w:p w14:paraId="0CF0792B" w14:textId="77777777" w:rsidR="00DA0C09" w:rsidRPr="00F333F1" w:rsidRDefault="00DA0C09" w:rsidP="00DA0C09">
            <w:pPr>
              <w:pStyle w:val="BodyText2"/>
              <w:spacing w:after="120"/>
              <w:jc w:val="center"/>
              <w:rPr>
                <w:rFonts w:ascii="Arial" w:hAnsi="Arial"/>
                <w:b w:val="0"/>
                <w:i/>
              </w:rPr>
            </w:pPr>
            <w:r w:rsidRPr="00F333F1">
              <w:rPr>
                <w:rFonts w:ascii="Arial" w:hAnsi="Arial"/>
                <w:b w:val="0"/>
                <w:i/>
              </w:rPr>
              <w:t>P1/F1/A1</w:t>
            </w:r>
          </w:p>
        </w:tc>
        <w:tc>
          <w:tcPr>
            <w:tcW w:w="1780" w:type="dxa"/>
            <w:tcBorders>
              <w:top w:val="single" w:sz="6" w:space="0" w:color="000000"/>
              <w:left w:val="single" w:sz="6" w:space="0" w:color="000000"/>
              <w:bottom w:val="single" w:sz="6" w:space="0" w:color="000000"/>
              <w:right w:val="single" w:sz="6" w:space="0" w:color="000000"/>
            </w:tcBorders>
          </w:tcPr>
          <w:p w14:paraId="00652F4E" w14:textId="77777777" w:rsidR="00DA0C09" w:rsidRPr="00F333F1" w:rsidRDefault="00DA0C09" w:rsidP="00C258CA">
            <w:pPr>
              <w:pStyle w:val="BodyText2"/>
              <w:spacing w:after="120"/>
              <w:jc w:val="center"/>
              <w:rPr>
                <w:rFonts w:ascii="Arial" w:hAnsi="Arial"/>
                <w:b w:val="0"/>
              </w:rPr>
            </w:pPr>
            <w:r w:rsidRPr="00F333F1">
              <w:rPr>
                <w:rFonts w:ascii="Arial" w:hAnsi="Arial"/>
                <w:b w:val="0"/>
              </w:rPr>
              <w:t>£</w:t>
            </w:r>
            <w:r w:rsidR="00C258CA" w:rsidRPr="00F333F1">
              <w:rPr>
                <w:rFonts w:ascii="Arial" w:hAnsi="Arial"/>
                <w:b w:val="0"/>
              </w:rPr>
              <w:t>10</w:t>
            </w:r>
            <w:r w:rsidRPr="00F333F1">
              <w:rPr>
                <w:rFonts w:ascii="Arial" w:hAnsi="Arial"/>
                <w:b w:val="0"/>
              </w:rPr>
              <w:t>m</w:t>
            </w:r>
          </w:p>
        </w:tc>
        <w:tc>
          <w:tcPr>
            <w:tcW w:w="1780" w:type="dxa"/>
            <w:tcBorders>
              <w:top w:val="single" w:sz="6" w:space="0" w:color="000000"/>
              <w:left w:val="single" w:sz="6" w:space="0" w:color="000000"/>
              <w:bottom w:val="single" w:sz="6" w:space="0" w:color="000000"/>
              <w:right w:val="single" w:sz="4" w:space="0" w:color="auto"/>
            </w:tcBorders>
          </w:tcPr>
          <w:p w14:paraId="44D47E28" w14:textId="77777777" w:rsidR="00DA0C09" w:rsidRPr="005850F6" w:rsidRDefault="00DA0C09" w:rsidP="00DA0C09">
            <w:pPr>
              <w:pStyle w:val="BodyText2"/>
              <w:spacing w:after="120"/>
              <w:jc w:val="center"/>
              <w:rPr>
                <w:rFonts w:ascii="Arial" w:hAnsi="Arial"/>
                <w:b w:val="0"/>
              </w:rPr>
            </w:pPr>
            <w:r w:rsidRPr="005850F6">
              <w:rPr>
                <w:rFonts w:ascii="Arial" w:hAnsi="Arial"/>
                <w:b w:val="0"/>
              </w:rPr>
              <w:t>&lt;365days</w:t>
            </w:r>
          </w:p>
        </w:tc>
      </w:tr>
      <w:tr w:rsidR="00C258CA" w:rsidRPr="005850F6" w14:paraId="15BEB88C" w14:textId="77777777" w:rsidTr="00DF7F1A">
        <w:trPr>
          <w:trHeight w:val="337"/>
        </w:trPr>
        <w:tc>
          <w:tcPr>
            <w:tcW w:w="2857" w:type="dxa"/>
            <w:tcBorders>
              <w:top w:val="single" w:sz="6" w:space="0" w:color="000000"/>
              <w:left w:val="single" w:sz="4" w:space="0" w:color="auto"/>
              <w:bottom w:val="single" w:sz="6" w:space="0" w:color="000000"/>
              <w:right w:val="single" w:sz="6" w:space="0" w:color="000000"/>
            </w:tcBorders>
          </w:tcPr>
          <w:p w14:paraId="2881FDDC" w14:textId="77777777" w:rsidR="00C258CA" w:rsidRPr="00F333F1" w:rsidRDefault="00C258CA" w:rsidP="00353197">
            <w:pPr>
              <w:pStyle w:val="BodyText2"/>
              <w:rPr>
                <w:rFonts w:ascii="Arial" w:hAnsi="Arial"/>
                <w:b w:val="0"/>
              </w:rPr>
            </w:pPr>
            <w:r w:rsidRPr="00F333F1">
              <w:rPr>
                <w:rFonts w:ascii="Arial" w:hAnsi="Arial"/>
                <w:b w:val="0"/>
              </w:rPr>
              <w:t>Non UK Banks (Groups)</w:t>
            </w:r>
          </w:p>
        </w:tc>
        <w:tc>
          <w:tcPr>
            <w:tcW w:w="1582" w:type="dxa"/>
            <w:tcBorders>
              <w:top w:val="single" w:sz="6" w:space="0" w:color="000000"/>
              <w:left w:val="single" w:sz="6" w:space="0" w:color="000000"/>
              <w:bottom w:val="single" w:sz="6" w:space="0" w:color="000000"/>
              <w:right w:val="single" w:sz="6" w:space="0" w:color="000000"/>
            </w:tcBorders>
          </w:tcPr>
          <w:p w14:paraId="1DF4A8B5" w14:textId="77777777" w:rsidR="00C258CA" w:rsidRPr="00F333F1" w:rsidRDefault="00C258CA" w:rsidP="00DA0C09">
            <w:pPr>
              <w:pStyle w:val="BodyText2"/>
              <w:spacing w:after="120"/>
              <w:jc w:val="center"/>
              <w:rPr>
                <w:rFonts w:ascii="Arial" w:hAnsi="Arial"/>
                <w:b w:val="0"/>
                <w:i/>
              </w:rPr>
            </w:pPr>
            <w:r w:rsidRPr="00F333F1">
              <w:rPr>
                <w:rFonts w:ascii="Arial" w:hAnsi="Arial"/>
                <w:b w:val="0"/>
                <w:i/>
              </w:rPr>
              <w:t>P1/F1/A1</w:t>
            </w:r>
          </w:p>
        </w:tc>
        <w:tc>
          <w:tcPr>
            <w:tcW w:w="1780" w:type="dxa"/>
            <w:tcBorders>
              <w:top w:val="single" w:sz="6" w:space="0" w:color="000000"/>
              <w:left w:val="single" w:sz="6" w:space="0" w:color="000000"/>
              <w:bottom w:val="single" w:sz="6" w:space="0" w:color="000000"/>
              <w:right w:val="single" w:sz="6" w:space="0" w:color="000000"/>
            </w:tcBorders>
          </w:tcPr>
          <w:p w14:paraId="4DF8DBAE" w14:textId="77777777" w:rsidR="00C258CA" w:rsidRPr="00F333F1" w:rsidRDefault="00C258CA" w:rsidP="00DA0C09">
            <w:pPr>
              <w:pStyle w:val="BodyText2"/>
              <w:spacing w:after="120"/>
              <w:jc w:val="center"/>
              <w:rPr>
                <w:rFonts w:ascii="Arial" w:hAnsi="Arial"/>
                <w:b w:val="0"/>
              </w:rPr>
            </w:pPr>
            <w:r w:rsidRPr="00F333F1">
              <w:rPr>
                <w:rFonts w:ascii="Arial" w:hAnsi="Arial"/>
                <w:b w:val="0"/>
              </w:rPr>
              <w:t>£5m</w:t>
            </w:r>
          </w:p>
        </w:tc>
        <w:tc>
          <w:tcPr>
            <w:tcW w:w="1780" w:type="dxa"/>
            <w:tcBorders>
              <w:top w:val="single" w:sz="6" w:space="0" w:color="000000"/>
              <w:left w:val="single" w:sz="6" w:space="0" w:color="000000"/>
              <w:bottom w:val="single" w:sz="6" w:space="0" w:color="000000"/>
              <w:right w:val="single" w:sz="4" w:space="0" w:color="auto"/>
            </w:tcBorders>
          </w:tcPr>
          <w:p w14:paraId="5F107754" w14:textId="77777777" w:rsidR="00C258CA" w:rsidRPr="00C258CA" w:rsidRDefault="00C258CA" w:rsidP="001F508E">
            <w:pPr>
              <w:jc w:val="center"/>
              <w:rPr>
                <w:rFonts w:ascii="Arial" w:hAnsi="Arial"/>
              </w:rPr>
            </w:pPr>
            <w:r w:rsidRPr="00C258CA">
              <w:rPr>
                <w:rFonts w:ascii="Arial" w:hAnsi="Arial"/>
              </w:rPr>
              <w:t>&lt;365days</w:t>
            </w:r>
          </w:p>
        </w:tc>
      </w:tr>
      <w:tr w:rsidR="001F508E" w:rsidRPr="005850F6" w14:paraId="5DDF6BDC" w14:textId="77777777" w:rsidTr="00DF7F1A">
        <w:trPr>
          <w:trHeight w:val="337"/>
        </w:trPr>
        <w:tc>
          <w:tcPr>
            <w:tcW w:w="2857" w:type="dxa"/>
            <w:tcBorders>
              <w:top w:val="single" w:sz="6" w:space="0" w:color="000000"/>
              <w:left w:val="single" w:sz="4" w:space="0" w:color="auto"/>
              <w:bottom w:val="single" w:sz="6" w:space="0" w:color="000000"/>
              <w:right w:val="single" w:sz="6" w:space="0" w:color="000000"/>
            </w:tcBorders>
          </w:tcPr>
          <w:p w14:paraId="50BA7CF8" w14:textId="77777777" w:rsidR="001F508E" w:rsidRPr="00F333F1" w:rsidRDefault="001F508E" w:rsidP="00353197">
            <w:pPr>
              <w:pStyle w:val="BodyText2"/>
              <w:rPr>
                <w:rFonts w:ascii="Arial" w:hAnsi="Arial"/>
                <w:b w:val="0"/>
              </w:rPr>
            </w:pPr>
            <w:r w:rsidRPr="00F333F1">
              <w:rPr>
                <w:rFonts w:ascii="Arial" w:hAnsi="Arial"/>
                <w:b w:val="0"/>
              </w:rPr>
              <w:t>Building Societies</w:t>
            </w:r>
          </w:p>
        </w:tc>
        <w:tc>
          <w:tcPr>
            <w:tcW w:w="1582" w:type="dxa"/>
            <w:tcBorders>
              <w:top w:val="single" w:sz="6" w:space="0" w:color="000000"/>
              <w:left w:val="single" w:sz="6" w:space="0" w:color="000000"/>
              <w:bottom w:val="single" w:sz="6" w:space="0" w:color="000000"/>
              <w:right w:val="single" w:sz="6" w:space="0" w:color="000000"/>
            </w:tcBorders>
          </w:tcPr>
          <w:p w14:paraId="1D591315" w14:textId="77777777" w:rsidR="001F508E" w:rsidRPr="00F333F1" w:rsidRDefault="00397C74" w:rsidP="00DA0C09">
            <w:pPr>
              <w:pStyle w:val="BodyText2"/>
              <w:spacing w:after="120"/>
              <w:jc w:val="center"/>
              <w:rPr>
                <w:rFonts w:ascii="Arial" w:hAnsi="Arial"/>
                <w:b w:val="0"/>
              </w:rPr>
            </w:pPr>
            <w:r w:rsidRPr="00F333F1">
              <w:rPr>
                <w:rFonts w:ascii="Arial" w:hAnsi="Arial"/>
                <w:b w:val="0"/>
                <w:i/>
              </w:rPr>
              <w:t>P1/F1/A1</w:t>
            </w:r>
          </w:p>
        </w:tc>
        <w:tc>
          <w:tcPr>
            <w:tcW w:w="1780" w:type="dxa"/>
            <w:tcBorders>
              <w:top w:val="single" w:sz="6" w:space="0" w:color="000000"/>
              <w:left w:val="single" w:sz="6" w:space="0" w:color="000000"/>
              <w:bottom w:val="single" w:sz="6" w:space="0" w:color="000000"/>
              <w:right w:val="single" w:sz="6" w:space="0" w:color="000000"/>
            </w:tcBorders>
          </w:tcPr>
          <w:p w14:paraId="7D3DD010" w14:textId="77777777" w:rsidR="001F508E" w:rsidRPr="00F333F1" w:rsidRDefault="00C258CA" w:rsidP="00DA0C09">
            <w:pPr>
              <w:pStyle w:val="BodyText2"/>
              <w:spacing w:after="120"/>
              <w:jc w:val="center"/>
              <w:rPr>
                <w:rFonts w:ascii="Arial" w:hAnsi="Arial"/>
                <w:b w:val="0"/>
              </w:rPr>
            </w:pPr>
            <w:r w:rsidRPr="00F333F1">
              <w:rPr>
                <w:rFonts w:ascii="Arial" w:hAnsi="Arial"/>
                <w:b w:val="0"/>
              </w:rPr>
              <w:t>£5</w:t>
            </w:r>
            <w:r w:rsidR="001F508E" w:rsidRPr="00F333F1">
              <w:rPr>
                <w:rFonts w:ascii="Arial" w:hAnsi="Arial"/>
                <w:b w:val="0"/>
              </w:rPr>
              <w:t>m</w:t>
            </w:r>
          </w:p>
        </w:tc>
        <w:tc>
          <w:tcPr>
            <w:tcW w:w="1780" w:type="dxa"/>
            <w:tcBorders>
              <w:top w:val="single" w:sz="6" w:space="0" w:color="000000"/>
              <w:left w:val="single" w:sz="6" w:space="0" w:color="000000"/>
              <w:bottom w:val="single" w:sz="6" w:space="0" w:color="000000"/>
              <w:right w:val="single" w:sz="4" w:space="0" w:color="auto"/>
            </w:tcBorders>
          </w:tcPr>
          <w:p w14:paraId="4763E1EF" w14:textId="77777777" w:rsidR="001F508E" w:rsidRPr="00384E09" w:rsidRDefault="001F508E" w:rsidP="001F508E">
            <w:pPr>
              <w:jc w:val="center"/>
            </w:pPr>
            <w:r w:rsidRPr="00615280">
              <w:rPr>
                <w:rFonts w:ascii="Arial" w:hAnsi="Arial"/>
              </w:rPr>
              <w:t>&lt;365days</w:t>
            </w:r>
          </w:p>
        </w:tc>
      </w:tr>
      <w:tr w:rsidR="001F508E" w:rsidRPr="005850F6" w14:paraId="4B3A6826" w14:textId="77777777" w:rsidTr="00DF7F1A">
        <w:trPr>
          <w:trHeight w:val="337"/>
        </w:trPr>
        <w:tc>
          <w:tcPr>
            <w:tcW w:w="2857" w:type="dxa"/>
            <w:tcBorders>
              <w:top w:val="single" w:sz="6" w:space="0" w:color="000000"/>
              <w:left w:val="single" w:sz="4" w:space="0" w:color="auto"/>
              <w:bottom w:val="single" w:sz="6" w:space="0" w:color="000000"/>
              <w:right w:val="single" w:sz="6" w:space="0" w:color="000000"/>
            </w:tcBorders>
          </w:tcPr>
          <w:p w14:paraId="5F39AF30" w14:textId="77777777" w:rsidR="001F508E" w:rsidRPr="00F333F1" w:rsidRDefault="001F508E" w:rsidP="00353197">
            <w:pPr>
              <w:pStyle w:val="BodyText2"/>
              <w:rPr>
                <w:rFonts w:ascii="Arial" w:hAnsi="Arial"/>
                <w:b w:val="0"/>
              </w:rPr>
            </w:pPr>
            <w:r w:rsidRPr="00F333F1">
              <w:rPr>
                <w:rFonts w:ascii="Arial" w:hAnsi="Arial"/>
                <w:b w:val="0"/>
              </w:rPr>
              <w:t>Money Market Funds</w:t>
            </w:r>
          </w:p>
        </w:tc>
        <w:tc>
          <w:tcPr>
            <w:tcW w:w="1582" w:type="dxa"/>
            <w:tcBorders>
              <w:top w:val="single" w:sz="6" w:space="0" w:color="000000"/>
              <w:left w:val="single" w:sz="6" w:space="0" w:color="000000"/>
              <w:bottom w:val="single" w:sz="6" w:space="0" w:color="000000"/>
              <w:right w:val="single" w:sz="6" w:space="0" w:color="000000"/>
            </w:tcBorders>
          </w:tcPr>
          <w:p w14:paraId="43029D3A" w14:textId="77777777" w:rsidR="001F508E" w:rsidRPr="00F333F1" w:rsidRDefault="001F508E" w:rsidP="00DA0C09">
            <w:pPr>
              <w:pStyle w:val="BodyText2"/>
              <w:spacing w:after="120"/>
              <w:jc w:val="center"/>
              <w:rPr>
                <w:rFonts w:ascii="Arial" w:hAnsi="Arial"/>
                <w:b w:val="0"/>
              </w:rPr>
            </w:pPr>
            <w:r w:rsidRPr="00F333F1">
              <w:rPr>
                <w:rFonts w:ascii="Arial" w:hAnsi="Arial"/>
                <w:b w:val="0"/>
              </w:rPr>
              <w:t>AAA</w:t>
            </w:r>
          </w:p>
        </w:tc>
        <w:tc>
          <w:tcPr>
            <w:tcW w:w="1780" w:type="dxa"/>
            <w:tcBorders>
              <w:top w:val="single" w:sz="6" w:space="0" w:color="000000"/>
              <w:left w:val="single" w:sz="6" w:space="0" w:color="000000"/>
              <w:bottom w:val="single" w:sz="6" w:space="0" w:color="000000"/>
              <w:right w:val="single" w:sz="6" w:space="0" w:color="000000"/>
            </w:tcBorders>
          </w:tcPr>
          <w:p w14:paraId="56569D46" w14:textId="77777777" w:rsidR="001F508E" w:rsidRPr="00F333F1" w:rsidRDefault="001F508E" w:rsidP="00C258CA">
            <w:pPr>
              <w:pStyle w:val="BodyText2"/>
              <w:spacing w:after="120"/>
              <w:jc w:val="center"/>
              <w:rPr>
                <w:rFonts w:ascii="Arial" w:hAnsi="Arial"/>
                <w:b w:val="0"/>
              </w:rPr>
            </w:pPr>
            <w:r w:rsidRPr="00F333F1">
              <w:rPr>
                <w:rFonts w:ascii="Arial" w:hAnsi="Arial"/>
                <w:b w:val="0"/>
              </w:rPr>
              <w:t>£</w:t>
            </w:r>
            <w:r w:rsidR="00C258CA" w:rsidRPr="00F333F1">
              <w:rPr>
                <w:rFonts w:ascii="Arial" w:hAnsi="Arial"/>
                <w:b w:val="0"/>
              </w:rPr>
              <w:t>5</w:t>
            </w:r>
            <w:r w:rsidRPr="00F333F1">
              <w:rPr>
                <w:rFonts w:ascii="Arial" w:hAnsi="Arial"/>
                <w:b w:val="0"/>
              </w:rPr>
              <w:t>m</w:t>
            </w:r>
          </w:p>
        </w:tc>
        <w:tc>
          <w:tcPr>
            <w:tcW w:w="1780" w:type="dxa"/>
            <w:tcBorders>
              <w:top w:val="single" w:sz="6" w:space="0" w:color="000000"/>
              <w:left w:val="single" w:sz="6" w:space="0" w:color="000000"/>
              <w:bottom w:val="single" w:sz="6" w:space="0" w:color="000000"/>
              <w:right w:val="single" w:sz="4" w:space="0" w:color="auto"/>
            </w:tcBorders>
          </w:tcPr>
          <w:p w14:paraId="53DC7326" w14:textId="77777777" w:rsidR="001F508E" w:rsidRPr="00384E09" w:rsidRDefault="001F508E" w:rsidP="001F508E">
            <w:pPr>
              <w:jc w:val="center"/>
            </w:pPr>
            <w:r w:rsidRPr="00615280">
              <w:rPr>
                <w:rFonts w:ascii="Arial" w:hAnsi="Arial"/>
              </w:rPr>
              <w:t>&lt;365days</w:t>
            </w:r>
          </w:p>
        </w:tc>
      </w:tr>
      <w:tr w:rsidR="00DA0C09" w:rsidRPr="005850F6" w14:paraId="12D985DB" w14:textId="77777777" w:rsidTr="00DF7F1A">
        <w:trPr>
          <w:trHeight w:val="337"/>
        </w:trPr>
        <w:tc>
          <w:tcPr>
            <w:tcW w:w="2857" w:type="dxa"/>
            <w:tcBorders>
              <w:top w:val="single" w:sz="6" w:space="0" w:color="000000"/>
              <w:left w:val="single" w:sz="4" w:space="0" w:color="auto"/>
              <w:bottom w:val="single" w:sz="4" w:space="0" w:color="auto"/>
              <w:right w:val="single" w:sz="6" w:space="0" w:color="000000"/>
            </w:tcBorders>
          </w:tcPr>
          <w:p w14:paraId="1ABA5080" w14:textId="77777777" w:rsidR="00DA0C09" w:rsidRPr="005850F6" w:rsidRDefault="00DA0C09" w:rsidP="00353197">
            <w:pPr>
              <w:pStyle w:val="BodyText2"/>
              <w:rPr>
                <w:rFonts w:ascii="Arial" w:hAnsi="Arial"/>
                <w:b w:val="0"/>
              </w:rPr>
            </w:pPr>
            <w:r w:rsidRPr="005850F6">
              <w:rPr>
                <w:rFonts w:ascii="Arial" w:hAnsi="Arial"/>
                <w:b w:val="0"/>
              </w:rPr>
              <w:t>Local Authorities</w:t>
            </w:r>
          </w:p>
        </w:tc>
        <w:tc>
          <w:tcPr>
            <w:tcW w:w="1582" w:type="dxa"/>
            <w:tcBorders>
              <w:top w:val="single" w:sz="6" w:space="0" w:color="000000"/>
              <w:left w:val="single" w:sz="6" w:space="0" w:color="000000"/>
              <w:bottom w:val="single" w:sz="4" w:space="0" w:color="auto"/>
              <w:right w:val="single" w:sz="6" w:space="0" w:color="000000"/>
            </w:tcBorders>
          </w:tcPr>
          <w:p w14:paraId="78AEF80B" w14:textId="77777777" w:rsidR="00DA0C09" w:rsidRPr="005850F6" w:rsidRDefault="00DA0C09" w:rsidP="00DA0C09">
            <w:pPr>
              <w:pStyle w:val="BodyText2"/>
              <w:spacing w:after="120"/>
              <w:jc w:val="center"/>
              <w:rPr>
                <w:rFonts w:ascii="Arial" w:hAnsi="Arial"/>
                <w:b w:val="0"/>
              </w:rPr>
            </w:pPr>
            <w:r w:rsidRPr="005850F6">
              <w:rPr>
                <w:rFonts w:ascii="Arial" w:hAnsi="Arial"/>
                <w:b w:val="0"/>
              </w:rPr>
              <w:t>-</w:t>
            </w:r>
          </w:p>
        </w:tc>
        <w:tc>
          <w:tcPr>
            <w:tcW w:w="1780" w:type="dxa"/>
            <w:tcBorders>
              <w:top w:val="single" w:sz="6" w:space="0" w:color="000000"/>
              <w:left w:val="single" w:sz="6" w:space="0" w:color="000000"/>
              <w:bottom w:val="single" w:sz="4" w:space="0" w:color="auto"/>
              <w:right w:val="single" w:sz="6" w:space="0" w:color="000000"/>
            </w:tcBorders>
          </w:tcPr>
          <w:p w14:paraId="6B6EAB04" w14:textId="77777777" w:rsidR="00DA0C09" w:rsidRPr="006F046E" w:rsidRDefault="001F508E" w:rsidP="006E2903">
            <w:pPr>
              <w:pStyle w:val="BodyText2"/>
              <w:spacing w:after="120"/>
              <w:jc w:val="center"/>
              <w:rPr>
                <w:rFonts w:ascii="Arial" w:hAnsi="Arial"/>
                <w:b w:val="0"/>
              </w:rPr>
            </w:pPr>
            <w:r w:rsidRPr="005904C1">
              <w:rPr>
                <w:rFonts w:ascii="Arial" w:hAnsi="Arial"/>
                <w:b w:val="0"/>
              </w:rPr>
              <w:t>£</w:t>
            </w:r>
            <w:r w:rsidR="005904C1" w:rsidRPr="005904C1">
              <w:rPr>
                <w:rFonts w:ascii="Arial" w:hAnsi="Arial"/>
                <w:b w:val="0"/>
              </w:rPr>
              <w:t>1</w:t>
            </w:r>
            <w:r w:rsidR="006E2903">
              <w:rPr>
                <w:rFonts w:ascii="Arial" w:hAnsi="Arial"/>
                <w:b w:val="0"/>
              </w:rPr>
              <w:t>5</w:t>
            </w:r>
            <w:r w:rsidR="00DA0C09" w:rsidRPr="005904C1">
              <w:rPr>
                <w:rFonts w:ascii="Arial" w:hAnsi="Arial"/>
                <w:b w:val="0"/>
              </w:rPr>
              <w:t>m</w:t>
            </w:r>
          </w:p>
        </w:tc>
        <w:tc>
          <w:tcPr>
            <w:tcW w:w="1780" w:type="dxa"/>
            <w:tcBorders>
              <w:top w:val="single" w:sz="6" w:space="0" w:color="000000"/>
              <w:left w:val="single" w:sz="6" w:space="0" w:color="000000"/>
              <w:bottom w:val="single" w:sz="4" w:space="0" w:color="auto"/>
              <w:right w:val="single" w:sz="4" w:space="0" w:color="auto"/>
            </w:tcBorders>
          </w:tcPr>
          <w:p w14:paraId="0FA39D63" w14:textId="77777777" w:rsidR="00DA0C09" w:rsidRPr="005850F6" w:rsidRDefault="00DA0C09" w:rsidP="00C258CA">
            <w:pPr>
              <w:pStyle w:val="BodyText2"/>
              <w:spacing w:after="120"/>
              <w:jc w:val="center"/>
              <w:rPr>
                <w:rFonts w:ascii="Arial" w:hAnsi="Arial"/>
                <w:b w:val="0"/>
              </w:rPr>
            </w:pPr>
            <w:r w:rsidRPr="005850F6">
              <w:rPr>
                <w:rFonts w:ascii="Arial" w:hAnsi="Arial"/>
                <w:b w:val="0"/>
              </w:rPr>
              <w:t>&lt;</w:t>
            </w:r>
            <w:r w:rsidR="00C258CA">
              <w:rPr>
                <w:rFonts w:ascii="Arial" w:hAnsi="Arial"/>
                <w:b w:val="0"/>
              </w:rPr>
              <w:t>2 year</w:t>
            </w:r>
            <w:r w:rsidRPr="005850F6">
              <w:rPr>
                <w:rFonts w:ascii="Arial" w:hAnsi="Arial"/>
                <w:b w:val="0"/>
              </w:rPr>
              <w:t>s</w:t>
            </w:r>
          </w:p>
        </w:tc>
      </w:tr>
      <w:tr w:rsidR="00DA0C09" w:rsidRPr="005850F6" w14:paraId="4F059B56" w14:textId="77777777" w:rsidTr="00DF7F1A">
        <w:trPr>
          <w:trHeight w:val="337"/>
        </w:trPr>
        <w:tc>
          <w:tcPr>
            <w:tcW w:w="2857" w:type="dxa"/>
            <w:tcBorders>
              <w:top w:val="single" w:sz="4" w:space="0" w:color="auto"/>
              <w:left w:val="single" w:sz="4" w:space="0" w:color="auto"/>
              <w:bottom w:val="single" w:sz="4" w:space="0" w:color="auto"/>
              <w:right w:val="single" w:sz="6" w:space="0" w:color="000000"/>
            </w:tcBorders>
          </w:tcPr>
          <w:p w14:paraId="3DF0E073" w14:textId="77777777" w:rsidR="00DA0C09" w:rsidRPr="005850F6" w:rsidRDefault="00DA0C09" w:rsidP="00353197">
            <w:pPr>
              <w:pStyle w:val="BodyText2"/>
              <w:rPr>
                <w:rFonts w:ascii="Arial" w:hAnsi="Arial"/>
                <w:b w:val="0"/>
              </w:rPr>
            </w:pPr>
            <w:r w:rsidRPr="005850F6">
              <w:rPr>
                <w:rFonts w:ascii="Arial" w:hAnsi="Arial"/>
                <w:b w:val="0"/>
              </w:rPr>
              <w:t>UK DMO</w:t>
            </w:r>
          </w:p>
        </w:tc>
        <w:tc>
          <w:tcPr>
            <w:tcW w:w="1582" w:type="dxa"/>
            <w:tcBorders>
              <w:top w:val="single" w:sz="4" w:space="0" w:color="auto"/>
              <w:left w:val="single" w:sz="6" w:space="0" w:color="000000"/>
              <w:bottom w:val="single" w:sz="4" w:space="0" w:color="auto"/>
              <w:right w:val="single" w:sz="6" w:space="0" w:color="000000"/>
            </w:tcBorders>
          </w:tcPr>
          <w:p w14:paraId="5CDF76F7" w14:textId="77777777" w:rsidR="00DA0C09" w:rsidRPr="005850F6" w:rsidRDefault="001F508E" w:rsidP="00DA0C09">
            <w:pPr>
              <w:pStyle w:val="BodyText2"/>
              <w:spacing w:after="120"/>
              <w:jc w:val="center"/>
              <w:rPr>
                <w:rFonts w:ascii="Arial" w:hAnsi="Arial"/>
                <w:b w:val="0"/>
              </w:rPr>
            </w:pPr>
            <w:r>
              <w:rPr>
                <w:rFonts w:ascii="Arial" w:hAnsi="Arial"/>
                <w:b w:val="0"/>
              </w:rPr>
              <w:t>-</w:t>
            </w:r>
          </w:p>
        </w:tc>
        <w:tc>
          <w:tcPr>
            <w:tcW w:w="1780" w:type="dxa"/>
            <w:tcBorders>
              <w:top w:val="single" w:sz="4" w:space="0" w:color="auto"/>
              <w:left w:val="single" w:sz="6" w:space="0" w:color="000000"/>
              <w:bottom w:val="single" w:sz="4" w:space="0" w:color="auto"/>
              <w:right w:val="single" w:sz="6" w:space="0" w:color="000000"/>
            </w:tcBorders>
          </w:tcPr>
          <w:p w14:paraId="03E3BDBF" w14:textId="77777777" w:rsidR="00DA0C09" w:rsidRPr="006F046E" w:rsidRDefault="00DA0C09" w:rsidP="00DA0C09">
            <w:pPr>
              <w:pStyle w:val="BodyText2"/>
              <w:spacing w:after="120"/>
              <w:jc w:val="center"/>
              <w:rPr>
                <w:rFonts w:ascii="Arial" w:hAnsi="Arial"/>
                <w:b w:val="0"/>
              </w:rPr>
            </w:pPr>
            <w:r w:rsidRPr="006F046E">
              <w:rPr>
                <w:rFonts w:ascii="Arial" w:hAnsi="Arial"/>
                <w:b w:val="0"/>
              </w:rPr>
              <w:t>None</w:t>
            </w:r>
          </w:p>
        </w:tc>
        <w:tc>
          <w:tcPr>
            <w:tcW w:w="1780" w:type="dxa"/>
            <w:tcBorders>
              <w:top w:val="single" w:sz="4" w:space="0" w:color="auto"/>
              <w:left w:val="single" w:sz="6" w:space="0" w:color="000000"/>
              <w:bottom w:val="single" w:sz="4" w:space="0" w:color="auto"/>
              <w:right w:val="single" w:sz="4" w:space="0" w:color="auto"/>
            </w:tcBorders>
          </w:tcPr>
          <w:p w14:paraId="52F2FDF6" w14:textId="77777777" w:rsidR="00DA0C09" w:rsidRPr="005850F6" w:rsidRDefault="00DA0C09" w:rsidP="00DA0C09">
            <w:pPr>
              <w:pStyle w:val="BodyText2"/>
              <w:spacing w:after="120"/>
              <w:jc w:val="center"/>
              <w:rPr>
                <w:rFonts w:ascii="Arial" w:hAnsi="Arial"/>
                <w:b w:val="0"/>
              </w:rPr>
            </w:pPr>
            <w:r w:rsidRPr="005850F6">
              <w:rPr>
                <w:rFonts w:ascii="Arial" w:hAnsi="Arial"/>
                <w:b w:val="0"/>
              </w:rPr>
              <w:t>&lt;365days</w:t>
            </w:r>
          </w:p>
        </w:tc>
      </w:tr>
      <w:tr w:rsidR="008344BD" w:rsidRPr="005850F6" w14:paraId="1E47354E" w14:textId="77777777" w:rsidTr="00DF7F1A">
        <w:trPr>
          <w:trHeight w:val="337"/>
        </w:trPr>
        <w:tc>
          <w:tcPr>
            <w:tcW w:w="2857" w:type="dxa"/>
            <w:tcBorders>
              <w:top w:val="single" w:sz="4" w:space="0" w:color="auto"/>
              <w:left w:val="single" w:sz="4" w:space="0" w:color="auto"/>
              <w:bottom w:val="single" w:sz="4" w:space="0" w:color="auto"/>
              <w:right w:val="single" w:sz="6" w:space="0" w:color="000000"/>
            </w:tcBorders>
          </w:tcPr>
          <w:p w14:paraId="25250B55" w14:textId="77777777" w:rsidR="008344BD" w:rsidRPr="00187669" w:rsidRDefault="008344BD" w:rsidP="008344BD">
            <w:pPr>
              <w:pStyle w:val="BodyText2"/>
              <w:rPr>
                <w:rFonts w:ascii="Arial" w:hAnsi="Arial"/>
                <w:b w:val="0"/>
              </w:rPr>
            </w:pPr>
            <w:r>
              <w:rPr>
                <w:rFonts w:ascii="Arial" w:hAnsi="Arial"/>
                <w:b w:val="0"/>
              </w:rPr>
              <w:t>Property Fund</w:t>
            </w:r>
          </w:p>
        </w:tc>
        <w:tc>
          <w:tcPr>
            <w:tcW w:w="1582" w:type="dxa"/>
            <w:tcBorders>
              <w:top w:val="single" w:sz="4" w:space="0" w:color="auto"/>
              <w:left w:val="single" w:sz="6" w:space="0" w:color="000000"/>
              <w:bottom w:val="single" w:sz="4" w:space="0" w:color="auto"/>
              <w:right w:val="single" w:sz="6" w:space="0" w:color="000000"/>
            </w:tcBorders>
          </w:tcPr>
          <w:p w14:paraId="19309499" w14:textId="77777777" w:rsidR="008344BD" w:rsidRPr="005850F6" w:rsidRDefault="008344BD" w:rsidP="008344BD">
            <w:pPr>
              <w:pStyle w:val="BodyText2"/>
              <w:spacing w:after="120"/>
              <w:jc w:val="center"/>
              <w:rPr>
                <w:rFonts w:ascii="Arial" w:hAnsi="Arial"/>
                <w:b w:val="0"/>
              </w:rPr>
            </w:pPr>
          </w:p>
        </w:tc>
        <w:tc>
          <w:tcPr>
            <w:tcW w:w="1780" w:type="dxa"/>
            <w:tcBorders>
              <w:top w:val="single" w:sz="4" w:space="0" w:color="auto"/>
              <w:left w:val="single" w:sz="6" w:space="0" w:color="000000"/>
              <w:bottom w:val="single" w:sz="4" w:space="0" w:color="auto"/>
              <w:right w:val="single" w:sz="6" w:space="0" w:color="000000"/>
            </w:tcBorders>
          </w:tcPr>
          <w:p w14:paraId="77C16774" w14:textId="77777777" w:rsidR="008344BD" w:rsidRPr="006F046E" w:rsidRDefault="008344BD" w:rsidP="008344BD">
            <w:pPr>
              <w:pStyle w:val="BodyText2"/>
              <w:spacing w:after="120"/>
              <w:jc w:val="center"/>
              <w:rPr>
                <w:rFonts w:ascii="Arial" w:hAnsi="Arial"/>
                <w:b w:val="0"/>
              </w:rPr>
            </w:pPr>
            <w:r>
              <w:rPr>
                <w:rFonts w:ascii="Arial" w:hAnsi="Arial"/>
                <w:b w:val="0"/>
              </w:rPr>
              <w:t>£5m</w:t>
            </w:r>
          </w:p>
        </w:tc>
        <w:tc>
          <w:tcPr>
            <w:tcW w:w="1780" w:type="dxa"/>
            <w:tcBorders>
              <w:top w:val="single" w:sz="4" w:space="0" w:color="auto"/>
              <w:left w:val="single" w:sz="6" w:space="0" w:color="000000"/>
              <w:bottom w:val="single" w:sz="4" w:space="0" w:color="auto"/>
              <w:right w:val="single" w:sz="4" w:space="0" w:color="auto"/>
            </w:tcBorders>
          </w:tcPr>
          <w:p w14:paraId="51AABDFB" w14:textId="77777777" w:rsidR="008344BD" w:rsidRPr="005850F6" w:rsidRDefault="008344BD" w:rsidP="008344BD">
            <w:pPr>
              <w:pStyle w:val="BodyText2"/>
              <w:spacing w:after="120"/>
              <w:jc w:val="center"/>
              <w:rPr>
                <w:rFonts w:ascii="Arial" w:hAnsi="Arial"/>
                <w:b w:val="0"/>
              </w:rPr>
            </w:pPr>
            <w:r>
              <w:rPr>
                <w:rFonts w:ascii="Arial" w:hAnsi="Arial"/>
                <w:b w:val="0"/>
              </w:rPr>
              <w:t>&lt;5 years</w:t>
            </w:r>
          </w:p>
        </w:tc>
      </w:tr>
      <w:tr w:rsidR="008344BD" w:rsidRPr="005850F6" w14:paraId="3C3F3BFD" w14:textId="77777777" w:rsidTr="00DF7F1A">
        <w:trPr>
          <w:trHeight w:val="337"/>
        </w:trPr>
        <w:tc>
          <w:tcPr>
            <w:tcW w:w="2857" w:type="dxa"/>
            <w:tcBorders>
              <w:top w:val="single" w:sz="4" w:space="0" w:color="auto"/>
              <w:left w:val="single" w:sz="4" w:space="0" w:color="auto"/>
              <w:bottom w:val="single" w:sz="4" w:space="0" w:color="auto"/>
              <w:right w:val="single" w:sz="6" w:space="0" w:color="000000"/>
            </w:tcBorders>
          </w:tcPr>
          <w:p w14:paraId="2CD4B320" w14:textId="77777777" w:rsidR="008344BD" w:rsidRPr="005850F6" w:rsidRDefault="008344BD" w:rsidP="008344BD">
            <w:pPr>
              <w:pStyle w:val="BodyText2"/>
              <w:rPr>
                <w:rFonts w:ascii="Arial" w:hAnsi="Arial"/>
                <w:b w:val="0"/>
              </w:rPr>
            </w:pPr>
            <w:r w:rsidRPr="00187669">
              <w:rPr>
                <w:rFonts w:ascii="Arial" w:hAnsi="Arial"/>
                <w:b w:val="0"/>
              </w:rPr>
              <w:t>Guaranteed Organisations</w:t>
            </w:r>
          </w:p>
        </w:tc>
        <w:tc>
          <w:tcPr>
            <w:tcW w:w="1582" w:type="dxa"/>
            <w:tcBorders>
              <w:top w:val="single" w:sz="4" w:space="0" w:color="auto"/>
              <w:left w:val="single" w:sz="6" w:space="0" w:color="000000"/>
              <w:bottom w:val="single" w:sz="4" w:space="0" w:color="auto"/>
              <w:right w:val="single" w:sz="6" w:space="0" w:color="000000"/>
            </w:tcBorders>
          </w:tcPr>
          <w:p w14:paraId="76E89888" w14:textId="77777777" w:rsidR="008344BD" w:rsidRPr="005850F6" w:rsidRDefault="008344BD" w:rsidP="008344BD">
            <w:pPr>
              <w:pStyle w:val="BodyText2"/>
              <w:spacing w:after="120"/>
              <w:jc w:val="center"/>
              <w:rPr>
                <w:rFonts w:ascii="Arial" w:hAnsi="Arial"/>
                <w:b w:val="0"/>
              </w:rPr>
            </w:pPr>
            <w:r w:rsidRPr="005850F6">
              <w:rPr>
                <w:rFonts w:ascii="Arial" w:hAnsi="Arial"/>
                <w:b w:val="0"/>
              </w:rPr>
              <w:t>-</w:t>
            </w:r>
          </w:p>
        </w:tc>
        <w:tc>
          <w:tcPr>
            <w:tcW w:w="1780" w:type="dxa"/>
            <w:tcBorders>
              <w:top w:val="single" w:sz="4" w:space="0" w:color="auto"/>
              <w:left w:val="single" w:sz="6" w:space="0" w:color="000000"/>
              <w:bottom w:val="single" w:sz="4" w:space="0" w:color="auto"/>
              <w:right w:val="single" w:sz="6" w:space="0" w:color="000000"/>
            </w:tcBorders>
          </w:tcPr>
          <w:p w14:paraId="5430854D" w14:textId="77777777" w:rsidR="008344BD" w:rsidRPr="006F046E" w:rsidRDefault="008344BD" w:rsidP="008344BD">
            <w:pPr>
              <w:pStyle w:val="BodyText2"/>
              <w:spacing w:after="120"/>
              <w:jc w:val="center"/>
              <w:rPr>
                <w:rFonts w:ascii="Arial" w:hAnsi="Arial"/>
                <w:b w:val="0"/>
              </w:rPr>
            </w:pPr>
            <w:r w:rsidRPr="006F046E">
              <w:rPr>
                <w:rFonts w:ascii="Arial" w:hAnsi="Arial"/>
                <w:b w:val="0"/>
              </w:rPr>
              <w:t>£3m*</w:t>
            </w:r>
          </w:p>
        </w:tc>
        <w:tc>
          <w:tcPr>
            <w:tcW w:w="1780" w:type="dxa"/>
            <w:tcBorders>
              <w:top w:val="single" w:sz="4" w:space="0" w:color="auto"/>
              <w:left w:val="single" w:sz="6" w:space="0" w:color="000000"/>
              <w:bottom w:val="single" w:sz="4" w:space="0" w:color="auto"/>
              <w:right w:val="single" w:sz="4" w:space="0" w:color="auto"/>
            </w:tcBorders>
          </w:tcPr>
          <w:p w14:paraId="6476CA64" w14:textId="77777777" w:rsidR="008344BD" w:rsidRPr="005850F6" w:rsidRDefault="008344BD" w:rsidP="008344BD">
            <w:pPr>
              <w:pStyle w:val="BodyText2"/>
              <w:spacing w:after="120"/>
              <w:jc w:val="center"/>
              <w:rPr>
                <w:rFonts w:ascii="Arial" w:hAnsi="Arial"/>
                <w:b w:val="0"/>
              </w:rPr>
            </w:pPr>
            <w:r w:rsidRPr="005850F6">
              <w:rPr>
                <w:rFonts w:ascii="Arial" w:hAnsi="Arial"/>
                <w:b w:val="0"/>
              </w:rPr>
              <w:t>&lt;365days</w:t>
            </w:r>
          </w:p>
        </w:tc>
      </w:tr>
    </w:tbl>
    <w:p w14:paraId="60ED34B2" w14:textId="73D7DA49" w:rsidR="00DA0C09" w:rsidRDefault="00422E89" w:rsidP="00F50C2A">
      <w:pPr>
        <w:pStyle w:val="BodyText2"/>
        <w:autoSpaceDE/>
        <w:autoSpaceDN/>
        <w:adjustRightInd/>
        <w:ind w:left="720"/>
        <w:rPr>
          <w:rFonts w:ascii="Arial" w:hAnsi="Arial"/>
          <w:b w:val="0"/>
          <w:iCs/>
        </w:rPr>
      </w:pPr>
      <w:r w:rsidRPr="00422E89">
        <w:rPr>
          <w:rFonts w:ascii="Arial" w:hAnsi="Arial"/>
          <w:b w:val="0"/>
          <w:i/>
        </w:rPr>
        <w:t>*</w:t>
      </w:r>
      <w:r w:rsidR="00DA0C09" w:rsidRPr="00422E89">
        <w:rPr>
          <w:rFonts w:ascii="Arial" w:hAnsi="Arial"/>
          <w:b w:val="0"/>
          <w:i/>
        </w:rPr>
        <w:t>Guaranteed institutions will need to be restricted</w:t>
      </w:r>
      <w:r>
        <w:rPr>
          <w:rFonts w:ascii="Arial" w:hAnsi="Arial"/>
          <w:b w:val="0"/>
          <w:i/>
        </w:rPr>
        <w:t xml:space="preserve"> to the terms of the guarantee.</w:t>
      </w:r>
    </w:p>
    <w:p w14:paraId="1741CBAA" w14:textId="77777777" w:rsidR="001E37B8" w:rsidRDefault="001E37B8" w:rsidP="00BE33ED">
      <w:pPr>
        <w:pStyle w:val="BodyText"/>
        <w:rPr>
          <w:rFonts w:ascii="Arial" w:hAnsi="Arial"/>
        </w:rPr>
      </w:pPr>
    </w:p>
    <w:p w14:paraId="5EEFE6C8" w14:textId="659EC6E9" w:rsidR="00621EB4" w:rsidRDefault="0024520B" w:rsidP="00924212">
      <w:pPr>
        <w:pStyle w:val="BodyText"/>
        <w:numPr>
          <w:ilvl w:val="1"/>
          <w:numId w:val="13"/>
        </w:numPr>
        <w:ind w:left="709" w:hanging="709"/>
        <w:rPr>
          <w:rFonts w:ascii="Arial" w:hAnsi="Arial"/>
        </w:rPr>
      </w:pPr>
      <w:r w:rsidRPr="00B576D6">
        <w:rPr>
          <w:rFonts w:ascii="Arial" w:hAnsi="Arial"/>
        </w:rPr>
        <w:t>I</w:t>
      </w:r>
      <w:r w:rsidR="00DA0C09" w:rsidRPr="00B576D6">
        <w:rPr>
          <w:rFonts w:ascii="Arial" w:hAnsi="Arial"/>
        </w:rPr>
        <w:t xml:space="preserve">n the normal course of the </w:t>
      </w:r>
      <w:r w:rsidR="00F52BF9">
        <w:rPr>
          <w:rFonts w:ascii="Arial" w:hAnsi="Arial"/>
        </w:rPr>
        <w:t>Commissioner</w:t>
      </w:r>
      <w:r w:rsidR="00DA0C09" w:rsidRPr="00B576D6">
        <w:rPr>
          <w:rFonts w:ascii="Arial" w:hAnsi="Arial"/>
        </w:rPr>
        <w:t xml:space="preserve">’s cash flow </w:t>
      </w:r>
      <w:proofErr w:type="gramStart"/>
      <w:r w:rsidR="00DA0C09" w:rsidRPr="00B576D6">
        <w:rPr>
          <w:rFonts w:ascii="Arial" w:hAnsi="Arial"/>
        </w:rPr>
        <w:t>operations</w:t>
      </w:r>
      <w:proofErr w:type="gramEnd"/>
      <w:r w:rsidR="00DA0C09" w:rsidRPr="00B576D6">
        <w:rPr>
          <w:rFonts w:ascii="Arial" w:hAnsi="Arial"/>
        </w:rPr>
        <w:t xml:space="preserve"> it is expected that </w:t>
      </w:r>
      <w:r w:rsidR="00B576D6">
        <w:rPr>
          <w:rFonts w:ascii="Arial" w:hAnsi="Arial"/>
        </w:rPr>
        <w:t>only</w:t>
      </w:r>
      <w:r w:rsidR="00DA0C09" w:rsidRPr="00B576D6">
        <w:rPr>
          <w:rFonts w:ascii="Arial" w:hAnsi="Arial"/>
        </w:rPr>
        <w:t xml:space="preserve"> Specified </w:t>
      </w:r>
      <w:r w:rsidR="00F52BF9">
        <w:rPr>
          <w:rFonts w:ascii="Arial" w:hAnsi="Arial"/>
        </w:rPr>
        <w:t>I</w:t>
      </w:r>
      <w:r w:rsidR="00DA0C09" w:rsidRPr="00B576D6">
        <w:rPr>
          <w:rFonts w:ascii="Arial" w:hAnsi="Arial"/>
        </w:rPr>
        <w:t>nvestments will be utilised</w:t>
      </w:r>
      <w:r w:rsidR="00B576D6">
        <w:rPr>
          <w:rFonts w:ascii="Arial" w:hAnsi="Arial"/>
        </w:rPr>
        <w:t>.</w:t>
      </w:r>
      <w:r w:rsidR="00DA0C09" w:rsidRPr="00B576D6">
        <w:rPr>
          <w:rFonts w:ascii="Arial" w:hAnsi="Arial"/>
        </w:rPr>
        <w:t xml:space="preserve"> </w:t>
      </w:r>
    </w:p>
    <w:p w14:paraId="34755EA0" w14:textId="77777777" w:rsidR="00621EB4" w:rsidRDefault="00621EB4" w:rsidP="00621EB4">
      <w:pPr>
        <w:pStyle w:val="ListParagraph"/>
        <w:rPr>
          <w:rFonts w:ascii="Arial" w:hAnsi="Arial"/>
          <w:b/>
        </w:rPr>
      </w:pPr>
    </w:p>
    <w:p w14:paraId="15BBDD0B" w14:textId="77777777" w:rsidR="00DA0C09" w:rsidRPr="00621EB4" w:rsidRDefault="00527116" w:rsidP="00924212">
      <w:pPr>
        <w:pStyle w:val="BodyText"/>
        <w:numPr>
          <w:ilvl w:val="1"/>
          <w:numId w:val="13"/>
        </w:numPr>
        <w:ind w:left="709" w:hanging="709"/>
        <w:rPr>
          <w:rFonts w:ascii="Arial" w:hAnsi="Arial"/>
        </w:rPr>
      </w:pPr>
      <w:r w:rsidRPr="00621EB4">
        <w:rPr>
          <w:rFonts w:ascii="Arial" w:hAnsi="Arial"/>
          <w:b/>
        </w:rPr>
        <w:t>T</w:t>
      </w:r>
      <w:r w:rsidR="00DA0C09" w:rsidRPr="00621EB4">
        <w:rPr>
          <w:rFonts w:ascii="Arial" w:hAnsi="Arial"/>
          <w:b/>
        </w:rPr>
        <w:t>he criteria for choosing counterparties set out above provide a sound approac</w:t>
      </w:r>
      <w:r w:rsidR="001815CF" w:rsidRPr="00621EB4">
        <w:rPr>
          <w:rFonts w:ascii="Arial" w:hAnsi="Arial"/>
          <w:b/>
        </w:rPr>
        <w:t>h to investment in ‘normal’</w:t>
      </w:r>
      <w:r w:rsidR="00DA0C09" w:rsidRPr="00621EB4">
        <w:rPr>
          <w:rFonts w:ascii="Arial" w:hAnsi="Arial"/>
          <w:b/>
        </w:rPr>
        <w:t xml:space="preserve"> market circumstances.  </w:t>
      </w:r>
      <w:r w:rsidR="00233CAC" w:rsidRPr="00621EB4">
        <w:rPr>
          <w:rFonts w:ascii="Arial" w:hAnsi="Arial"/>
          <w:b/>
        </w:rPr>
        <w:t xml:space="preserve">However, </w:t>
      </w:r>
      <w:r w:rsidR="00DA0C09" w:rsidRPr="00621EB4">
        <w:rPr>
          <w:rFonts w:ascii="Arial" w:hAnsi="Arial"/>
          <w:b/>
        </w:rPr>
        <w:t xml:space="preserve">under exceptional market conditions the </w:t>
      </w:r>
      <w:r w:rsidR="008622AB" w:rsidRPr="00621EB4">
        <w:rPr>
          <w:rFonts w:ascii="Arial" w:hAnsi="Arial"/>
          <w:b/>
        </w:rPr>
        <w:t>CFO</w:t>
      </w:r>
      <w:r w:rsidR="00DA0C09" w:rsidRPr="00621EB4">
        <w:rPr>
          <w:rFonts w:ascii="Arial" w:hAnsi="Arial"/>
          <w:b/>
        </w:rPr>
        <w:t xml:space="preserve"> may</w:t>
      </w:r>
      <w:r w:rsidRPr="00621EB4">
        <w:rPr>
          <w:rFonts w:ascii="Arial" w:hAnsi="Arial"/>
          <w:b/>
        </w:rPr>
        <w:t xml:space="preserve">, after consulting the </w:t>
      </w:r>
      <w:r w:rsidR="00233CAC" w:rsidRPr="00621EB4">
        <w:rPr>
          <w:rFonts w:ascii="Arial" w:hAnsi="Arial"/>
          <w:b/>
        </w:rPr>
        <w:t>Commissioner</w:t>
      </w:r>
      <w:r w:rsidRPr="00621EB4">
        <w:rPr>
          <w:rFonts w:ascii="Arial" w:hAnsi="Arial"/>
          <w:b/>
        </w:rPr>
        <w:t>,</w:t>
      </w:r>
      <w:r w:rsidR="00DA0C09" w:rsidRPr="00621EB4">
        <w:rPr>
          <w:rFonts w:ascii="Arial" w:hAnsi="Arial"/>
          <w:b/>
        </w:rPr>
        <w:t xml:space="preserve"> temporarily restrict further investment activity to those counterparties considered of higher credit quality than the minimum criteria set out for approval.  These restrictions will remain in place </w:t>
      </w:r>
      <w:r w:rsidR="00DA0C09" w:rsidRPr="00621EB4">
        <w:rPr>
          <w:rFonts w:ascii="Arial" w:hAnsi="Arial"/>
          <w:b/>
        </w:rPr>
        <w:lastRenderedPageBreak/>
        <w:t>until</w:t>
      </w:r>
      <w:r w:rsidR="001815CF" w:rsidRPr="00621EB4">
        <w:rPr>
          <w:rFonts w:ascii="Arial" w:hAnsi="Arial"/>
          <w:b/>
        </w:rPr>
        <w:t xml:space="preserve"> the banking system returns to ‘normal’</w:t>
      </w:r>
      <w:r w:rsidR="00DA0C09" w:rsidRPr="00621EB4">
        <w:rPr>
          <w:rFonts w:ascii="Arial" w:hAnsi="Arial"/>
          <w:b/>
        </w:rPr>
        <w:t xml:space="preserve"> conditions.  Similarly the time periods for investments </w:t>
      </w:r>
      <w:r w:rsidRPr="00621EB4">
        <w:rPr>
          <w:rFonts w:ascii="Arial" w:hAnsi="Arial"/>
          <w:b/>
        </w:rPr>
        <w:t>may</w:t>
      </w:r>
      <w:r w:rsidR="00DA0C09" w:rsidRPr="00621EB4">
        <w:rPr>
          <w:rFonts w:ascii="Arial" w:hAnsi="Arial"/>
          <w:b/>
        </w:rPr>
        <w:t xml:space="preserve"> be restricted.</w:t>
      </w:r>
      <w:r w:rsidRPr="00621EB4">
        <w:rPr>
          <w:rFonts w:ascii="Arial" w:hAnsi="Arial"/>
          <w:b/>
        </w:rPr>
        <w:t xml:space="preserve">  </w:t>
      </w:r>
      <w:r w:rsidR="00DA0C09" w:rsidRPr="00621EB4">
        <w:rPr>
          <w:rFonts w:ascii="Arial" w:hAnsi="Arial"/>
        </w:rPr>
        <w:t xml:space="preserve">Examples of these restrictions would be the greater use of the Debt Management </w:t>
      </w:r>
      <w:r w:rsidR="00C4248B" w:rsidRPr="00621EB4">
        <w:rPr>
          <w:rFonts w:ascii="Arial" w:hAnsi="Arial"/>
        </w:rPr>
        <w:t xml:space="preserve">Account Deposit </w:t>
      </w:r>
      <w:r w:rsidR="00DA0C09" w:rsidRPr="00621EB4">
        <w:rPr>
          <w:rFonts w:ascii="Arial" w:hAnsi="Arial"/>
        </w:rPr>
        <w:t>Facility (DMADF – a Government body which accepts local authority deposits), Money Market Funds, guaranteed deposit facilities and strongly rated institutions offered support by the UK Government.  The credit criteria have been amended to reflect these facilities.</w:t>
      </w:r>
    </w:p>
    <w:p w14:paraId="631BBC52" w14:textId="77777777" w:rsidR="00A462EE" w:rsidRDefault="00A462EE" w:rsidP="00505EFE">
      <w:pPr>
        <w:pStyle w:val="ListParagraph"/>
        <w:rPr>
          <w:rFonts w:ascii="Arial" w:hAnsi="Arial"/>
          <w:b/>
        </w:rPr>
      </w:pPr>
    </w:p>
    <w:p w14:paraId="3A148103" w14:textId="7C38CA45" w:rsidR="00A462EE" w:rsidRDefault="003767A5" w:rsidP="00924212">
      <w:pPr>
        <w:pStyle w:val="BodyText"/>
        <w:numPr>
          <w:ilvl w:val="1"/>
          <w:numId w:val="13"/>
        </w:numPr>
        <w:ind w:left="720" w:hanging="720"/>
        <w:rPr>
          <w:rFonts w:ascii="Arial" w:hAnsi="Arial"/>
        </w:rPr>
      </w:pPr>
      <w:r w:rsidRPr="00505EFE">
        <w:rPr>
          <w:rFonts w:ascii="Arial" w:hAnsi="Arial"/>
        </w:rPr>
        <w:t>A</w:t>
      </w:r>
      <w:r w:rsidR="002646C0">
        <w:rPr>
          <w:rFonts w:ascii="Arial" w:hAnsi="Arial"/>
        </w:rPr>
        <w:t>dditionally, the C</w:t>
      </w:r>
      <w:r w:rsidRPr="00505EFE">
        <w:rPr>
          <w:rFonts w:ascii="Arial" w:hAnsi="Arial"/>
        </w:rPr>
        <w:t xml:space="preserve">ommissioner reserves the right to continue to hold an investment if the institutions credit rating is </w:t>
      </w:r>
      <w:proofErr w:type="gramStart"/>
      <w:r w:rsidRPr="00505EFE">
        <w:rPr>
          <w:rFonts w:ascii="Arial" w:hAnsi="Arial"/>
        </w:rPr>
        <w:t>down</w:t>
      </w:r>
      <w:r>
        <w:rPr>
          <w:rFonts w:ascii="Arial" w:hAnsi="Arial"/>
        </w:rPr>
        <w:t>-</w:t>
      </w:r>
      <w:r w:rsidRPr="00505EFE">
        <w:rPr>
          <w:rFonts w:ascii="Arial" w:hAnsi="Arial"/>
        </w:rPr>
        <w:t>graded</w:t>
      </w:r>
      <w:proofErr w:type="gramEnd"/>
      <w:r w:rsidRPr="00505EFE">
        <w:rPr>
          <w:rFonts w:ascii="Arial" w:hAnsi="Arial"/>
        </w:rPr>
        <w:t xml:space="preserve"> during the investment period if he is satisfied that the risks associated with the institution </w:t>
      </w:r>
      <w:r>
        <w:rPr>
          <w:rFonts w:ascii="Arial" w:hAnsi="Arial"/>
        </w:rPr>
        <w:t>and investment are</w:t>
      </w:r>
      <w:r w:rsidR="008F1A8C">
        <w:rPr>
          <w:rFonts w:ascii="Arial" w:hAnsi="Arial"/>
        </w:rPr>
        <w:t xml:space="preserve"> able to be managed and/or mitigated appropriately.  </w:t>
      </w:r>
    </w:p>
    <w:p w14:paraId="29B4AB8F" w14:textId="77777777" w:rsidR="00175FCC" w:rsidRPr="00505EFE" w:rsidRDefault="00175FCC" w:rsidP="00175FCC">
      <w:pPr>
        <w:pStyle w:val="BodyText"/>
        <w:rPr>
          <w:rFonts w:ascii="Arial" w:hAnsi="Arial"/>
        </w:rPr>
      </w:pPr>
    </w:p>
    <w:p w14:paraId="643905EA" w14:textId="77777777" w:rsidR="0027227C" w:rsidRDefault="00865095" w:rsidP="00924212">
      <w:pPr>
        <w:pStyle w:val="ListParagraph"/>
        <w:numPr>
          <w:ilvl w:val="1"/>
          <w:numId w:val="13"/>
        </w:numPr>
        <w:jc w:val="both"/>
        <w:rPr>
          <w:rFonts w:ascii="Arial" w:hAnsi="Arial"/>
          <w:b/>
        </w:rPr>
      </w:pPr>
      <w:r>
        <w:rPr>
          <w:rFonts w:ascii="Arial" w:hAnsi="Arial"/>
          <w:b/>
        </w:rPr>
        <w:t>Banking Arrangements</w:t>
      </w:r>
    </w:p>
    <w:p w14:paraId="7AA4E0C9" w14:textId="77777777" w:rsidR="00C65D6C" w:rsidRPr="00615280" w:rsidRDefault="00C65D6C" w:rsidP="00615280">
      <w:pPr>
        <w:pStyle w:val="ListParagraph"/>
        <w:jc w:val="both"/>
        <w:rPr>
          <w:rFonts w:ascii="Arial" w:hAnsi="Arial"/>
          <w:b/>
        </w:rPr>
      </w:pPr>
    </w:p>
    <w:p w14:paraId="225065C0" w14:textId="7F1452FF" w:rsidR="00865095" w:rsidRDefault="0027227C" w:rsidP="00615280">
      <w:pPr>
        <w:pStyle w:val="ListParagraph"/>
        <w:jc w:val="both"/>
        <w:rPr>
          <w:rFonts w:ascii="Arial" w:hAnsi="Arial"/>
        </w:rPr>
      </w:pPr>
      <w:r w:rsidRPr="00C64789">
        <w:rPr>
          <w:rFonts w:ascii="Arial" w:hAnsi="Arial"/>
        </w:rPr>
        <w:t>The</w:t>
      </w:r>
      <w:r w:rsidR="00865095" w:rsidRPr="00C64789">
        <w:rPr>
          <w:rFonts w:ascii="Arial" w:hAnsi="Arial"/>
        </w:rPr>
        <w:t xml:space="preserve"> Commissioner</w:t>
      </w:r>
      <w:r w:rsidR="00C94FEA" w:rsidRPr="00C64789">
        <w:rPr>
          <w:rFonts w:ascii="Arial" w:hAnsi="Arial"/>
        </w:rPr>
        <w:t>’s</w:t>
      </w:r>
      <w:r w:rsidR="00865095" w:rsidRPr="00C64789">
        <w:rPr>
          <w:rFonts w:ascii="Arial" w:hAnsi="Arial"/>
        </w:rPr>
        <w:t xml:space="preserve"> </w:t>
      </w:r>
      <w:r w:rsidR="002C5891" w:rsidRPr="00C64789">
        <w:rPr>
          <w:rFonts w:ascii="Arial" w:hAnsi="Arial"/>
        </w:rPr>
        <w:t>bank</w:t>
      </w:r>
      <w:r w:rsidR="00C94FEA" w:rsidRPr="00C64789">
        <w:rPr>
          <w:rFonts w:ascii="Arial" w:hAnsi="Arial"/>
        </w:rPr>
        <w:t>er is</w:t>
      </w:r>
      <w:r w:rsidR="002C5891" w:rsidRPr="00C64789">
        <w:rPr>
          <w:rFonts w:ascii="Arial" w:hAnsi="Arial"/>
        </w:rPr>
        <w:t xml:space="preserve"> Lloyds Bank</w:t>
      </w:r>
      <w:r w:rsidR="00E11726" w:rsidRPr="00C64789">
        <w:rPr>
          <w:rFonts w:ascii="Arial" w:hAnsi="Arial"/>
        </w:rPr>
        <w:t xml:space="preserve">, </w:t>
      </w:r>
      <w:r w:rsidR="0044665D" w:rsidRPr="00C64789">
        <w:rPr>
          <w:rFonts w:ascii="Arial" w:hAnsi="Arial"/>
        </w:rPr>
        <w:t>the contract</w:t>
      </w:r>
      <w:r w:rsidR="00E11726" w:rsidRPr="00C64789">
        <w:rPr>
          <w:rFonts w:ascii="Arial" w:hAnsi="Arial"/>
        </w:rPr>
        <w:t xml:space="preserve"> is due to</w:t>
      </w:r>
      <w:r w:rsidR="0044665D" w:rsidRPr="00C64789">
        <w:rPr>
          <w:rFonts w:ascii="Arial" w:hAnsi="Arial"/>
        </w:rPr>
        <w:t xml:space="preserve"> </w:t>
      </w:r>
      <w:r w:rsidR="005A65E6" w:rsidRPr="00C64789">
        <w:rPr>
          <w:rFonts w:ascii="Arial" w:hAnsi="Arial"/>
        </w:rPr>
        <w:t xml:space="preserve">expire on </w:t>
      </w:r>
      <w:r w:rsidR="00721A0D" w:rsidRPr="00C64789">
        <w:rPr>
          <w:rFonts w:ascii="Arial" w:hAnsi="Arial"/>
        </w:rPr>
        <w:t>3</w:t>
      </w:r>
      <w:r w:rsidR="00DD4925" w:rsidRPr="00C64789">
        <w:rPr>
          <w:rFonts w:ascii="Arial" w:hAnsi="Arial"/>
        </w:rPr>
        <w:t>1</w:t>
      </w:r>
      <w:r w:rsidR="00BB2A45" w:rsidRPr="00C64789">
        <w:rPr>
          <w:rFonts w:ascii="Arial" w:hAnsi="Arial"/>
          <w:vertAlign w:val="superscript"/>
        </w:rPr>
        <w:t>st</w:t>
      </w:r>
      <w:r w:rsidR="00BB2A45" w:rsidRPr="00C64789">
        <w:rPr>
          <w:rFonts w:ascii="Arial" w:hAnsi="Arial"/>
        </w:rPr>
        <w:t xml:space="preserve"> </w:t>
      </w:r>
      <w:r w:rsidR="00DD4925" w:rsidRPr="00C64789">
        <w:rPr>
          <w:rFonts w:ascii="Arial" w:hAnsi="Arial"/>
        </w:rPr>
        <w:t>March</w:t>
      </w:r>
      <w:r w:rsidR="005A65E6" w:rsidRPr="00C64789">
        <w:rPr>
          <w:rFonts w:ascii="Arial" w:hAnsi="Arial"/>
        </w:rPr>
        <w:t xml:space="preserve"> 20</w:t>
      </w:r>
      <w:r w:rsidR="00DD4925" w:rsidRPr="00C64789">
        <w:rPr>
          <w:rFonts w:ascii="Arial" w:hAnsi="Arial"/>
        </w:rPr>
        <w:t>2</w:t>
      </w:r>
      <w:r w:rsidR="00BE33ED" w:rsidRPr="00C64789">
        <w:rPr>
          <w:rFonts w:ascii="Arial" w:hAnsi="Arial"/>
        </w:rPr>
        <w:t>4</w:t>
      </w:r>
      <w:r w:rsidR="0044665D" w:rsidRPr="00C64789">
        <w:rPr>
          <w:rFonts w:ascii="Arial" w:hAnsi="Arial"/>
        </w:rPr>
        <w:t>.</w:t>
      </w:r>
      <w:r w:rsidR="00223BED" w:rsidRPr="00C64789">
        <w:rPr>
          <w:rFonts w:ascii="Arial" w:hAnsi="Arial"/>
        </w:rPr>
        <w:t xml:space="preserve"> The contract allows three extensions, the first </w:t>
      </w:r>
      <w:r w:rsidR="00C64789" w:rsidRPr="00C64789">
        <w:rPr>
          <w:rFonts w:ascii="Arial" w:hAnsi="Arial"/>
        </w:rPr>
        <w:t xml:space="preserve">extension has been approved and the next </w:t>
      </w:r>
      <w:r w:rsidR="00175FCC">
        <w:rPr>
          <w:rFonts w:ascii="Arial" w:hAnsi="Arial"/>
        </w:rPr>
        <w:t>extension</w:t>
      </w:r>
      <w:r w:rsidR="00C64789" w:rsidRPr="00C64789">
        <w:rPr>
          <w:rFonts w:ascii="Arial" w:hAnsi="Arial"/>
        </w:rPr>
        <w:t xml:space="preserve"> is due</w:t>
      </w:r>
      <w:r w:rsidR="00223BED" w:rsidRPr="00C64789">
        <w:rPr>
          <w:rFonts w:ascii="Arial" w:hAnsi="Arial"/>
        </w:rPr>
        <w:t xml:space="preserve"> on the </w:t>
      </w:r>
      <w:proofErr w:type="gramStart"/>
      <w:r w:rsidR="00223BED" w:rsidRPr="00C64789">
        <w:rPr>
          <w:rFonts w:ascii="Arial" w:hAnsi="Arial"/>
        </w:rPr>
        <w:t>1</w:t>
      </w:r>
      <w:r w:rsidR="00223BED" w:rsidRPr="00C64789">
        <w:rPr>
          <w:rFonts w:ascii="Arial" w:hAnsi="Arial"/>
          <w:vertAlign w:val="superscript"/>
        </w:rPr>
        <w:t>st</w:t>
      </w:r>
      <w:proofErr w:type="gramEnd"/>
      <w:r w:rsidR="00223BED" w:rsidRPr="00C64789">
        <w:rPr>
          <w:rFonts w:ascii="Arial" w:hAnsi="Arial"/>
        </w:rPr>
        <w:t xml:space="preserve"> April 202</w:t>
      </w:r>
      <w:r w:rsidR="00C64789" w:rsidRPr="00C64789">
        <w:rPr>
          <w:rFonts w:ascii="Arial" w:hAnsi="Arial"/>
        </w:rPr>
        <w:t>4</w:t>
      </w:r>
      <w:r w:rsidR="00223BED" w:rsidRPr="00C64789">
        <w:rPr>
          <w:rFonts w:ascii="Arial" w:hAnsi="Arial"/>
        </w:rPr>
        <w:t>.</w:t>
      </w:r>
    </w:p>
    <w:p w14:paraId="015C2B6E" w14:textId="77777777" w:rsidR="00E61CE3" w:rsidRDefault="00E61CE3" w:rsidP="00615280">
      <w:pPr>
        <w:pStyle w:val="ListParagraph"/>
        <w:ind w:left="1440"/>
        <w:jc w:val="both"/>
        <w:rPr>
          <w:rFonts w:ascii="Arial" w:hAnsi="Arial"/>
          <w:b/>
        </w:rPr>
      </w:pPr>
    </w:p>
    <w:p w14:paraId="7A0B24A9" w14:textId="77777777" w:rsidR="003A3017" w:rsidRDefault="00E61CE3" w:rsidP="00615280">
      <w:pPr>
        <w:pStyle w:val="BodyText2"/>
        <w:rPr>
          <w:rFonts w:ascii="Arial" w:hAnsi="Arial"/>
        </w:rPr>
      </w:pPr>
      <w:r>
        <w:rPr>
          <w:rFonts w:ascii="Arial" w:hAnsi="Arial"/>
        </w:rPr>
        <w:t>1</w:t>
      </w:r>
      <w:r w:rsidR="006F046E">
        <w:rPr>
          <w:rFonts w:ascii="Arial" w:hAnsi="Arial"/>
        </w:rPr>
        <w:t>1</w:t>
      </w:r>
      <w:r w:rsidR="00527116">
        <w:rPr>
          <w:rFonts w:ascii="Arial" w:hAnsi="Arial"/>
        </w:rPr>
        <w:t>.</w:t>
      </w:r>
      <w:r w:rsidR="00527116">
        <w:rPr>
          <w:rFonts w:ascii="Arial" w:hAnsi="Arial"/>
        </w:rPr>
        <w:tab/>
      </w:r>
      <w:r w:rsidR="00DA0C09" w:rsidRPr="005850F6">
        <w:rPr>
          <w:rFonts w:ascii="Arial" w:hAnsi="Arial"/>
        </w:rPr>
        <w:t>S</w:t>
      </w:r>
      <w:r w:rsidR="003A3017">
        <w:rPr>
          <w:rFonts w:ascii="Arial" w:hAnsi="Arial"/>
        </w:rPr>
        <w:t>ENSITIVITY TO INTEREST RATE MOVEMENTS</w:t>
      </w:r>
    </w:p>
    <w:p w14:paraId="188A6D72" w14:textId="77777777" w:rsidR="00DA0C09" w:rsidRDefault="00DA0C09" w:rsidP="00615280">
      <w:pPr>
        <w:pStyle w:val="BodyText2"/>
        <w:rPr>
          <w:rFonts w:ascii="Arial" w:hAnsi="Arial"/>
          <w:sz w:val="22"/>
        </w:rPr>
      </w:pPr>
    </w:p>
    <w:p w14:paraId="1195603F" w14:textId="77777777" w:rsidR="00DA0C09" w:rsidRPr="00615280" w:rsidRDefault="00527116" w:rsidP="00924212">
      <w:pPr>
        <w:pStyle w:val="BodyText"/>
        <w:numPr>
          <w:ilvl w:val="1"/>
          <w:numId w:val="14"/>
        </w:numPr>
        <w:ind w:left="709" w:hanging="709"/>
        <w:rPr>
          <w:rFonts w:ascii="Arial" w:hAnsi="Arial"/>
          <w:sz w:val="22"/>
        </w:rPr>
      </w:pPr>
      <w:r>
        <w:rPr>
          <w:rFonts w:ascii="Arial" w:hAnsi="Arial"/>
        </w:rPr>
        <w:t xml:space="preserve">The </w:t>
      </w:r>
      <w:r w:rsidR="009C01D9">
        <w:rPr>
          <w:rFonts w:ascii="Arial" w:hAnsi="Arial"/>
        </w:rPr>
        <w:t>Commissioner is</w:t>
      </w:r>
      <w:r w:rsidR="00DA0C09" w:rsidRPr="005850F6">
        <w:rPr>
          <w:rFonts w:ascii="Arial" w:hAnsi="Arial"/>
        </w:rPr>
        <w:t xml:space="preserve"> required</w:t>
      </w:r>
      <w:r>
        <w:rPr>
          <w:rFonts w:ascii="Arial" w:hAnsi="Arial"/>
        </w:rPr>
        <w:t xml:space="preserve"> </w:t>
      </w:r>
      <w:r w:rsidR="00DA0C09" w:rsidRPr="005850F6">
        <w:rPr>
          <w:rFonts w:ascii="Arial" w:hAnsi="Arial"/>
        </w:rPr>
        <w:t>to disclose</w:t>
      </w:r>
      <w:r>
        <w:rPr>
          <w:rFonts w:ascii="Arial" w:hAnsi="Arial"/>
        </w:rPr>
        <w:t xml:space="preserve"> in </w:t>
      </w:r>
      <w:r w:rsidR="009C01D9">
        <w:rPr>
          <w:rFonts w:ascii="Arial" w:hAnsi="Arial"/>
        </w:rPr>
        <w:t>the</w:t>
      </w:r>
      <w:r>
        <w:rPr>
          <w:rFonts w:ascii="Arial" w:hAnsi="Arial"/>
        </w:rPr>
        <w:t xml:space="preserve"> accounts</w:t>
      </w:r>
      <w:r w:rsidR="00DA0C09" w:rsidRPr="005850F6">
        <w:rPr>
          <w:rFonts w:ascii="Arial" w:hAnsi="Arial"/>
        </w:rPr>
        <w:t xml:space="preserve"> the impact of risks on </w:t>
      </w:r>
      <w:r>
        <w:rPr>
          <w:rFonts w:ascii="Arial" w:hAnsi="Arial"/>
        </w:rPr>
        <w:t>tr</w:t>
      </w:r>
      <w:r w:rsidR="00DA0C09" w:rsidRPr="005850F6">
        <w:rPr>
          <w:rFonts w:ascii="Arial" w:hAnsi="Arial"/>
        </w:rPr>
        <w:t>easury management activity.  Whilst most of the risks facing the treasury management service are addressed elsewhere in this report (credit risk, liquidity risk, market risk, maturity profile risk), the impact of interest rate risk is discussed but not quantified.  The table below highlights the estimated impact of a 1% increase/decrease in all interest rates to the estimated treasury management costs/income for next year.  That element of the debt and</w:t>
      </w:r>
      <w:r w:rsidR="00DA0C09">
        <w:rPr>
          <w:rFonts w:ascii="Arial" w:hAnsi="Arial"/>
          <w:sz w:val="22"/>
        </w:rPr>
        <w:t xml:space="preserve"> </w:t>
      </w:r>
      <w:r w:rsidR="00DA0C09" w:rsidRPr="005850F6">
        <w:rPr>
          <w:rFonts w:ascii="Arial" w:hAnsi="Arial"/>
        </w:rPr>
        <w:t>investment portfolios which are of a longer term, fixed interest rate nature will not be affected by interest rate changes.</w:t>
      </w:r>
    </w:p>
    <w:p w14:paraId="2A99FC59" w14:textId="77777777" w:rsidR="002C5891" w:rsidRDefault="002C5891" w:rsidP="00DD4925">
      <w:pPr>
        <w:pStyle w:val="BodyText"/>
        <w:ind w:left="709"/>
        <w:rPr>
          <w:rFonts w:ascii="Arial" w:hAnsi="Arial"/>
        </w:rPr>
      </w:pPr>
    </w:p>
    <w:tbl>
      <w:tblPr>
        <w:tblW w:w="7088" w:type="dxa"/>
        <w:tblInd w:w="704" w:type="dxa"/>
        <w:tblLook w:val="04A0" w:firstRow="1" w:lastRow="0" w:firstColumn="1" w:lastColumn="0" w:noHBand="0" w:noVBand="1"/>
      </w:tblPr>
      <w:tblGrid>
        <w:gridCol w:w="4200"/>
        <w:gridCol w:w="1470"/>
        <w:gridCol w:w="1418"/>
      </w:tblGrid>
      <w:tr w:rsidR="00E11726" w14:paraId="5799663F" w14:textId="77777777" w:rsidTr="00223BED">
        <w:trPr>
          <w:trHeight w:val="300"/>
        </w:trPr>
        <w:tc>
          <w:tcPr>
            <w:tcW w:w="708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D2DF83F" w14:textId="77777777" w:rsidR="00E11726" w:rsidRPr="00175FCC" w:rsidRDefault="00E11726">
            <w:pPr>
              <w:jc w:val="center"/>
              <w:rPr>
                <w:rFonts w:ascii="Arial" w:hAnsi="Arial" w:cs="Arial"/>
                <w:b/>
                <w:bCs/>
                <w:color w:val="000000"/>
                <w:sz w:val="22"/>
                <w:szCs w:val="22"/>
              </w:rPr>
            </w:pPr>
            <w:r w:rsidRPr="00175FCC">
              <w:rPr>
                <w:rFonts w:ascii="Arial" w:hAnsi="Arial" w:cs="Arial"/>
                <w:b/>
                <w:bCs/>
                <w:color w:val="000000"/>
                <w:sz w:val="22"/>
                <w:szCs w:val="22"/>
              </w:rPr>
              <w:t>Sensitivity to Interest Rate Movements</w:t>
            </w:r>
          </w:p>
        </w:tc>
      </w:tr>
      <w:tr w:rsidR="00223BED" w14:paraId="370E48E5" w14:textId="77777777" w:rsidTr="007A343F">
        <w:trPr>
          <w:trHeight w:val="300"/>
        </w:trPr>
        <w:tc>
          <w:tcPr>
            <w:tcW w:w="4200" w:type="dxa"/>
            <w:tcBorders>
              <w:top w:val="nil"/>
              <w:left w:val="single" w:sz="4" w:space="0" w:color="auto"/>
              <w:bottom w:val="nil"/>
              <w:right w:val="single" w:sz="4" w:space="0" w:color="auto"/>
            </w:tcBorders>
            <w:shd w:val="clear" w:color="auto" w:fill="auto"/>
            <w:noWrap/>
            <w:vAlign w:val="bottom"/>
            <w:hideMark/>
          </w:tcPr>
          <w:p w14:paraId="32F4652A" w14:textId="77777777" w:rsidR="00223BED" w:rsidRPr="00E11726" w:rsidRDefault="00223BED" w:rsidP="00223BED">
            <w:pPr>
              <w:rPr>
                <w:rFonts w:ascii="Arial" w:hAnsi="Arial" w:cs="Arial"/>
                <w:color w:val="000000"/>
                <w:sz w:val="22"/>
                <w:szCs w:val="22"/>
              </w:rPr>
            </w:pPr>
            <w:r w:rsidRPr="00E11726">
              <w:rPr>
                <w:rFonts w:ascii="Arial" w:hAnsi="Arial" w:cs="Arial"/>
                <w:color w:val="000000"/>
                <w:sz w:val="22"/>
                <w:szCs w:val="22"/>
              </w:rPr>
              <w:t> </w:t>
            </w:r>
          </w:p>
        </w:tc>
        <w:tc>
          <w:tcPr>
            <w:tcW w:w="1470" w:type="dxa"/>
            <w:tcBorders>
              <w:top w:val="nil"/>
              <w:left w:val="single" w:sz="4" w:space="0" w:color="auto"/>
              <w:bottom w:val="nil"/>
              <w:right w:val="nil"/>
            </w:tcBorders>
            <w:shd w:val="clear" w:color="auto" w:fill="auto"/>
            <w:noWrap/>
            <w:vAlign w:val="bottom"/>
            <w:hideMark/>
          </w:tcPr>
          <w:p w14:paraId="64D9D3C6" w14:textId="5DAB220F" w:rsidR="00223BED" w:rsidRPr="00223BED" w:rsidRDefault="00223BED" w:rsidP="00223BED">
            <w:pPr>
              <w:jc w:val="center"/>
              <w:rPr>
                <w:rFonts w:ascii="Arial" w:hAnsi="Arial" w:cs="Arial"/>
                <w:b/>
                <w:bCs/>
                <w:color w:val="000000"/>
                <w:sz w:val="22"/>
                <w:szCs w:val="22"/>
              </w:rPr>
            </w:pPr>
            <w:r w:rsidRPr="00223BED">
              <w:rPr>
                <w:rFonts w:ascii="Arial" w:hAnsi="Arial" w:cs="Arial"/>
                <w:b/>
                <w:bCs/>
                <w:color w:val="000000"/>
                <w:sz w:val="22"/>
                <w:szCs w:val="22"/>
              </w:rPr>
              <w:t>202</w:t>
            </w:r>
            <w:r w:rsidR="00C64789">
              <w:rPr>
                <w:rFonts w:ascii="Arial" w:hAnsi="Arial" w:cs="Arial"/>
                <w:b/>
                <w:bCs/>
                <w:color w:val="000000"/>
                <w:sz w:val="22"/>
                <w:szCs w:val="22"/>
              </w:rPr>
              <w:t>4</w:t>
            </w:r>
            <w:r w:rsidRPr="00223BED">
              <w:rPr>
                <w:rFonts w:ascii="Arial" w:hAnsi="Arial" w:cs="Arial"/>
                <w:b/>
                <w:bCs/>
                <w:color w:val="000000"/>
                <w:sz w:val="22"/>
                <w:szCs w:val="22"/>
              </w:rPr>
              <w:t>/2</w:t>
            </w:r>
            <w:r w:rsidR="00C64789">
              <w:rPr>
                <w:rFonts w:ascii="Arial" w:hAnsi="Arial" w:cs="Arial"/>
                <w:b/>
                <w:bCs/>
                <w:color w:val="000000"/>
                <w:sz w:val="22"/>
                <w:szCs w:val="22"/>
              </w:rPr>
              <w:t>5</w:t>
            </w:r>
          </w:p>
        </w:tc>
        <w:tc>
          <w:tcPr>
            <w:tcW w:w="1418" w:type="dxa"/>
            <w:tcBorders>
              <w:top w:val="nil"/>
              <w:left w:val="single" w:sz="4" w:space="0" w:color="auto"/>
              <w:bottom w:val="nil"/>
              <w:right w:val="single" w:sz="4" w:space="0" w:color="auto"/>
            </w:tcBorders>
            <w:shd w:val="clear" w:color="auto" w:fill="auto"/>
            <w:noWrap/>
            <w:vAlign w:val="bottom"/>
            <w:hideMark/>
          </w:tcPr>
          <w:p w14:paraId="139E32C4" w14:textId="03F8CB42" w:rsidR="00223BED" w:rsidRPr="00223BED" w:rsidRDefault="00223BED" w:rsidP="00223BED">
            <w:pPr>
              <w:jc w:val="center"/>
              <w:rPr>
                <w:rFonts w:ascii="Arial" w:hAnsi="Arial" w:cs="Arial"/>
                <w:b/>
                <w:bCs/>
                <w:color w:val="000000"/>
                <w:sz w:val="22"/>
                <w:szCs w:val="22"/>
              </w:rPr>
            </w:pPr>
            <w:r w:rsidRPr="00223BED">
              <w:rPr>
                <w:rFonts w:ascii="Arial" w:hAnsi="Arial" w:cs="Arial"/>
                <w:b/>
                <w:bCs/>
                <w:color w:val="000000"/>
                <w:sz w:val="22"/>
                <w:szCs w:val="22"/>
              </w:rPr>
              <w:t>202</w:t>
            </w:r>
            <w:r w:rsidR="00C64789">
              <w:rPr>
                <w:rFonts w:ascii="Arial" w:hAnsi="Arial" w:cs="Arial"/>
                <w:b/>
                <w:bCs/>
                <w:color w:val="000000"/>
                <w:sz w:val="22"/>
                <w:szCs w:val="22"/>
              </w:rPr>
              <w:t>4</w:t>
            </w:r>
            <w:r w:rsidRPr="00223BED">
              <w:rPr>
                <w:rFonts w:ascii="Arial" w:hAnsi="Arial" w:cs="Arial"/>
                <w:b/>
                <w:bCs/>
                <w:color w:val="000000"/>
                <w:sz w:val="22"/>
                <w:szCs w:val="22"/>
              </w:rPr>
              <w:t>/2</w:t>
            </w:r>
            <w:r w:rsidR="00C64789">
              <w:rPr>
                <w:rFonts w:ascii="Arial" w:hAnsi="Arial" w:cs="Arial"/>
                <w:b/>
                <w:bCs/>
                <w:color w:val="000000"/>
                <w:sz w:val="22"/>
                <w:szCs w:val="22"/>
              </w:rPr>
              <w:t>5</w:t>
            </w:r>
          </w:p>
        </w:tc>
      </w:tr>
      <w:tr w:rsidR="00223BED" w14:paraId="4286FBF9" w14:textId="77777777" w:rsidTr="007A343F">
        <w:trPr>
          <w:trHeight w:val="300"/>
        </w:trPr>
        <w:tc>
          <w:tcPr>
            <w:tcW w:w="4200" w:type="dxa"/>
            <w:tcBorders>
              <w:top w:val="nil"/>
              <w:left w:val="single" w:sz="4" w:space="0" w:color="auto"/>
              <w:bottom w:val="nil"/>
              <w:right w:val="single" w:sz="4" w:space="0" w:color="auto"/>
            </w:tcBorders>
            <w:shd w:val="clear" w:color="auto" w:fill="auto"/>
            <w:noWrap/>
            <w:vAlign w:val="bottom"/>
            <w:hideMark/>
          </w:tcPr>
          <w:p w14:paraId="3A0F3BCE" w14:textId="77777777" w:rsidR="00223BED" w:rsidRPr="00E11726" w:rsidRDefault="00223BED" w:rsidP="00223BED">
            <w:pPr>
              <w:rPr>
                <w:rFonts w:ascii="Arial" w:hAnsi="Arial" w:cs="Arial"/>
                <w:color w:val="000000"/>
                <w:sz w:val="22"/>
                <w:szCs w:val="22"/>
              </w:rPr>
            </w:pPr>
            <w:r w:rsidRPr="00E11726">
              <w:rPr>
                <w:rFonts w:ascii="Arial" w:hAnsi="Arial" w:cs="Arial"/>
                <w:color w:val="000000"/>
                <w:sz w:val="22"/>
                <w:szCs w:val="22"/>
              </w:rPr>
              <w:t> </w:t>
            </w:r>
          </w:p>
        </w:tc>
        <w:tc>
          <w:tcPr>
            <w:tcW w:w="1470" w:type="dxa"/>
            <w:tcBorders>
              <w:top w:val="nil"/>
              <w:left w:val="single" w:sz="4" w:space="0" w:color="auto"/>
              <w:bottom w:val="nil"/>
              <w:right w:val="nil"/>
            </w:tcBorders>
            <w:shd w:val="clear" w:color="auto" w:fill="auto"/>
            <w:noWrap/>
            <w:vAlign w:val="bottom"/>
            <w:hideMark/>
          </w:tcPr>
          <w:p w14:paraId="757613AB" w14:textId="7056CEDD" w:rsidR="00223BED" w:rsidRPr="00223BED" w:rsidRDefault="00223BED" w:rsidP="00223BED">
            <w:pPr>
              <w:jc w:val="center"/>
              <w:rPr>
                <w:rFonts w:ascii="Arial" w:hAnsi="Arial" w:cs="Arial"/>
                <w:b/>
                <w:bCs/>
                <w:color w:val="000000"/>
                <w:sz w:val="22"/>
                <w:szCs w:val="22"/>
              </w:rPr>
            </w:pPr>
            <w:r w:rsidRPr="00223BED">
              <w:rPr>
                <w:rFonts w:ascii="Arial" w:hAnsi="Arial" w:cs="Arial"/>
                <w:b/>
                <w:bCs/>
                <w:color w:val="000000"/>
                <w:sz w:val="22"/>
                <w:szCs w:val="22"/>
              </w:rPr>
              <w:t>Estimated</w:t>
            </w:r>
          </w:p>
        </w:tc>
        <w:tc>
          <w:tcPr>
            <w:tcW w:w="1418" w:type="dxa"/>
            <w:tcBorders>
              <w:top w:val="nil"/>
              <w:left w:val="single" w:sz="4" w:space="0" w:color="auto"/>
              <w:bottom w:val="nil"/>
              <w:right w:val="single" w:sz="4" w:space="0" w:color="auto"/>
            </w:tcBorders>
            <w:shd w:val="clear" w:color="auto" w:fill="auto"/>
            <w:noWrap/>
            <w:vAlign w:val="bottom"/>
            <w:hideMark/>
          </w:tcPr>
          <w:p w14:paraId="4DDD6C0D" w14:textId="4DFCE377" w:rsidR="00223BED" w:rsidRPr="00223BED" w:rsidRDefault="00223BED" w:rsidP="00223BED">
            <w:pPr>
              <w:jc w:val="center"/>
              <w:rPr>
                <w:rFonts w:ascii="Arial" w:hAnsi="Arial" w:cs="Arial"/>
                <w:b/>
                <w:bCs/>
                <w:color w:val="000000"/>
                <w:sz w:val="22"/>
                <w:szCs w:val="22"/>
              </w:rPr>
            </w:pPr>
            <w:r w:rsidRPr="00223BED">
              <w:rPr>
                <w:rFonts w:ascii="Arial" w:hAnsi="Arial" w:cs="Arial"/>
                <w:b/>
                <w:bCs/>
                <w:color w:val="000000"/>
                <w:sz w:val="22"/>
                <w:szCs w:val="22"/>
              </w:rPr>
              <w:t>Estimated</w:t>
            </w:r>
          </w:p>
        </w:tc>
      </w:tr>
      <w:tr w:rsidR="00223BED" w14:paraId="4576E645" w14:textId="77777777" w:rsidTr="007A343F">
        <w:trPr>
          <w:trHeight w:val="300"/>
        </w:trPr>
        <w:tc>
          <w:tcPr>
            <w:tcW w:w="4200" w:type="dxa"/>
            <w:tcBorders>
              <w:top w:val="nil"/>
              <w:left w:val="single" w:sz="4" w:space="0" w:color="auto"/>
              <w:bottom w:val="nil"/>
              <w:right w:val="single" w:sz="4" w:space="0" w:color="auto"/>
            </w:tcBorders>
            <w:shd w:val="clear" w:color="auto" w:fill="auto"/>
            <w:noWrap/>
            <w:vAlign w:val="bottom"/>
            <w:hideMark/>
          </w:tcPr>
          <w:p w14:paraId="4F7D63B6" w14:textId="77777777" w:rsidR="00223BED" w:rsidRPr="00E11726" w:rsidRDefault="00223BED" w:rsidP="00223BED">
            <w:pPr>
              <w:rPr>
                <w:rFonts w:ascii="Arial" w:hAnsi="Arial" w:cs="Arial"/>
                <w:color w:val="000000"/>
                <w:sz w:val="22"/>
                <w:szCs w:val="22"/>
              </w:rPr>
            </w:pPr>
            <w:r w:rsidRPr="00E11726">
              <w:rPr>
                <w:rFonts w:ascii="Arial" w:hAnsi="Arial" w:cs="Arial"/>
                <w:color w:val="000000"/>
                <w:sz w:val="22"/>
                <w:szCs w:val="22"/>
              </w:rPr>
              <w:t> </w:t>
            </w:r>
          </w:p>
        </w:tc>
        <w:tc>
          <w:tcPr>
            <w:tcW w:w="1470" w:type="dxa"/>
            <w:tcBorders>
              <w:top w:val="nil"/>
              <w:left w:val="single" w:sz="4" w:space="0" w:color="auto"/>
              <w:bottom w:val="nil"/>
              <w:right w:val="nil"/>
            </w:tcBorders>
            <w:shd w:val="clear" w:color="auto" w:fill="auto"/>
            <w:noWrap/>
            <w:vAlign w:val="bottom"/>
            <w:hideMark/>
          </w:tcPr>
          <w:p w14:paraId="1867184F" w14:textId="5231513B" w:rsidR="00223BED" w:rsidRPr="00223BED" w:rsidRDefault="00223BED" w:rsidP="00223BED">
            <w:pPr>
              <w:jc w:val="center"/>
              <w:rPr>
                <w:rFonts w:ascii="Arial" w:hAnsi="Arial" w:cs="Arial"/>
                <w:b/>
                <w:bCs/>
                <w:color w:val="000000"/>
                <w:sz w:val="22"/>
                <w:szCs w:val="22"/>
              </w:rPr>
            </w:pPr>
            <w:r w:rsidRPr="00223BED">
              <w:rPr>
                <w:rFonts w:ascii="Arial" w:hAnsi="Arial" w:cs="Arial"/>
                <w:b/>
                <w:bCs/>
                <w:color w:val="000000"/>
                <w:sz w:val="22"/>
                <w:szCs w:val="22"/>
              </w:rPr>
              <w:t>+1%</w:t>
            </w:r>
          </w:p>
        </w:tc>
        <w:tc>
          <w:tcPr>
            <w:tcW w:w="1418" w:type="dxa"/>
            <w:tcBorders>
              <w:top w:val="nil"/>
              <w:left w:val="single" w:sz="4" w:space="0" w:color="auto"/>
              <w:bottom w:val="nil"/>
              <w:right w:val="single" w:sz="4" w:space="0" w:color="auto"/>
            </w:tcBorders>
            <w:shd w:val="clear" w:color="auto" w:fill="auto"/>
            <w:noWrap/>
            <w:vAlign w:val="bottom"/>
            <w:hideMark/>
          </w:tcPr>
          <w:p w14:paraId="461C4459" w14:textId="0E33CD88" w:rsidR="00223BED" w:rsidRPr="00223BED" w:rsidRDefault="00223BED" w:rsidP="00223BED">
            <w:pPr>
              <w:jc w:val="center"/>
              <w:rPr>
                <w:rFonts w:ascii="Arial" w:hAnsi="Arial" w:cs="Arial"/>
                <w:b/>
                <w:bCs/>
                <w:color w:val="000000"/>
                <w:sz w:val="22"/>
                <w:szCs w:val="22"/>
              </w:rPr>
            </w:pPr>
            <w:r w:rsidRPr="00223BED">
              <w:rPr>
                <w:rFonts w:ascii="Arial" w:hAnsi="Arial" w:cs="Arial"/>
                <w:b/>
                <w:bCs/>
                <w:color w:val="000000"/>
                <w:sz w:val="22"/>
                <w:szCs w:val="22"/>
              </w:rPr>
              <w:t>-1%</w:t>
            </w:r>
          </w:p>
        </w:tc>
      </w:tr>
      <w:tr w:rsidR="00223BED" w14:paraId="214CB8D3" w14:textId="77777777" w:rsidTr="007A343F">
        <w:trPr>
          <w:trHeight w:val="300"/>
        </w:trPr>
        <w:tc>
          <w:tcPr>
            <w:tcW w:w="4200" w:type="dxa"/>
            <w:tcBorders>
              <w:top w:val="nil"/>
              <w:left w:val="single" w:sz="4" w:space="0" w:color="auto"/>
              <w:bottom w:val="nil"/>
              <w:right w:val="single" w:sz="4" w:space="0" w:color="auto"/>
            </w:tcBorders>
            <w:shd w:val="clear" w:color="auto" w:fill="auto"/>
            <w:noWrap/>
            <w:vAlign w:val="bottom"/>
            <w:hideMark/>
          </w:tcPr>
          <w:p w14:paraId="7D6CBA08" w14:textId="77777777" w:rsidR="00223BED" w:rsidRPr="00E11726" w:rsidRDefault="00223BED" w:rsidP="00223BED">
            <w:pPr>
              <w:rPr>
                <w:rFonts w:ascii="Arial" w:hAnsi="Arial" w:cs="Arial"/>
                <w:color w:val="000000"/>
                <w:sz w:val="22"/>
                <w:szCs w:val="22"/>
              </w:rPr>
            </w:pPr>
            <w:r w:rsidRPr="00E11726">
              <w:rPr>
                <w:rFonts w:ascii="Arial" w:hAnsi="Arial" w:cs="Arial"/>
                <w:color w:val="000000"/>
                <w:sz w:val="22"/>
                <w:szCs w:val="22"/>
              </w:rPr>
              <w:t> </w:t>
            </w:r>
          </w:p>
        </w:tc>
        <w:tc>
          <w:tcPr>
            <w:tcW w:w="1470" w:type="dxa"/>
            <w:tcBorders>
              <w:top w:val="nil"/>
              <w:left w:val="single" w:sz="4" w:space="0" w:color="auto"/>
              <w:bottom w:val="single" w:sz="4" w:space="0" w:color="auto"/>
              <w:right w:val="nil"/>
            </w:tcBorders>
            <w:shd w:val="clear" w:color="auto" w:fill="auto"/>
            <w:noWrap/>
            <w:vAlign w:val="bottom"/>
            <w:hideMark/>
          </w:tcPr>
          <w:p w14:paraId="4F29C45C" w14:textId="37DC6104" w:rsidR="00223BED" w:rsidRPr="00223BED" w:rsidRDefault="00223BED" w:rsidP="00223BED">
            <w:pPr>
              <w:jc w:val="center"/>
              <w:rPr>
                <w:rFonts w:ascii="Arial" w:hAnsi="Arial" w:cs="Arial"/>
                <w:b/>
                <w:bCs/>
                <w:color w:val="000000"/>
                <w:sz w:val="22"/>
                <w:szCs w:val="22"/>
              </w:rPr>
            </w:pPr>
            <w:r w:rsidRPr="00223BED">
              <w:rPr>
                <w:rFonts w:ascii="Arial" w:hAnsi="Arial" w:cs="Arial"/>
                <w:b/>
                <w:bCs/>
                <w:color w:val="000000"/>
                <w:sz w:val="22"/>
                <w:szCs w:val="22"/>
              </w:rPr>
              <w:t>£000's</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105ED637" w14:textId="5A171CEC" w:rsidR="00223BED" w:rsidRPr="00223BED" w:rsidRDefault="00223BED" w:rsidP="00223BED">
            <w:pPr>
              <w:jc w:val="center"/>
              <w:rPr>
                <w:rFonts w:ascii="Arial" w:hAnsi="Arial" w:cs="Arial"/>
                <w:b/>
                <w:bCs/>
                <w:color w:val="000000"/>
                <w:sz w:val="22"/>
                <w:szCs w:val="22"/>
              </w:rPr>
            </w:pPr>
            <w:r w:rsidRPr="00223BED">
              <w:rPr>
                <w:rFonts w:ascii="Arial" w:hAnsi="Arial" w:cs="Arial"/>
                <w:b/>
                <w:bCs/>
                <w:color w:val="000000"/>
                <w:sz w:val="22"/>
                <w:szCs w:val="22"/>
              </w:rPr>
              <w:t>£000's</w:t>
            </w:r>
          </w:p>
        </w:tc>
      </w:tr>
      <w:tr w:rsidR="00223BED" w14:paraId="0830C958" w14:textId="77777777" w:rsidTr="007A343F">
        <w:trPr>
          <w:trHeight w:val="300"/>
        </w:trPr>
        <w:tc>
          <w:tcPr>
            <w:tcW w:w="4200" w:type="dxa"/>
            <w:tcBorders>
              <w:top w:val="nil"/>
              <w:left w:val="single" w:sz="4" w:space="0" w:color="auto"/>
              <w:bottom w:val="nil"/>
              <w:right w:val="single" w:sz="4" w:space="0" w:color="auto"/>
            </w:tcBorders>
            <w:shd w:val="clear" w:color="auto" w:fill="auto"/>
            <w:noWrap/>
            <w:vAlign w:val="bottom"/>
            <w:hideMark/>
          </w:tcPr>
          <w:p w14:paraId="175B3D03" w14:textId="77777777" w:rsidR="00223BED" w:rsidRPr="00E11726" w:rsidRDefault="00223BED" w:rsidP="00223BED">
            <w:pPr>
              <w:rPr>
                <w:rFonts w:ascii="Arial" w:hAnsi="Arial" w:cs="Arial"/>
                <w:color w:val="000000"/>
                <w:sz w:val="22"/>
                <w:szCs w:val="22"/>
              </w:rPr>
            </w:pPr>
            <w:r w:rsidRPr="00E11726">
              <w:rPr>
                <w:rFonts w:ascii="Arial" w:hAnsi="Arial" w:cs="Arial"/>
                <w:color w:val="000000"/>
                <w:sz w:val="22"/>
                <w:szCs w:val="22"/>
              </w:rPr>
              <w:t>Interest on Borrowing</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14:paraId="22406512" w14:textId="56E60194" w:rsidR="00223BED" w:rsidRPr="00223BED" w:rsidRDefault="00223BED" w:rsidP="00223BED">
            <w:pPr>
              <w:jc w:val="center"/>
              <w:rPr>
                <w:rFonts w:ascii="Arial" w:hAnsi="Arial" w:cs="Arial"/>
                <w:color w:val="000000"/>
                <w:sz w:val="22"/>
                <w:szCs w:val="22"/>
              </w:rPr>
            </w:pPr>
            <w:r w:rsidRPr="00223BED">
              <w:rPr>
                <w:rFonts w:ascii="Arial" w:hAnsi="Arial" w:cs="Arial"/>
                <w:color w:val="000000"/>
                <w:sz w:val="22"/>
                <w:szCs w:val="22"/>
              </w:rPr>
              <w:t>1</w:t>
            </w:r>
            <w:r w:rsidR="00C64789">
              <w:rPr>
                <w:rFonts w:ascii="Arial" w:hAnsi="Arial" w:cs="Arial"/>
                <w:color w:val="000000"/>
                <w:sz w:val="22"/>
                <w:szCs w:val="22"/>
              </w:rPr>
              <w:t>20</w:t>
            </w:r>
          </w:p>
        </w:tc>
        <w:tc>
          <w:tcPr>
            <w:tcW w:w="1418" w:type="dxa"/>
            <w:tcBorders>
              <w:top w:val="nil"/>
              <w:left w:val="nil"/>
              <w:bottom w:val="single" w:sz="4" w:space="0" w:color="auto"/>
              <w:right w:val="single" w:sz="4" w:space="0" w:color="auto"/>
            </w:tcBorders>
            <w:shd w:val="clear" w:color="auto" w:fill="auto"/>
            <w:noWrap/>
            <w:vAlign w:val="bottom"/>
            <w:hideMark/>
          </w:tcPr>
          <w:p w14:paraId="1B723A3C" w14:textId="4CC730D2" w:rsidR="00223BED" w:rsidRPr="00223BED" w:rsidRDefault="00223BED" w:rsidP="00223BED">
            <w:pPr>
              <w:jc w:val="center"/>
              <w:rPr>
                <w:rFonts w:ascii="Arial" w:hAnsi="Arial" w:cs="Arial"/>
                <w:color w:val="000000"/>
                <w:sz w:val="22"/>
                <w:szCs w:val="22"/>
              </w:rPr>
            </w:pPr>
            <w:r w:rsidRPr="00223BED">
              <w:rPr>
                <w:rFonts w:ascii="Arial" w:hAnsi="Arial" w:cs="Arial"/>
                <w:color w:val="000000"/>
                <w:sz w:val="22"/>
                <w:szCs w:val="22"/>
              </w:rPr>
              <w:t>(1</w:t>
            </w:r>
            <w:r w:rsidR="00C64789">
              <w:rPr>
                <w:rFonts w:ascii="Arial" w:hAnsi="Arial" w:cs="Arial"/>
                <w:color w:val="000000"/>
                <w:sz w:val="22"/>
                <w:szCs w:val="22"/>
              </w:rPr>
              <w:t>20</w:t>
            </w:r>
            <w:r w:rsidRPr="00223BED">
              <w:rPr>
                <w:rFonts w:ascii="Arial" w:hAnsi="Arial" w:cs="Arial"/>
                <w:color w:val="000000"/>
                <w:sz w:val="22"/>
                <w:szCs w:val="22"/>
              </w:rPr>
              <w:t>)</w:t>
            </w:r>
          </w:p>
        </w:tc>
      </w:tr>
      <w:tr w:rsidR="00223BED" w14:paraId="235909BD" w14:textId="77777777" w:rsidTr="007A343F">
        <w:trPr>
          <w:trHeight w:val="300"/>
        </w:trPr>
        <w:tc>
          <w:tcPr>
            <w:tcW w:w="4200" w:type="dxa"/>
            <w:tcBorders>
              <w:top w:val="nil"/>
              <w:left w:val="single" w:sz="4" w:space="0" w:color="auto"/>
              <w:bottom w:val="single" w:sz="4" w:space="0" w:color="auto"/>
              <w:right w:val="single" w:sz="4" w:space="0" w:color="auto"/>
            </w:tcBorders>
            <w:shd w:val="clear" w:color="auto" w:fill="auto"/>
            <w:noWrap/>
            <w:vAlign w:val="bottom"/>
            <w:hideMark/>
          </w:tcPr>
          <w:p w14:paraId="52A8FBA0" w14:textId="77777777" w:rsidR="00223BED" w:rsidRPr="00E11726" w:rsidRDefault="00223BED" w:rsidP="00223BED">
            <w:pPr>
              <w:rPr>
                <w:rFonts w:ascii="Arial" w:hAnsi="Arial" w:cs="Arial"/>
                <w:color w:val="000000"/>
                <w:sz w:val="22"/>
                <w:szCs w:val="22"/>
              </w:rPr>
            </w:pPr>
            <w:r w:rsidRPr="00E11726">
              <w:rPr>
                <w:rFonts w:ascii="Arial" w:hAnsi="Arial" w:cs="Arial"/>
                <w:color w:val="000000"/>
                <w:sz w:val="22"/>
                <w:szCs w:val="22"/>
              </w:rPr>
              <w:t>Investment Income</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14:paraId="37CA0DFB" w14:textId="3A4B1809" w:rsidR="00223BED" w:rsidRPr="00223BED" w:rsidRDefault="00223BED" w:rsidP="00223BED">
            <w:pPr>
              <w:jc w:val="center"/>
              <w:rPr>
                <w:rFonts w:ascii="Arial" w:hAnsi="Arial" w:cs="Arial"/>
                <w:color w:val="000000"/>
                <w:sz w:val="22"/>
                <w:szCs w:val="22"/>
              </w:rPr>
            </w:pPr>
            <w:r w:rsidRPr="00223BED">
              <w:rPr>
                <w:rFonts w:ascii="Arial" w:hAnsi="Arial" w:cs="Arial"/>
                <w:color w:val="000000"/>
                <w:sz w:val="22"/>
                <w:szCs w:val="22"/>
              </w:rPr>
              <w:t>1</w:t>
            </w:r>
            <w:r w:rsidR="00C64789">
              <w:rPr>
                <w:rFonts w:ascii="Arial" w:hAnsi="Arial" w:cs="Arial"/>
                <w:color w:val="000000"/>
                <w:sz w:val="22"/>
                <w:szCs w:val="22"/>
              </w:rPr>
              <w:t>43</w:t>
            </w:r>
          </w:p>
        </w:tc>
        <w:tc>
          <w:tcPr>
            <w:tcW w:w="1418" w:type="dxa"/>
            <w:tcBorders>
              <w:top w:val="nil"/>
              <w:left w:val="nil"/>
              <w:bottom w:val="single" w:sz="4" w:space="0" w:color="auto"/>
              <w:right w:val="single" w:sz="4" w:space="0" w:color="auto"/>
            </w:tcBorders>
            <w:shd w:val="clear" w:color="auto" w:fill="auto"/>
            <w:noWrap/>
            <w:vAlign w:val="bottom"/>
            <w:hideMark/>
          </w:tcPr>
          <w:p w14:paraId="5D871C64" w14:textId="35A6AC12" w:rsidR="00223BED" w:rsidRPr="00223BED" w:rsidRDefault="00223BED" w:rsidP="00223BED">
            <w:pPr>
              <w:jc w:val="center"/>
              <w:rPr>
                <w:rFonts w:ascii="Arial" w:hAnsi="Arial" w:cs="Arial"/>
                <w:color w:val="000000"/>
                <w:sz w:val="22"/>
                <w:szCs w:val="22"/>
              </w:rPr>
            </w:pPr>
            <w:r w:rsidRPr="00223BED">
              <w:rPr>
                <w:rFonts w:ascii="Arial" w:hAnsi="Arial" w:cs="Arial"/>
                <w:color w:val="000000"/>
                <w:sz w:val="22"/>
                <w:szCs w:val="22"/>
              </w:rPr>
              <w:t>(1</w:t>
            </w:r>
            <w:r w:rsidR="00C64789">
              <w:rPr>
                <w:rFonts w:ascii="Arial" w:hAnsi="Arial" w:cs="Arial"/>
                <w:color w:val="000000"/>
                <w:sz w:val="22"/>
                <w:szCs w:val="22"/>
              </w:rPr>
              <w:t>43</w:t>
            </w:r>
            <w:r w:rsidRPr="00223BED">
              <w:rPr>
                <w:rFonts w:ascii="Arial" w:hAnsi="Arial" w:cs="Arial"/>
                <w:color w:val="000000"/>
                <w:sz w:val="22"/>
                <w:szCs w:val="22"/>
              </w:rPr>
              <w:t>)</w:t>
            </w:r>
          </w:p>
        </w:tc>
      </w:tr>
    </w:tbl>
    <w:p w14:paraId="7072A34B" w14:textId="77777777" w:rsidR="0089516F" w:rsidRDefault="0089516F" w:rsidP="00DD4925">
      <w:pPr>
        <w:pStyle w:val="BodyText"/>
        <w:ind w:left="709"/>
        <w:rPr>
          <w:rFonts w:ascii="Arial" w:hAnsi="Arial"/>
        </w:rPr>
      </w:pPr>
    </w:p>
    <w:p w14:paraId="5A59FA6E" w14:textId="00870F61" w:rsidR="003A3017" w:rsidRDefault="006F046E" w:rsidP="00615280">
      <w:pPr>
        <w:pStyle w:val="BodyText2"/>
        <w:rPr>
          <w:rFonts w:ascii="Arial" w:hAnsi="Arial"/>
        </w:rPr>
      </w:pPr>
      <w:r>
        <w:rPr>
          <w:rFonts w:ascii="Arial" w:hAnsi="Arial"/>
        </w:rPr>
        <w:t>12</w:t>
      </w:r>
      <w:r w:rsidR="00FB1EAE">
        <w:rPr>
          <w:rFonts w:ascii="Arial" w:hAnsi="Arial"/>
        </w:rPr>
        <w:t>.</w:t>
      </w:r>
      <w:r w:rsidR="00FB1EAE">
        <w:rPr>
          <w:rFonts w:ascii="Arial" w:hAnsi="Arial"/>
        </w:rPr>
        <w:tab/>
      </w:r>
      <w:r w:rsidR="00DA0C09" w:rsidRPr="001C42AE">
        <w:rPr>
          <w:rFonts w:ascii="Arial" w:hAnsi="Arial"/>
        </w:rPr>
        <w:t>T</w:t>
      </w:r>
      <w:r w:rsidR="003A3017">
        <w:rPr>
          <w:rFonts w:ascii="Arial" w:hAnsi="Arial"/>
        </w:rPr>
        <w:t xml:space="preserve">REASURY MANAGEMENT </w:t>
      </w:r>
      <w:r w:rsidR="00C23A1D">
        <w:rPr>
          <w:rFonts w:ascii="Arial" w:hAnsi="Arial"/>
        </w:rPr>
        <w:t xml:space="preserve">- </w:t>
      </w:r>
      <w:r w:rsidR="003A3017">
        <w:rPr>
          <w:rFonts w:ascii="Arial" w:hAnsi="Arial"/>
        </w:rPr>
        <w:t>LIMITS ON ACTIVITY</w:t>
      </w:r>
    </w:p>
    <w:p w14:paraId="00B8F7E1" w14:textId="77777777" w:rsidR="00DA0C09" w:rsidRDefault="00DA0C09" w:rsidP="00E11726">
      <w:pPr>
        <w:pStyle w:val="BodyText2"/>
      </w:pPr>
    </w:p>
    <w:p w14:paraId="530A26AA" w14:textId="7B69AF01" w:rsidR="00E66E6B" w:rsidRDefault="006F046E" w:rsidP="00615280">
      <w:pPr>
        <w:pStyle w:val="BodyText"/>
        <w:ind w:left="720" w:hanging="720"/>
        <w:rPr>
          <w:rFonts w:ascii="Arial" w:hAnsi="Arial"/>
        </w:rPr>
      </w:pPr>
      <w:r>
        <w:rPr>
          <w:rFonts w:ascii="Arial" w:hAnsi="Arial"/>
        </w:rPr>
        <w:t>12</w:t>
      </w:r>
      <w:r w:rsidR="00E5025F">
        <w:rPr>
          <w:rFonts w:ascii="Arial" w:hAnsi="Arial"/>
        </w:rPr>
        <w:t>.</w:t>
      </w:r>
      <w:r w:rsidR="00FB1EAE">
        <w:rPr>
          <w:rFonts w:ascii="Arial" w:hAnsi="Arial"/>
        </w:rPr>
        <w:t>1</w:t>
      </w:r>
      <w:r w:rsidR="00FB1EAE">
        <w:rPr>
          <w:rFonts w:ascii="Arial" w:hAnsi="Arial"/>
        </w:rPr>
        <w:tab/>
      </w:r>
      <w:r w:rsidR="00DA0C09" w:rsidRPr="001C42AE">
        <w:rPr>
          <w:rFonts w:ascii="Arial" w:hAnsi="Arial"/>
        </w:rPr>
        <w:t xml:space="preserve">There are four further treasury activity limits, which were previously prudential indicators.  The purpose of these </w:t>
      </w:r>
      <w:r w:rsidR="00E5730D">
        <w:rPr>
          <w:rFonts w:ascii="Arial" w:hAnsi="Arial"/>
        </w:rPr>
        <w:t>is</w:t>
      </w:r>
      <w:r w:rsidR="00DA0C09" w:rsidRPr="001C42AE">
        <w:rPr>
          <w:rFonts w:ascii="Arial" w:hAnsi="Arial"/>
        </w:rPr>
        <w:t xml:space="preserve"> to contain the activity of the treasury function within certain limits, thereby managing risk and reducing the impact of an adverse movement in interest rates. </w:t>
      </w:r>
      <w:r w:rsidR="00FB1EAE">
        <w:rPr>
          <w:rFonts w:ascii="Arial" w:hAnsi="Arial"/>
        </w:rPr>
        <w:t xml:space="preserve"> </w:t>
      </w:r>
      <w:r w:rsidR="00DA0C09" w:rsidRPr="001C42AE">
        <w:rPr>
          <w:rFonts w:ascii="Arial" w:hAnsi="Arial"/>
        </w:rPr>
        <w:t xml:space="preserve">The </w:t>
      </w:r>
      <w:r w:rsidR="00E5730D">
        <w:rPr>
          <w:rFonts w:ascii="Arial" w:hAnsi="Arial"/>
        </w:rPr>
        <w:t>Commissioner</w:t>
      </w:r>
      <w:r w:rsidR="00DA0C09" w:rsidRPr="001C42AE">
        <w:rPr>
          <w:rFonts w:ascii="Arial" w:hAnsi="Arial"/>
        </w:rPr>
        <w:t xml:space="preserve"> approve</w:t>
      </w:r>
      <w:r w:rsidR="00E5730D">
        <w:rPr>
          <w:rFonts w:ascii="Arial" w:hAnsi="Arial"/>
        </w:rPr>
        <w:t xml:space="preserve">s </w:t>
      </w:r>
      <w:r w:rsidR="00DA0C09" w:rsidRPr="001C42AE">
        <w:rPr>
          <w:rFonts w:ascii="Arial" w:hAnsi="Arial"/>
        </w:rPr>
        <w:t>the</w:t>
      </w:r>
      <w:r w:rsidR="00C23A1D">
        <w:rPr>
          <w:rFonts w:ascii="Arial" w:hAnsi="Arial"/>
        </w:rPr>
        <w:t>se</w:t>
      </w:r>
      <w:r w:rsidR="00DA0C09" w:rsidRPr="001C42AE">
        <w:rPr>
          <w:rFonts w:ascii="Arial" w:hAnsi="Arial"/>
        </w:rPr>
        <w:t xml:space="preserve"> limits</w:t>
      </w:r>
      <w:r w:rsidR="00C23A1D">
        <w:rPr>
          <w:rFonts w:ascii="Arial" w:hAnsi="Arial"/>
        </w:rPr>
        <w:t>.</w:t>
      </w:r>
    </w:p>
    <w:p w14:paraId="477A2B40" w14:textId="77777777" w:rsidR="00DF7F1A" w:rsidRDefault="00DF7F1A" w:rsidP="00615280">
      <w:pPr>
        <w:pStyle w:val="BodyText"/>
        <w:ind w:left="720" w:hanging="720"/>
        <w:rPr>
          <w:rFonts w:ascii="Arial" w:hAnsi="Arial"/>
        </w:rPr>
      </w:pPr>
    </w:p>
    <w:tbl>
      <w:tblPr>
        <w:tblW w:w="805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2"/>
        <w:gridCol w:w="1701"/>
        <w:gridCol w:w="1559"/>
        <w:gridCol w:w="1809"/>
      </w:tblGrid>
      <w:tr w:rsidR="00DA0C09" w14:paraId="30130BB7" w14:textId="77777777" w:rsidTr="00041B98">
        <w:trPr>
          <w:cantSplit/>
        </w:trPr>
        <w:tc>
          <w:tcPr>
            <w:tcW w:w="2982" w:type="dxa"/>
            <w:shd w:val="clear" w:color="auto" w:fill="C0C0C0"/>
          </w:tcPr>
          <w:p w14:paraId="34DA0D18" w14:textId="77777777" w:rsidR="00DA0C09" w:rsidRPr="00B9159D" w:rsidRDefault="00DA0C09" w:rsidP="00DD4925">
            <w:pPr>
              <w:pStyle w:val="BodyText"/>
              <w:rPr>
                <w:rFonts w:ascii="Arial" w:hAnsi="Arial"/>
                <w:b/>
                <w:sz w:val="22"/>
              </w:rPr>
            </w:pPr>
          </w:p>
        </w:tc>
        <w:tc>
          <w:tcPr>
            <w:tcW w:w="1701" w:type="dxa"/>
            <w:shd w:val="clear" w:color="auto" w:fill="C0C0C0"/>
          </w:tcPr>
          <w:p w14:paraId="2C351934" w14:textId="2E284F73" w:rsidR="00DA0C09" w:rsidRPr="00B9159D" w:rsidRDefault="00DD4925" w:rsidP="00DD4925">
            <w:pPr>
              <w:pStyle w:val="BodyText"/>
              <w:jc w:val="center"/>
              <w:rPr>
                <w:rFonts w:ascii="Arial" w:hAnsi="Arial"/>
                <w:b/>
                <w:sz w:val="22"/>
              </w:rPr>
            </w:pPr>
            <w:r>
              <w:rPr>
                <w:rFonts w:ascii="Arial" w:hAnsi="Arial"/>
                <w:b/>
                <w:sz w:val="22"/>
              </w:rPr>
              <w:t>202</w:t>
            </w:r>
            <w:r w:rsidR="00C64789">
              <w:rPr>
                <w:rFonts w:ascii="Arial" w:hAnsi="Arial"/>
                <w:b/>
                <w:sz w:val="22"/>
              </w:rPr>
              <w:t>4</w:t>
            </w:r>
            <w:r w:rsidR="00505EFE">
              <w:rPr>
                <w:rFonts w:ascii="Arial" w:hAnsi="Arial"/>
                <w:b/>
                <w:sz w:val="22"/>
              </w:rPr>
              <w:t>/</w:t>
            </w:r>
            <w:r w:rsidR="006E2903">
              <w:rPr>
                <w:rFonts w:ascii="Arial" w:hAnsi="Arial"/>
                <w:b/>
                <w:sz w:val="22"/>
              </w:rPr>
              <w:t>2</w:t>
            </w:r>
            <w:r w:rsidR="00C64789">
              <w:rPr>
                <w:rFonts w:ascii="Arial" w:hAnsi="Arial"/>
                <w:b/>
                <w:sz w:val="22"/>
              </w:rPr>
              <w:t>5</w:t>
            </w:r>
          </w:p>
        </w:tc>
        <w:tc>
          <w:tcPr>
            <w:tcW w:w="1559" w:type="dxa"/>
            <w:shd w:val="clear" w:color="auto" w:fill="C0C0C0"/>
          </w:tcPr>
          <w:p w14:paraId="0C149E4F" w14:textId="0A3E19E6" w:rsidR="00DA0C09" w:rsidRPr="00B9159D" w:rsidRDefault="00505EFE" w:rsidP="00DD4925">
            <w:pPr>
              <w:pStyle w:val="BodyText"/>
              <w:jc w:val="center"/>
              <w:rPr>
                <w:rFonts w:ascii="Arial" w:hAnsi="Arial"/>
                <w:b/>
                <w:sz w:val="22"/>
              </w:rPr>
            </w:pPr>
            <w:r>
              <w:rPr>
                <w:rFonts w:ascii="Arial" w:hAnsi="Arial"/>
                <w:b/>
                <w:sz w:val="22"/>
              </w:rPr>
              <w:t>20</w:t>
            </w:r>
            <w:r w:rsidR="006E2903">
              <w:rPr>
                <w:rFonts w:ascii="Arial" w:hAnsi="Arial"/>
                <w:b/>
                <w:sz w:val="22"/>
              </w:rPr>
              <w:t>2</w:t>
            </w:r>
            <w:r w:rsidR="00C64789">
              <w:rPr>
                <w:rFonts w:ascii="Arial" w:hAnsi="Arial"/>
                <w:b/>
                <w:sz w:val="22"/>
              </w:rPr>
              <w:t>5</w:t>
            </w:r>
            <w:r>
              <w:rPr>
                <w:rFonts w:ascii="Arial" w:hAnsi="Arial"/>
                <w:b/>
                <w:sz w:val="22"/>
              </w:rPr>
              <w:t>/2</w:t>
            </w:r>
            <w:r w:rsidR="00C64789">
              <w:rPr>
                <w:rFonts w:ascii="Arial" w:hAnsi="Arial"/>
                <w:b/>
                <w:sz w:val="22"/>
              </w:rPr>
              <w:t>6</w:t>
            </w:r>
          </w:p>
        </w:tc>
        <w:tc>
          <w:tcPr>
            <w:tcW w:w="1809" w:type="dxa"/>
            <w:shd w:val="clear" w:color="auto" w:fill="C0C0C0"/>
          </w:tcPr>
          <w:p w14:paraId="0E09FBF1" w14:textId="57637949" w:rsidR="00DA0C09" w:rsidRPr="00B9159D" w:rsidRDefault="00505EFE" w:rsidP="00DD4925">
            <w:pPr>
              <w:pStyle w:val="BodyText"/>
              <w:jc w:val="center"/>
              <w:rPr>
                <w:rFonts w:ascii="Arial" w:hAnsi="Arial"/>
                <w:b/>
                <w:sz w:val="22"/>
              </w:rPr>
            </w:pPr>
            <w:r>
              <w:rPr>
                <w:rFonts w:ascii="Arial" w:hAnsi="Arial"/>
                <w:b/>
                <w:sz w:val="22"/>
              </w:rPr>
              <w:t>202</w:t>
            </w:r>
            <w:r w:rsidR="00C64789">
              <w:rPr>
                <w:rFonts w:ascii="Arial" w:hAnsi="Arial"/>
                <w:b/>
                <w:sz w:val="22"/>
              </w:rPr>
              <w:t>6</w:t>
            </w:r>
            <w:r>
              <w:rPr>
                <w:rFonts w:ascii="Arial" w:hAnsi="Arial"/>
                <w:b/>
                <w:sz w:val="22"/>
              </w:rPr>
              <w:t>/2</w:t>
            </w:r>
            <w:r w:rsidR="00C64789">
              <w:rPr>
                <w:rFonts w:ascii="Arial" w:hAnsi="Arial"/>
                <w:b/>
                <w:sz w:val="22"/>
              </w:rPr>
              <w:t>7</w:t>
            </w:r>
          </w:p>
        </w:tc>
      </w:tr>
      <w:tr w:rsidR="00DA0C09" w14:paraId="76E6444F" w14:textId="77777777" w:rsidTr="00041B98">
        <w:tc>
          <w:tcPr>
            <w:tcW w:w="8051" w:type="dxa"/>
            <w:gridSpan w:val="4"/>
            <w:tcBorders>
              <w:bottom w:val="single" w:sz="4" w:space="0" w:color="auto"/>
            </w:tcBorders>
            <w:shd w:val="clear" w:color="auto" w:fill="C0C0C0"/>
          </w:tcPr>
          <w:p w14:paraId="65B54A0A" w14:textId="77777777" w:rsidR="00DA0C09" w:rsidRPr="00B9159D" w:rsidRDefault="00DA0C09" w:rsidP="00DA0C09">
            <w:pPr>
              <w:pStyle w:val="BodyText"/>
              <w:jc w:val="left"/>
              <w:rPr>
                <w:rFonts w:ascii="Arial" w:hAnsi="Arial"/>
                <w:b/>
                <w:sz w:val="22"/>
              </w:rPr>
            </w:pPr>
            <w:r w:rsidRPr="00B9159D">
              <w:rPr>
                <w:rFonts w:ascii="Arial" w:hAnsi="Arial"/>
                <w:b/>
                <w:sz w:val="22"/>
              </w:rPr>
              <w:t>Interest rate Exposures</w:t>
            </w:r>
          </w:p>
        </w:tc>
      </w:tr>
      <w:tr w:rsidR="00DA0C09" w14:paraId="76D520DF" w14:textId="77777777" w:rsidTr="00041B98">
        <w:tc>
          <w:tcPr>
            <w:tcW w:w="2982" w:type="dxa"/>
          </w:tcPr>
          <w:p w14:paraId="7AD7935D" w14:textId="77777777" w:rsidR="00DA0C09" w:rsidRDefault="00DA0C09" w:rsidP="00DA0C09">
            <w:pPr>
              <w:pStyle w:val="BodyText"/>
              <w:rPr>
                <w:rFonts w:ascii="Arial" w:hAnsi="Arial"/>
                <w:b/>
                <w:sz w:val="22"/>
              </w:rPr>
            </w:pPr>
          </w:p>
        </w:tc>
        <w:tc>
          <w:tcPr>
            <w:tcW w:w="1701" w:type="dxa"/>
          </w:tcPr>
          <w:p w14:paraId="3B3D62FA" w14:textId="77777777" w:rsidR="00DA0C09" w:rsidRDefault="00DA0C09" w:rsidP="00DA0C09">
            <w:pPr>
              <w:pStyle w:val="BodyText"/>
              <w:jc w:val="center"/>
              <w:rPr>
                <w:rFonts w:ascii="Arial" w:hAnsi="Arial"/>
                <w:b/>
                <w:sz w:val="22"/>
              </w:rPr>
            </w:pPr>
            <w:r>
              <w:rPr>
                <w:rFonts w:ascii="Arial" w:hAnsi="Arial"/>
                <w:b/>
                <w:sz w:val="22"/>
              </w:rPr>
              <w:t>Upper</w:t>
            </w:r>
          </w:p>
        </w:tc>
        <w:tc>
          <w:tcPr>
            <w:tcW w:w="1559" w:type="dxa"/>
          </w:tcPr>
          <w:p w14:paraId="3D0AE4F7" w14:textId="77777777" w:rsidR="00DA0C09" w:rsidRDefault="00DA0C09" w:rsidP="00DA0C09">
            <w:pPr>
              <w:pStyle w:val="BodyText"/>
              <w:jc w:val="center"/>
              <w:rPr>
                <w:rFonts w:ascii="Arial" w:hAnsi="Arial"/>
                <w:b/>
                <w:sz w:val="22"/>
              </w:rPr>
            </w:pPr>
            <w:r>
              <w:rPr>
                <w:rFonts w:ascii="Arial" w:hAnsi="Arial"/>
                <w:b/>
                <w:sz w:val="22"/>
              </w:rPr>
              <w:t>Upper</w:t>
            </w:r>
          </w:p>
        </w:tc>
        <w:tc>
          <w:tcPr>
            <w:tcW w:w="1809" w:type="dxa"/>
          </w:tcPr>
          <w:p w14:paraId="65FEB0E5" w14:textId="77777777" w:rsidR="00DA0C09" w:rsidRDefault="00DA0C09" w:rsidP="00DA0C09">
            <w:pPr>
              <w:pStyle w:val="BodyText"/>
              <w:jc w:val="center"/>
              <w:rPr>
                <w:rFonts w:ascii="Arial" w:hAnsi="Arial"/>
                <w:b/>
                <w:sz w:val="22"/>
              </w:rPr>
            </w:pPr>
            <w:r>
              <w:rPr>
                <w:rFonts w:ascii="Arial" w:hAnsi="Arial"/>
                <w:b/>
                <w:sz w:val="22"/>
              </w:rPr>
              <w:t>Upper</w:t>
            </w:r>
          </w:p>
        </w:tc>
      </w:tr>
      <w:tr w:rsidR="00DA0C09" w14:paraId="42F588B0" w14:textId="77777777" w:rsidTr="00041B98">
        <w:tc>
          <w:tcPr>
            <w:tcW w:w="2982" w:type="dxa"/>
          </w:tcPr>
          <w:p w14:paraId="695B097D" w14:textId="77777777" w:rsidR="00DA0C09" w:rsidRDefault="00DA0C09" w:rsidP="00DA0C09">
            <w:pPr>
              <w:pStyle w:val="BodyText"/>
              <w:rPr>
                <w:rFonts w:ascii="Arial" w:hAnsi="Arial"/>
                <w:b/>
                <w:sz w:val="22"/>
              </w:rPr>
            </w:pPr>
            <w:r>
              <w:rPr>
                <w:rFonts w:ascii="Arial" w:hAnsi="Arial"/>
                <w:b/>
                <w:sz w:val="22"/>
              </w:rPr>
              <w:t xml:space="preserve">Limits on fixed interest rates </w:t>
            </w:r>
            <w:r w:rsidRPr="00431103">
              <w:rPr>
                <w:rFonts w:ascii="Arial" w:hAnsi="Arial"/>
                <w:b/>
                <w:sz w:val="22"/>
              </w:rPr>
              <w:t>based on net debt</w:t>
            </w:r>
          </w:p>
        </w:tc>
        <w:tc>
          <w:tcPr>
            <w:tcW w:w="1701" w:type="dxa"/>
          </w:tcPr>
          <w:p w14:paraId="6487F1A0" w14:textId="77777777" w:rsidR="002343AD" w:rsidRDefault="002343AD" w:rsidP="00DA0C09">
            <w:pPr>
              <w:pStyle w:val="BodyText"/>
              <w:jc w:val="center"/>
              <w:rPr>
                <w:rFonts w:ascii="Arial" w:hAnsi="Arial"/>
                <w:sz w:val="22"/>
              </w:rPr>
            </w:pPr>
          </w:p>
          <w:p w14:paraId="4E4D7292" w14:textId="77777777" w:rsidR="00DA0C09" w:rsidRDefault="002343AD" w:rsidP="00DA0C09">
            <w:pPr>
              <w:pStyle w:val="BodyText"/>
              <w:jc w:val="center"/>
              <w:rPr>
                <w:rFonts w:ascii="Arial" w:hAnsi="Arial"/>
                <w:sz w:val="22"/>
              </w:rPr>
            </w:pPr>
            <w:r>
              <w:rPr>
                <w:rFonts w:ascii="Arial" w:hAnsi="Arial"/>
                <w:sz w:val="22"/>
              </w:rPr>
              <w:t>100%</w:t>
            </w:r>
          </w:p>
        </w:tc>
        <w:tc>
          <w:tcPr>
            <w:tcW w:w="1559" w:type="dxa"/>
          </w:tcPr>
          <w:p w14:paraId="0C313704" w14:textId="77777777" w:rsidR="002343AD" w:rsidRDefault="002343AD" w:rsidP="00DA0C09">
            <w:pPr>
              <w:pStyle w:val="BodyText"/>
              <w:jc w:val="center"/>
              <w:rPr>
                <w:rFonts w:ascii="Arial" w:hAnsi="Arial"/>
                <w:sz w:val="22"/>
              </w:rPr>
            </w:pPr>
          </w:p>
          <w:p w14:paraId="57183E1D" w14:textId="77777777" w:rsidR="00DA0C09" w:rsidRDefault="002343AD" w:rsidP="00DA0C09">
            <w:pPr>
              <w:pStyle w:val="BodyText"/>
              <w:jc w:val="center"/>
              <w:rPr>
                <w:rFonts w:ascii="Arial" w:hAnsi="Arial"/>
                <w:sz w:val="22"/>
              </w:rPr>
            </w:pPr>
            <w:r>
              <w:rPr>
                <w:rFonts w:ascii="Arial" w:hAnsi="Arial"/>
                <w:sz w:val="22"/>
              </w:rPr>
              <w:t>100%</w:t>
            </w:r>
          </w:p>
        </w:tc>
        <w:tc>
          <w:tcPr>
            <w:tcW w:w="1809" w:type="dxa"/>
          </w:tcPr>
          <w:p w14:paraId="5813B813" w14:textId="77777777" w:rsidR="00DA0C09" w:rsidRDefault="00DA0C09" w:rsidP="00DA0C09">
            <w:pPr>
              <w:pStyle w:val="BodyText"/>
              <w:jc w:val="center"/>
              <w:rPr>
                <w:rFonts w:ascii="Arial" w:hAnsi="Arial"/>
                <w:sz w:val="22"/>
              </w:rPr>
            </w:pPr>
          </w:p>
          <w:p w14:paraId="07898D11" w14:textId="77777777" w:rsidR="002343AD" w:rsidRDefault="002343AD" w:rsidP="00DA0C09">
            <w:pPr>
              <w:pStyle w:val="BodyText"/>
              <w:jc w:val="center"/>
              <w:rPr>
                <w:rFonts w:ascii="Arial" w:hAnsi="Arial"/>
                <w:sz w:val="22"/>
              </w:rPr>
            </w:pPr>
            <w:r>
              <w:rPr>
                <w:rFonts w:ascii="Arial" w:hAnsi="Arial"/>
                <w:sz w:val="22"/>
              </w:rPr>
              <w:t>100%</w:t>
            </w:r>
          </w:p>
        </w:tc>
      </w:tr>
      <w:tr w:rsidR="00DA0C09" w14:paraId="343BF664" w14:textId="77777777" w:rsidTr="00041B98">
        <w:tc>
          <w:tcPr>
            <w:tcW w:w="2982" w:type="dxa"/>
          </w:tcPr>
          <w:p w14:paraId="608994AA" w14:textId="77777777" w:rsidR="00DA0C09" w:rsidRDefault="00DA0C09" w:rsidP="00DA0C09">
            <w:pPr>
              <w:pStyle w:val="BodyText"/>
              <w:rPr>
                <w:rFonts w:ascii="Arial" w:hAnsi="Arial"/>
                <w:b/>
                <w:sz w:val="22"/>
              </w:rPr>
            </w:pPr>
            <w:r>
              <w:rPr>
                <w:rFonts w:ascii="Arial" w:hAnsi="Arial"/>
                <w:b/>
                <w:sz w:val="22"/>
              </w:rPr>
              <w:t xml:space="preserve">Limits on variable interest rates </w:t>
            </w:r>
            <w:r w:rsidRPr="00431103">
              <w:rPr>
                <w:rFonts w:ascii="Arial" w:hAnsi="Arial"/>
                <w:b/>
                <w:sz w:val="22"/>
              </w:rPr>
              <w:t>based on net debt</w:t>
            </w:r>
          </w:p>
        </w:tc>
        <w:tc>
          <w:tcPr>
            <w:tcW w:w="1701" w:type="dxa"/>
          </w:tcPr>
          <w:p w14:paraId="19191799" w14:textId="77777777" w:rsidR="00DA0C09" w:rsidRDefault="00DA0C09" w:rsidP="00DA0C09">
            <w:pPr>
              <w:pStyle w:val="BodyText"/>
              <w:jc w:val="center"/>
              <w:rPr>
                <w:rFonts w:ascii="Arial" w:hAnsi="Arial"/>
                <w:sz w:val="22"/>
              </w:rPr>
            </w:pPr>
          </w:p>
          <w:p w14:paraId="72AB1A40" w14:textId="77777777" w:rsidR="002343AD" w:rsidRDefault="002343AD" w:rsidP="00DA0C09">
            <w:pPr>
              <w:pStyle w:val="BodyText"/>
              <w:jc w:val="center"/>
              <w:rPr>
                <w:rFonts w:ascii="Arial" w:hAnsi="Arial"/>
                <w:sz w:val="22"/>
              </w:rPr>
            </w:pPr>
            <w:r>
              <w:rPr>
                <w:rFonts w:ascii="Arial" w:hAnsi="Arial"/>
                <w:sz w:val="22"/>
              </w:rPr>
              <w:t>35%</w:t>
            </w:r>
          </w:p>
        </w:tc>
        <w:tc>
          <w:tcPr>
            <w:tcW w:w="1559" w:type="dxa"/>
          </w:tcPr>
          <w:p w14:paraId="291B0901" w14:textId="77777777" w:rsidR="00DA0C09" w:rsidRDefault="00DA0C09" w:rsidP="00DA0C09">
            <w:pPr>
              <w:pStyle w:val="BodyText"/>
              <w:jc w:val="center"/>
              <w:rPr>
                <w:rFonts w:ascii="Arial" w:hAnsi="Arial"/>
                <w:sz w:val="22"/>
              </w:rPr>
            </w:pPr>
          </w:p>
          <w:p w14:paraId="0D3539AB" w14:textId="77777777" w:rsidR="002343AD" w:rsidRDefault="002343AD" w:rsidP="00DA0C09">
            <w:pPr>
              <w:pStyle w:val="BodyText"/>
              <w:jc w:val="center"/>
              <w:rPr>
                <w:rFonts w:ascii="Arial" w:hAnsi="Arial"/>
                <w:sz w:val="22"/>
              </w:rPr>
            </w:pPr>
            <w:r>
              <w:rPr>
                <w:rFonts w:ascii="Arial" w:hAnsi="Arial"/>
                <w:sz w:val="22"/>
              </w:rPr>
              <w:t>35%</w:t>
            </w:r>
          </w:p>
        </w:tc>
        <w:tc>
          <w:tcPr>
            <w:tcW w:w="1809" w:type="dxa"/>
          </w:tcPr>
          <w:p w14:paraId="4DF2017A" w14:textId="77777777" w:rsidR="00DA0C09" w:rsidRDefault="00DA0C09" w:rsidP="00DA0C09">
            <w:pPr>
              <w:pStyle w:val="BodyText"/>
              <w:jc w:val="center"/>
              <w:rPr>
                <w:rFonts w:ascii="Arial" w:hAnsi="Arial"/>
                <w:sz w:val="22"/>
              </w:rPr>
            </w:pPr>
          </w:p>
          <w:p w14:paraId="582F938A" w14:textId="77777777" w:rsidR="002343AD" w:rsidRDefault="002343AD" w:rsidP="00DA0C09">
            <w:pPr>
              <w:pStyle w:val="BodyText"/>
              <w:jc w:val="center"/>
              <w:rPr>
                <w:rFonts w:ascii="Arial" w:hAnsi="Arial"/>
                <w:sz w:val="22"/>
              </w:rPr>
            </w:pPr>
            <w:r>
              <w:rPr>
                <w:rFonts w:ascii="Arial" w:hAnsi="Arial"/>
                <w:sz w:val="22"/>
              </w:rPr>
              <w:t>35%</w:t>
            </w:r>
          </w:p>
        </w:tc>
      </w:tr>
      <w:tr w:rsidR="00DA0C09" w14:paraId="6652F68D" w14:textId="77777777" w:rsidTr="00041B98">
        <w:trPr>
          <w:cantSplit/>
        </w:trPr>
        <w:tc>
          <w:tcPr>
            <w:tcW w:w="8051" w:type="dxa"/>
            <w:gridSpan w:val="4"/>
            <w:shd w:val="clear" w:color="auto" w:fill="C0C0C0"/>
          </w:tcPr>
          <w:p w14:paraId="7B682B53" w14:textId="1DD31123" w:rsidR="00DA0C09" w:rsidRDefault="00DA0C09" w:rsidP="00A21269">
            <w:pPr>
              <w:pStyle w:val="BodyText"/>
              <w:jc w:val="left"/>
              <w:rPr>
                <w:rFonts w:ascii="Arial" w:hAnsi="Arial"/>
                <w:b/>
                <w:sz w:val="22"/>
              </w:rPr>
            </w:pPr>
            <w:r>
              <w:rPr>
                <w:rFonts w:ascii="Arial" w:hAnsi="Arial"/>
                <w:b/>
                <w:sz w:val="22"/>
              </w:rPr>
              <w:t>Maturity Structure of fixed interest rate borrowing 20</w:t>
            </w:r>
            <w:r w:rsidR="00A21269">
              <w:rPr>
                <w:rFonts w:ascii="Arial" w:hAnsi="Arial"/>
                <w:b/>
                <w:sz w:val="22"/>
              </w:rPr>
              <w:t>2</w:t>
            </w:r>
            <w:r w:rsidR="00C64789">
              <w:rPr>
                <w:rFonts w:ascii="Arial" w:hAnsi="Arial"/>
                <w:b/>
                <w:sz w:val="22"/>
              </w:rPr>
              <w:t>4</w:t>
            </w:r>
            <w:r w:rsidR="008F1A8C">
              <w:rPr>
                <w:rFonts w:ascii="Arial" w:hAnsi="Arial"/>
                <w:b/>
                <w:sz w:val="22"/>
              </w:rPr>
              <w:t>/</w:t>
            </w:r>
            <w:r w:rsidR="006E2903">
              <w:rPr>
                <w:rFonts w:ascii="Arial" w:hAnsi="Arial"/>
                <w:b/>
                <w:sz w:val="22"/>
              </w:rPr>
              <w:t>2</w:t>
            </w:r>
            <w:r w:rsidR="00C64789">
              <w:rPr>
                <w:rFonts w:ascii="Arial" w:hAnsi="Arial"/>
                <w:b/>
                <w:sz w:val="22"/>
              </w:rPr>
              <w:t>5</w:t>
            </w:r>
          </w:p>
        </w:tc>
      </w:tr>
      <w:tr w:rsidR="00DA0C09" w14:paraId="243AFDDB" w14:textId="77777777" w:rsidTr="00041B98">
        <w:trPr>
          <w:cantSplit/>
        </w:trPr>
        <w:tc>
          <w:tcPr>
            <w:tcW w:w="4683" w:type="dxa"/>
            <w:gridSpan w:val="2"/>
          </w:tcPr>
          <w:p w14:paraId="17C9728A" w14:textId="77777777" w:rsidR="00DA0C09" w:rsidRDefault="00DA0C09" w:rsidP="00DA0C09">
            <w:pPr>
              <w:pStyle w:val="BodyText"/>
              <w:rPr>
                <w:rFonts w:ascii="Arial" w:hAnsi="Arial"/>
                <w:b/>
                <w:sz w:val="22"/>
              </w:rPr>
            </w:pPr>
          </w:p>
        </w:tc>
        <w:tc>
          <w:tcPr>
            <w:tcW w:w="1559" w:type="dxa"/>
          </w:tcPr>
          <w:p w14:paraId="263BE084" w14:textId="77777777" w:rsidR="00DA0C09" w:rsidRDefault="00DA0C09" w:rsidP="00DA0C09">
            <w:pPr>
              <w:pStyle w:val="BodyText"/>
              <w:jc w:val="center"/>
              <w:rPr>
                <w:rFonts w:ascii="Arial" w:hAnsi="Arial"/>
                <w:b/>
                <w:sz w:val="22"/>
              </w:rPr>
            </w:pPr>
            <w:r>
              <w:rPr>
                <w:rFonts w:ascii="Arial" w:hAnsi="Arial"/>
                <w:b/>
                <w:sz w:val="22"/>
              </w:rPr>
              <w:t>Lower</w:t>
            </w:r>
          </w:p>
        </w:tc>
        <w:tc>
          <w:tcPr>
            <w:tcW w:w="1809" w:type="dxa"/>
          </w:tcPr>
          <w:p w14:paraId="6220ED43" w14:textId="77777777" w:rsidR="00DA0C09" w:rsidRDefault="00DA0C09" w:rsidP="00DA0C09">
            <w:pPr>
              <w:pStyle w:val="BodyText"/>
              <w:jc w:val="center"/>
              <w:rPr>
                <w:rFonts w:ascii="Arial" w:hAnsi="Arial"/>
                <w:b/>
                <w:sz w:val="22"/>
              </w:rPr>
            </w:pPr>
            <w:r>
              <w:rPr>
                <w:rFonts w:ascii="Arial" w:hAnsi="Arial"/>
                <w:b/>
                <w:sz w:val="22"/>
              </w:rPr>
              <w:t>Upper</w:t>
            </w:r>
          </w:p>
        </w:tc>
      </w:tr>
      <w:tr w:rsidR="00DA0C09" w14:paraId="38C21593" w14:textId="77777777" w:rsidTr="00041B98">
        <w:trPr>
          <w:cantSplit/>
          <w:trHeight w:val="291"/>
        </w:trPr>
        <w:tc>
          <w:tcPr>
            <w:tcW w:w="4683" w:type="dxa"/>
            <w:gridSpan w:val="2"/>
          </w:tcPr>
          <w:p w14:paraId="06297E39" w14:textId="77777777" w:rsidR="00DA0C09" w:rsidRDefault="00DA0C09" w:rsidP="00DA0C09">
            <w:pPr>
              <w:pStyle w:val="BodyText"/>
              <w:rPr>
                <w:rFonts w:ascii="Arial" w:hAnsi="Arial"/>
                <w:sz w:val="22"/>
              </w:rPr>
            </w:pPr>
            <w:r>
              <w:rPr>
                <w:rFonts w:ascii="Arial" w:hAnsi="Arial"/>
                <w:sz w:val="22"/>
              </w:rPr>
              <w:t>Under 12 months</w:t>
            </w:r>
          </w:p>
        </w:tc>
        <w:tc>
          <w:tcPr>
            <w:tcW w:w="1559" w:type="dxa"/>
          </w:tcPr>
          <w:p w14:paraId="00DC0503" w14:textId="77777777" w:rsidR="00DA0C09" w:rsidRDefault="00DA0C09" w:rsidP="00DA0C09">
            <w:pPr>
              <w:pStyle w:val="BodyText"/>
              <w:jc w:val="center"/>
              <w:rPr>
                <w:rFonts w:ascii="Arial" w:hAnsi="Arial"/>
                <w:sz w:val="22"/>
              </w:rPr>
            </w:pPr>
            <w:r>
              <w:rPr>
                <w:rFonts w:ascii="Arial" w:hAnsi="Arial"/>
                <w:sz w:val="22"/>
              </w:rPr>
              <w:t>0%</w:t>
            </w:r>
          </w:p>
        </w:tc>
        <w:tc>
          <w:tcPr>
            <w:tcW w:w="1809" w:type="dxa"/>
          </w:tcPr>
          <w:p w14:paraId="13B8EF54" w14:textId="77777777" w:rsidR="00DA0C09" w:rsidRDefault="009D554F" w:rsidP="00DA0C09">
            <w:pPr>
              <w:pStyle w:val="BodyText"/>
              <w:jc w:val="center"/>
              <w:rPr>
                <w:rFonts w:ascii="Arial" w:hAnsi="Arial"/>
                <w:sz w:val="22"/>
              </w:rPr>
            </w:pPr>
            <w:r>
              <w:rPr>
                <w:rFonts w:ascii="Arial" w:hAnsi="Arial"/>
                <w:sz w:val="22"/>
              </w:rPr>
              <w:t>20%</w:t>
            </w:r>
          </w:p>
        </w:tc>
      </w:tr>
      <w:tr w:rsidR="00DA0C09" w14:paraId="606A2E9A" w14:textId="77777777" w:rsidTr="00041B98">
        <w:trPr>
          <w:cantSplit/>
        </w:trPr>
        <w:tc>
          <w:tcPr>
            <w:tcW w:w="4683" w:type="dxa"/>
            <w:gridSpan w:val="2"/>
          </w:tcPr>
          <w:p w14:paraId="08C28641" w14:textId="77777777" w:rsidR="00DA0C09" w:rsidRDefault="00DA0C09" w:rsidP="00DA0C09">
            <w:pPr>
              <w:pStyle w:val="BodyText"/>
              <w:rPr>
                <w:rFonts w:ascii="Arial" w:hAnsi="Arial"/>
                <w:sz w:val="22"/>
              </w:rPr>
            </w:pPr>
            <w:r>
              <w:rPr>
                <w:rFonts w:ascii="Arial" w:hAnsi="Arial"/>
                <w:sz w:val="22"/>
              </w:rPr>
              <w:t>12 months to 2 years</w:t>
            </w:r>
          </w:p>
        </w:tc>
        <w:tc>
          <w:tcPr>
            <w:tcW w:w="1559" w:type="dxa"/>
          </w:tcPr>
          <w:p w14:paraId="29A51F51" w14:textId="77777777" w:rsidR="00DA0C09" w:rsidRDefault="00DA0C09" w:rsidP="00DA0C09">
            <w:pPr>
              <w:pStyle w:val="BodyText"/>
              <w:jc w:val="center"/>
              <w:rPr>
                <w:rFonts w:ascii="Arial" w:hAnsi="Arial"/>
                <w:sz w:val="22"/>
              </w:rPr>
            </w:pPr>
            <w:r>
              <w:rPr>
                <w:rFonts w:ascii="Arial" w:hAnsi="Arial"/>
                <w:sz w:val="22"/>
              </w:rPr>
              <w:t>0%</w:t>
            </w:r>
          </w:p>
        </w:tc>
        <w:tc>
          <w:tcPr>
            <w:tcW w:w="1809" w:type="dxa"/>
          </w:tcPr>
          <w:p w14:paraId="3EAF26A4" w14:textId="77777777" w:rsidR="00DA0C09" w:rsidRDefault="009D554F" w:rsidP="00DA0C09">
            <w:pPr>
              <w:pStyle w:val="BodyText"/>
              <w:jc w:val="center"/>
              <w:rPr>
                <w:rFonts w:ascii="Arial" w:hAnsi="Arial"/>
                <w:sz w:val="22"/>
              </w:rPr>
            </w:pPr>
            <w:r>
              <w:rPr>
                <w:rFonts w:ascii="Arial" w:hAnsi="Arial"/>
                <w:sz w:val="22"/>
              </w:rPr>
              <w:t>20%</w:t>
            </w:r>
          </w:p>
        </w:tc>
      </w:tr>
      <w:tr w:rsidR="00DA0C09" w14:paraId="526701F4" w14:textId="77777777" w:rsidTr="00041B98">
        <w:trPr>
          <w:cantSplit/>
        </w:trPr>
        <w:tc>
          <w:tcPr>
            <w:tcW w:w="4683" w:type="dxa"/>
            <w:gridSpan w:val="2"/>
          </w:tcPr>
          <w:p w14:paraId="648ABFA8" w14:textId="77777777" w:rsidR="00DA0C09" w:rsidRDefault="00DA0C09" w:rsidP="00DA0C09">
            <w:pPr>
              <w:pStyle w:val="BodyText"/>
              <w:rPr>
                <w:rFonts w:ascii="Arial" w:hAnsi="Arial"/>
                <w:sz w:val="22"/>
              </w:rPr>
            </w:pPr>
            <w:r>
              <w:rPr>
                <w:rFonts w:ascii="Arial" w:hAnsi="Arial"/>
                <w:sz w:val="22"/>
              </w:rPr>
              <w:t>2 years to 5 years</w:t>
            </w:r>
          </w:p>
        </w:tc>
        <w:tc>
          <w:tcPr>
            <w:tcW w:w="1559" w:type="dxa"/>
          </w:tcPr>
          <w:p w14:paraId="39E77795" w14:textId="77777777" w:rsidR="00DA0C09" w:rsidRDefault="00DA0C09" w:rsidP="00DA0C09">
            <w:pPr>
              <w:pStyle w:val="BodyText"/>
              <w:jc w:val="center"/>
              <w:rPr>
                <w:rFonts w:ascii="Arial" w:hAnsi="Arial"/>
                <w:sz w:val="22"/>
              </w:rPr>
            </w:pPr>
            <w:r>
              <w:rPr>
                <w:rFonts w:ascii="Arial" w:hAnsi="Arial"/>
                <w:sz w:val="22"/>
              </w:rPr>
              <w:t>0%</w:t>
            </w:r>
          </w:p>
        </w:tc>
        <w:tc>
          <w:tcPr>
            <w:tcW w:w="1809" w:type="dxa"/>
          </w:tcPr>
          <w:p w14:paraId="7FE36A03" w14:textId="77777777" w:rsidR="00DA0C09" w:rsidRDefault="009D554F" w:rsidP="00DA0C09">
            <w:pPr>
              <w:pStyle w:val="BodyText"/>
              <w:jc w:val="center"/>
              <w:rPr>
                <w:rFonts w:ascii="Arial" w:hAnsi="Arial"/>
                <w:sz w:val="22"/>
              </w:rPr>
            </w:pPr>
            <w:r>
              <w:rPr>
                <w:rFonts w:ascii="Arial" w:hAnsi="Arial"/>
                <w:sz w:val="22"/>
              </w:rPr>
              <w:t>20%</w:t>
            </w:r>
          </w:p>
        </w:tc>
      </w:tr>
      <w:tr w:rsidR="00DA0C09" w14:paraId="0A21EB4B" w14:textId="77777777" w:rsidTr="00041B98">
        <w:trPr>
          <w:cantSplit/>
        </w:trPr>
        <w:tc>
          <w:tcPr>
            <w:tcW w:w="4683" w:type="dxa"/>
            <w:gridSpan w:val="2"/>
          </w:tcPr>
          <w:p w14:paraId="54C2DA10" w14:textId="77777777" w:rsidR="00DA0C09" w:rsidRDefault="00DA0C09" w:rsidP="00DA0C09">
            <w:pPr>
              <w:pStyle w:val="BodyText"/>
              <w:rPr>
                <w:rFonts w:ascii="Arial" w:hAnsi="Arial"/>
                <w:sz w:val="22"/>
              </w:rPr>
            </w:pPr>
            <w:r>
              <w:rPr>
                <w:rFonts w:ascii="Arial" w:hAnsi="Arial"/>
                <w:sz w:val="22"/>
              </w:rPr>
              <w:t>5 years to 10 years</w:t>
            </w:r>
          </w:p>
        </w:tc>
        <w:tc>
          <w:tcPr>
            <w:tcW w:w="1559" w:type="dxa"/>
          </w:tcPr>
          <w:p w14:paraId="52346B48" w14:textId="77777777" w:rsidR="00DA0C09" w:rsidRDefault="00DA0C09" w:rsidP="00DA0C09">
            <w:pPr>
              <w:pStyle w:val="BodyText"/>
              <w:jc w:val="center"/>
              <w:rPr>
                <w:rFonts w:ascii="Arial" w:hAnsi="Arial"/>
                <w:sz w:val="22"/>
              </w:rPr>
            </w:pPr>
            <w:r>
              <w:rPr>
                <w:rFonts w:ascii="Arial" w:hAnsi="Arial"/>
                <w:sz w:val="22"/>
              </w:rPr>
              <w:t>0%</w:t>
            </w:r>
          </w:p>
        </w:tc>
        <w:tc>
          <w:tcPr>
            <w:tcW w:w="1809" w:type="dxa"/>
          </w:tcPr>
          <w:p w14:paraId="40049055" w14:textId="77777777" w:rsidR="00DA0C09" w:rsidRDefault="00F50C2A" w:rsidP="00DA0C09">
            <w:pPr>
              <w:pStyle w:val="BodyText"/>
              <w:jc w:val="center"/>
              <w:rPr>
                <w:rFonts w:ascii="Arial" w:hAnsi="Arial"/>
                <w:sz w:val="22"/>
              </w:rPr>
            </w:pPr>
            <w:r w:rsidRPr="00F50C2A">
              <w:rPr>
                <w:rFonts w:ascii="Arial" w:hAnsi="Arial"/>
                <w:sz w:val="22"/>
              </w:rPr>
              <w:t>2</w:t>
            </w:r>
            <w:r w:rsidR="00D0762E" w:rsidRPr="00F50C2A">
              <w:rPr>
                <w:rFonts w:ascii="Arial" w:hAnsi="Arial"/>
                <w:sz w:val="22"/>
              </w:rPr>
              <w:t>0</w:t>
            </w:r>
            <w:r w:rsidR="009D554F" w:rsidRPr="00F50C2A">
              <w:rPr>
                <w:rFonts w:ascii="Arial" w:hAnsi="Arial"/>
                <w:sz w:val="22"/>
              </w:rPr>
              <w:t>%</w:t>
            </w:r>
          </w:p>
        </w:tc>
      </w:tr>
      <w:tr w:rsidR="00DA0C09" w14:paraId="1129046E" w14:textId="77777777" w:rsidTr="00041B98">
        <w:trPr>
          <w:cantSplit/>
        </w:trPr>
        <w:tc>
          <w:tcPr>
            <w:tcW w:w="4683" w:type="dxa"/>
            <w:gridSpan w:val="2"/>
          </w:tcPr>
          <w:p w14:paraId="524C4AA0" w14:textId="77777777" w:rsidR="00DA0C09" w:rsidRDefault="00DA0C09" w:rsidP="00DA0C09">
            <w:pPr>
              <w:pStyle w:val="BodyText"/>
              <w:rPr>
                <w:rFonts w:ascii="Arial" w:hAnsi="Arial"/>
                <w:sz w:val="22"/>
              </w:rPr>
            </w:pPr>
            <w:r>
              <w:rPr>
                <w:rFonts w:ascii="Arial" w:hAnsi="Arial"/>
                <w:sz w:val="22"/>
              </w:rPr>
              <w:t>10 years and above</w:t>
            </w:r>
          </w:p>
        </w:tc>
        <w:tc>
          <w:tcPr>
            <w:tcW w:w="1559" w:type="dxa"/>
          </w:tcPr>
          <w:p w14:paraId="53D7C6AC" w14:textId="77777777" w:rsidR="00DA0C09" w:rsidRDefault="009D554F" w:rsidP="00DA0C09">
            <w:pPr>
              <w:pStyle w:val="BodyText"/>
              <w:jc w:val="center"/>
              <w:rPr>
                <w:rFonts w:ascii="Arial" w:hAnsi="Arial"/>
                <w:sz w:val="22"/>
              </w:rPr>
            </w:pPr>
            <w:r>
              <w:rPr>
                <w:rFonts w:ascii="Arial" w:hAnsi="Arial"/>
                <w:sz w:val="22"/>
              </w:rPr>
              <w:t>2</w:t>
            </w:r>
            <w:r w:rsidR="00DA0C09">
              <w:rPr>
                <w:rFonts w:ascii="Arial" w:hAnsi="Arial"/>
                <w:sz w:val="22"/>
              </w:rPr>
              <w:t>0%</w:t>
            </w:r>
          </w:p>
        </w:tc>
        <w:tc>
          <w:tcPr>
            <w:tcW w:w="1809" w:type="dxa"/>
          </w:tcPr>
          <w:p w14:paraId="17ED9991" w14:textId="77777777" w:rsidR="00DA0C09" w:rsidRDefault="009D554F" w:rsidP="00DA0C09">
            <w:pPr>
              <w:pStyle w:val="BodyText"/>
              <w:jc w:val="center"/>
              <w:rPr>
                <w:rFonts w:ascii="Arial" w:hAnsi="Arial"/>
                <w:sz w:val="22"/>
              </w:rPr>
            </w:pPr>
            <w:r>
              <w:rPr>
                <w:rFonts w:ascii="Arial" w:hAnsi="Arial"/>
                <w:sz w:val="22"/>
              </w:rPr>
              <w:t>90%</w:t>
            </w:r>
          </w:p>
        </w:tc>
      </w:tr>
      <w:tr w:rsidR="00DA0C09" w14:paraId="0621D9A4" w14:textId="77777777" w:rsidTr="00041B98">
        <w:tc>
          <w:tcPr>
            <w:tcW w:w="8051" w:type="dxa"/>
            <w:gridSpan w:val="4"/>
            <w:shd w:val="clear" w:color="auto" w:fill="C0C0C0"/>
          </w:tcPr>
          <w:p w14:paraId="6D9B9EA4" w14:textId="77777777" w:rsidR="00DA0C09" w:rsidRDefault="00DA0C09" w:rsidP="00DA0C09">
            <w:pPr>
              <w:pStyle w:val="BodyText"/>
              <w:jc w:val="left"/>
              <w:rPr>
                <w:rFonts w:ascii="Arial" w:hAnsi="Arial"/>
                <w:sz w:val="22"/>
              </w:rPr>
            </w:pPr>
            <w:r>
              <w:rPr>
                <w:rFonts w:ascii="Arial" w:hAnsi="Arial"/>
                <w:b/>
                <w:sz w:val="22"/>
              </w:rPr>
              <w:t>Maximum principal sums invested &gt; 364 days</w:t>
            </w:r>
          </w:p>
        </w:tc>
      </w:tr>
      <w:tr w:rsidR="00DA0C09" w14:paraId="4523DDC9" w14:textId="77777777" w:rsidTr="00041B98">
        <w:tc>
          <w:tcPr>
            <w:tcW w:w="2982" w:type="dxa"/>
          </w:tcPr>
          <w:p w14:paraId="5BA716F5" w14:textId="77777777" w:rsidR="00DA0C09" w:rsidRDefault="00DA0C09" w:rsidP="00DA0C09">
            <w:pPr>
              <w:pStyle w:val="BodyText"/>
              <w:rPr>
                <w:rFonts w:ascii="Arial" w:hAnsi="Arial"/>
                <w:sz w:val="22"/>
              </w:rPr>
            </w:pPr>
            <w:r>
              <w:rPr>
                <w:rFonts w:ascii="Arial" w:hAnsi="Arial"/>
                <w:sz w:val="22"/>
              </w:rPr>
              <w:t>Principal sums invested &gt; 364 days</w:t>
            </w:r>
          </w:p>
        </w:tc>
        <w:tc>
          <w:tcPr>
            <w:tcW w:w="1701" w:type="dxa"/>
          </w:tcPr>
          <w:p w14:paraId="34289F8E" w14:textId="77777777" w:rsidR="00DA0C09" w:rsidRDefault="00DA0C09" w:rsidP="00DA0C09">
            <w:pPr>
              <w:pStyle w:val="BodyText"/>
              <w:jc w:val="center"/>
              <w:rPr>
                <w:rFonts w:ascii="Arial" w:hAnsi="Arial"/>
                <w:sz w:val="22"/>
              </w:rPr>
            </w:pPr>
            <w:r>
              <w:rPr>
                <w:rFonts w:ascii="Arial" w:hAnsi="Arial"/>
                <w:sz w:val="22"/>
              </w:rPr>
              <w:t>£m</w:t>
            </w:r>
          </w:p>
          <w:p w14:paraId="157DC94E" w14:textId="77777777" w:rsidR="009D554F" w:rsidRDefault="00E75261" w:rsidP="00DA0C09">
            <w:pPr>
              <w:pStyle w:val="BodyText"/>
              <w:jc w:val="center"/>
              <w:rPr>
                <w:rFonts w:ascii="Arial" w:hAnsi="Arial"/>
                <w:sz w:val="22"/>
              </w:rPr>
            </w:pPr>
            <w:r>
              <w:rPr>
                <w:rFonts w:ascii="Arial" w:hAnsi="Arial"/>
                <w:sz w:val="22"/>
              </w:rPr>
              <w:t>20</w:t>
            </w:r>
          </w:p>
        </w:tc>
        <w:tc>
          <w:tcPr>
            <w:tcW w:w="1559" w:type="dxa"/>
          </w:tcPr>
          <w:p w14:paraId="15A06A17" w14:textId="77777777" w:rsidR="00DA0C09" w:rsidRDefault="00DA0C09" w:rsidP="00DA0C09">
            <w:pPr>
              <w:pStyle w:val="BodyText"/>
              <w:jc w:val="center"/>
              <w:rPr>
                <w:rFonts w:ascii="Arial" w:hAnsi="Arial"/>
                <w:sz w:val="22"/>
              </w:rPr>
            </w:pPr>
            <w:r>
              <w:rPr>
                <w:rFonts w:ascii="Arial" w:hAnsi="Arial"/>
                <w:sz w:val="22"/>
              </w:rPr>
              <w:t>£m</w:t>
            </w:r>
          </w:p>
          <w:p w14:paraId="4612A309" w14:textId="77777777" w:rsidR="009D554F" w:rsidRDefault="00E75261" w:rsidP="00DA0C09">
            <w:pPr>
              <w:pStyle w:val="BodyText"/>
              <w:jc w:val="center"/>
              <w:rPr>
                <w:rFonts w:ascii="Arial" w:hAnsi="Arial"/>
                <w:sz w:val="22"/>
              </w:rPr>
            </w:pPr>
            <w:r>
              <w:rPr>
                <w:rFonts w:ascii="Arial" w:hAnsi="Arial"/>
                <w:sz w:val="22"/>
              </w:rPr>
              <w:t>20</w:t>
            </w:r>
          </w:p>
        </w:tc>
        <w:tc>
          <w:tcPr>
            <w:tcW w:w="1809" w:type="dxa"/>
          </w:tcPr>
          <w:p w14:paraId="54057054" w14:textId="77777777" w:rsidR="00DA0C09" w:rsidRDefault="00DA0C09" w:rsidP="00DA0C09">
            <w:pPr>
              <w:pStyle w:val="BodyText"/>
              <w:jc w:val="center"/>
              <w:rPr>
                <w:rFonts w:ascii="Arial" w:hAnsi="Arial"/>
                <w:sz w:val="22"/>
              </w:rPr>
            </w:pPr>
            <w:r>
              <w:rPr>
                <w:rFonts w:ascii="Arial" w:hAnsi="Arial"/>
                <w:sz w:val="22"/>
              </w:rPr>
              <w:t>£m</w:t>
            </w:r>
          </w:p>
          <w:p w14:paraId="6FB31B1B" w14:textId="77777777" w:rsidR="009D554F" w:rsidRDefault="00E75261" w:rsidP="00DA0C09">
            <w:pPr>
              <w:pStyle w:val="BodyText"/>
              <w:jc w:val="center"/>
              <w:rPr>
                <w:rFonts w:ascii="Arial" w:hAnsi="Arial"/>
                <w:sz w:val="22"/>
              </w:rPr>
            </w:pPr>
            <w:r>
              <w:rPr>
                <w:rFonts w:ascii="Arial" w:hAnsi="Arial"/>
                <w:sz w:val="22"/>
              </w:rPr>
              <w:t>20</w:t>
            </w:r>
          </w:p>
        </w:tc>
      </w:tr>
    </w:tbl>
    <w:p w14:paraId="0C002EFB" w14:textId="77777777" w:rsidR="000B25BF" w:rsidRDefault="000B25BF" w:rsidP="00F50C2A">
      <w:pPr>
        <w:pStyle w:val="BodyText"/>
        <w:rPr>
          <w:rFonts w:ascii="Arial" w:hAnsi="Arial"/>
          <w:b/>
        </w:rPr>
      </w:pPr>
    </w:p>
    <w:p w14:paraId="1CDA6C4C" w14:textId="77777777" w:rsidR="00E77D61" w:rsidRDefault="00E77D61" w:rsidP="00615280">
      <w:pPr>
        <w:pStyle w:val="BodyText"/>
        <w:rPr>
          <w:rFonts w:ascii="Arial" w:hAnsi="Arial"/>
          <w:b/>
        </w:rPr>
      </w:pPr>
    </w:p>
    <w:p w14:paraId="547B7229" w14:textId="55078732" w:rsidR="00DA0C09" w:rsidRDefault="006F046E" w:rsidP="00615280">
      <w:pPr>
        <w:pStyle w:val="BodyText"/>
        <w:rPr>
          <w:rFonts w:ascii="Arial" w:hAnsi="Arial"/>
          <w:b/>
        </w:rPr>
      </w:pPr>
      <w:r>
        <w:rPr>
          <w:rFonts w:ascii="Arial" w:hAnsi="Arial"/>
          <w:b/>
        </w:rPr>
        <w:t>13</w:t>
      </w:r>
      <w:r w:rsidR="000B25BF">
        <w:rPr>
          <w:rFonts w:ascii="Arial" w:hAnsi="Arial"/>
          <w:b/>
        </w:rPr>
        <w:t>.</w:t>
      </w:r>
      <w:r w:rsidR="000B25BF">
        <w:rPr>
          <w:rFonts w:ascii="Arial" w:hAnsi="Arial"/>
          <w:b/>
        </w:rPr>
        <w:tab/>
      </w:r>
      <w:r w:rsidR="00DA0C09" w:rsidRPr="001C42AE">
        <w:rPr>
          <w:rFonts w:ascii="Arial" w:hAnsi="Arial"/>
          <w:b/>
        </w:rPr>
        <w:t>P</w:t>
      </w:r>
      <w:r w:rsidR="003A3017">
        <w:rPr>
          <w:rFonts w:ascii="Arial" w:hAnsi="Arial"/>
          <w:b/>
        </w:rPr>
        <w:t>ERFORMANCE INDICATORS</w:t>
      </w:r>
    </w:p>
    <w:p w14:paraId="1ED771E1" w14:textId="77777777" w:rsidR="00E66E6B" w:rsidRPr="001C42AE" w:rsidRDefault="00E66E6B" w:rsidP="00615280">
      <w:pPr>
        <w:pStyle w:val="BodyText"/>
        <w:rPr>
          <w:rFonts w:ascii="Arial" w:hAnsi="Arial"/>
          <w:b/>
        </w:rPr>
      </w:pPr>
    </w:p>
    <w:p w14:paraId="4A387631" w14:textId="77777777" w:rsidR="00DA0C09" w:rsidRDefault="00DA0C09" w:rsidP="00924212">
      <w:pPr>
        <w:pStyle w:val="BodyText"/>
        <w:numPr>
          <w:ilvl w:val="1"/>
          <w:numId w:val="15"/>
        </w:numPr>
        <w:ind w:left="709" w:hanging="709"/>
        <w:rPr>
          <w:rFonts w:ascii="Arial" w:hAnsi="Arial"/>
        </w:rPr>
      </w:pPr>
      <w:r w:rsidRPr="001C42AE">
        <w:rPr>
          <w:rFonts w:ascii="Arial" w:hAnsi="Arial"/>
        </w:rPr>
        <w:t xml:space="preserve">The Code of Practice on Treasury Management requires the </w:t>
      </w:r>
      <w:r w:rsidR="004B3BEE">
        <w:rPr>
          <w:rFonts w:ascii="Arial" w:hAnsi="Arial"/>
        </w:rPr>
        <w:t>Commissioner</w:t>
      </w:r>
      <w:r w:rsidRPr="001C42AE">
        <w:rPr>
          <w:rFonts w:ascii="Arial" w:hAnsi="Arial"/>
        </w:rPr>
        <w:t xml:space="preserve"> to set performance indicators to assess the adequacy of the treasury function over the year.  These are distinct historic indicators, as opposed to the prudential indicators, which are predominantly forward looking.  </w:t>
      </w:r>
      <w:r w:rsidR="003B2A8E">
        <w:rPr>
          <w:rFonts w:ascii="Arial" w:hAnsi="Arial"/>
        </w:rPr>
        <w:t>P</w:t>
      </w:r>
      <w:r w:rsidRPr="001C42AE">
        <w:rPr>
          <w:rFonts w:ascii="Arial" w:hAnsi="Arial"/>
        </w:rPr>
        <w:t xml:space="preserve">erformance indicators </w:t>
      </w:r>
      <w:r w:rsidR="003B2A8E">
        <w:rPr>
          <w:rFonts w:ascii="Arial" w:hAnsi="Arial"/>
        </w:rPr>
        <w:t>to be</w:t>
      </w:r>
      <w:r w:rsidRPr="001C42AE">
        <w:rPr>
          <w:rFonts w:ascii="Arial" w:hAnsi="Arial"/>
        </w:rPr>
        <w:t xml:space="preserve"> used for the treasury function are:</w:t>
      </w:r>
    </w:p>
    <w:p w14:paraId="731B0B24" w14:textId="77777777" w:rsidR="003A3017" w:rsidRPr="001C42AE" w:rsidRDefault="003A3017" w:rsidP="00615280">
      <w:pPr>
        <w:pStyle w:val="BodyText"/>
        <w:rPr>
          <w:rFonts w:ascii="Arial" w:hAnsi="Arial"/>
        </w:rPr>
      </w:pPr>
    </w:p>
    <w:p w14:paraId="6F876002" w14:textId="77777777" w:rsidR="00DA0C09" w:rsidRDefault="00DA0C09" w:rsidP="00924212">
      <w:pPr>
        <w:pStyle w:val="BodyText"/>
        <w:numPr>
          <w:ilvl w:val="0"/>
          <w:numId w:val="23"/>
        </w:numPr>
        <w:ind w:left="1418" w:hanging="709"/>
        <w:rPr>
          <w:rFonts w:ascii="Arial" w:hAnsi="Arial"/>
        </w:rPr>
      </w:pPr>
      <w:r w:rsidRPr="003B2A8E">
        <w:rPr>
          <w:rFonts w:ascii="Arial" w:hAnsi="Arial"/>
        </w:rPr>
        <w:t xml:space="preserve">Debt – Borrowing - Average rate of borrowing for the year compared to </w:t>
      </w:r>
      <w:r w:rsidR="003B2A8E" w:rsidRPr="003B2A8E">
        <w:rPr>
          <w:rFonts w:ascii="Arial" w:hAnsi="Arial"/>
        </w:rPr>
        <w:t>PWLB rates</w:t>
      </w:r>
      <w:r w:rsidR="003A3017">
        <w:rPr>
          <w:rFonts w:ascii="Arial" w:hAnsi="Arial"/>
        </w:rPr>
        <w:t>; and</w:t>
      </w:r>
    </w:p>
    <w:p w14:paraId="377B175A" w14:textId="5C068591" w:rsidR="00DA0C09" w:rsidRPr="00683E5D" w:rsidRDefault="00DA0C09" w:rsidP="00924212">
      <w:pPr>
        <w:pStyle w:val="BodyText"/>
        <w:numPr>
          <w:ilvl w:val="0"/>
          <w:numId w:val="23"/>
        </w:numPr>
        <w:ind w:left="1418" w:hanging="709"/>
        <w:rPr>
          <w:rFonts w:ascii="Arial" w:hAnsi="Arial"/>
        </w:rPr>
      </w:pPr>
      <w:r w:rsidRPr="00683E5D">
        <w:rPr>
          <w:rFonts w:ascii="Arial" w:hAnsi="Arial"/>
        </w:rPr>
        <w:t xml:space="preserve">Investments – Internal returns </w:t>
      </w:r>
      <w:r w:rsidR="003B2A8E" w:rsidRPr="00683E5D">
        <w:rPr>
          <w:rFonts w:ascii="Arial" w:hAnsi="Arial"/>
        </w:rPr>
        <w:t>compared with</w:t>
      </w:r>
      <w:r w:rsidR="00770D6F" w:rsidRPr="00683E5D">
        <w:rPr>
          <w:rFonts w:ascii="Arial" w:hAnsi="Arial"/>
        </w:rPr>
        <w:t xml:space="preserve"> </w:t>
      </w:r>
      <w:r w:rsidRPr="00683E5D">
        <w:rPr>
          <w:rFonts w:ascii="Arial" w:hAnsi="Arial"/>
        </w:rPr>
        <w:t xml:space="preserve">the </w:t>
      </w:r>
      <w:r w:rsidR="001B0457">
        <w:rPr>
          <w:rFonts w:ascii="Arial" w:hAnsi="Arial"/>
        </w:rPr>
        <w:t xml:space="preserve">average </w:t>
      </w:r>
      <w:r w:rsidR="00683E5D" w:rsidRPr="00683E5D">
        <w:rPr>
          <w:rFonts w:ascii="Arial" w:hAnsi="Arial"/>
        </w:rPr>
        <w:t>SONIA</w:t>
      </w:r>
      <w:r w:rsidRPr="00683E5D">
        <w:rPr>
          <w:rFonts w:ascii="Arial" w:hAnsi="Arial"/>
        </w:rPr>
        <w:t xml:space="preserve"> rate</w:t>
      </w:r>
      <w:r w:rsidR="003A3017" w:rsidRPr="00683E5D">
        <w:rPr>
          <w:rFonts w:ascii="Arial" w:hAnsi="Arial"/>
        </w:rPr>
        <w:t>.</w:t>
      </w:r>
    </w:p>
    <w:p w14:paraId="083B9D75" w14:textId="77777777" w:rsidR="003A3017" w:rsidRPr="003B2A8E" w:rsidRDefault="003A3017" w:rsidP="00615280">
      <w:pPr>
        <w:pStyle w:val="BodyText"/>
        <w:rPr>
          <w:rFonts w:ascii="Arial" w:hAnsi="Arial"/>
        </w:rPr>
      </w:pPr>
    </w:p>
    <w:p w14:paraId="72144919" w14:textId="77777777" w:rsidR="00DA0C09" w:rsidRPr="001C42AE" w:rsidRDefault="00DA0C09" w:rsidP="00615280">
      <w:pPr>
        <w:pStyle w:val="BodyText"/>
        <w:ind w:left="720"/>
        <w:rPr>
          <w:rFonts w:ascii="Arial" w:hAnsi="Arial"/>
        </w:rPr>
      </w:pPr>
      <w:r w:rsidRPr="001C42AE">
        <w:rPr>
          <w:rFonts w:ascii="Arial" w:hAnsi="Arial"/>
        </w:rPr>
        <w:t>The results of these indicators will be reported in the Treasury Annual Report.</w:t>
      </w:r>
    </w:p>
    <w:p w14:paraId="0F453BBF" w14:textId="77777777" w:rsidR="00426552" w:rsidRDefault="00426552" w:rsidP="00615280">
      <w:pPr>
        <w:pStyle w:val="BodyText"/>
        <w:rPr>
          <w:rFonts w:ascii="Arial" w:hAnsi="Arial"/>
          <w:b/>
        </w:rPr>
      </w:pPr>
    </w:p>
    <w:p w14:paraId="053E501B" w14:textId="77777777" w:rsidR="00E77D61" w:rsidRDefault="00E77D61" w:rsidP="00615280">
      <w:pPr>
        <w:pStyle w:val="BodyText"/>
        <w:rPr>
          <w:rFonts w:ascii="Arial" w:hAnsi="Arial"/>
          <w:b/>
        </w:rPr>
      </w:pPr>
    </w:p>
    <w:p w14:paraId="3ABFC787" w14:textId="02795F01" w:rsidR="003A3017" w:rsidRDefault="006F046E" w:rsidP="00615280">
      <w:pPr>
        <w:pStyle w:val="BodyText"/>
        <w:rPr>
          <w:rFonts w:ascii="Arial" w:hAnsi="Arial"/>
          <w:b/>
        </w:rPr>
      </w:pPr>
      <w:r>
        <w:rPr>
          <w:rFonts w:ascii="Arial" w:hAnsi="Arial"/>
          <w:b/>
        </w:rPr>
        <w:t>14</w:t>
      </w:r>
      <w:r w:rsidR="00740A4C">
        <w:rPr>
          <w:rFonts w:ascii="Arial" w:hAnsi="Arial"/>
          <w:b/>
        </w:rPr>
        <w:t>.</w:t>
      </w:r>
      <w:r w:rsidR="00740A4C">
        <w:rPr>
          <w:rFonts w:ascii="Arial" w:hAnsi="Arial"/>
          <w:b/>
        </w:rPr>
        <w:tab/>
      </w:r>
      <w:r w:rsidR="00DA0C09" w:rsidRPr="001C42AE">
        <w:rPr>
          <w:rFonts w:ascii="Arial" w:hAnsi="Arial"/>
          <w:b/>
        </w:rPr>
        <w:t>T</w:t>
      </w:r>
      <w:r w:rsidR="003A3017">
        <w:rPr>
          <w:rFonts w:ascii="Arial" w:hAnsi="Arial"/>
          <w:b/>
        </w:rPr>
        <w:t>REASURY MANAGEMENT ADVISERS</w:t>
      </w:r>
    </w:p>
    <w:p w14:paraId="6A564BCD" w14:textId="77777777" w:rsidR="00DA0C09" w:rsidRPr="001C42AE" w:rsidRDefault="00DA0C09" w:rsidP="00615280">
      <w:pPr>
        <w:pStyle w:val="BodyText"/>
        <w:rPr>
          <w:rFonts w:ascii="Arial" w:hAnsi="Arial"/>
          <w:i/>
        </w:rPr>
      </w:pPr>
      <w:r w:rsidRPr="001C42AE">
        <w:rPr>
          <w:rFonts w:ascii="Arial" w:hAnsi="Arial"/>
        </w:rPr>
        <w:t xml:space="preserve">  </w:t>
      </w:r>
    </w:p>
    <w:p w14:paraId="0BA6D570" w14:textId="77777777" w:rsidR="00740A4C" w:rsidRPr="00615280" w:rsidRDefault="00DA0C09" w:rsidP="00924212">
      <w:pPr>
        <w:pStyle w:val="BodyText"/>
        <w:numPr>
          <w:ilvl w:val="1"/>
          <w:numId w:val="16"/>
        </w:numPr>
        <w:ind w:left="709" w:hanging="709"/>
        <w:rPr>
          <w:rFonts w:ascii="Arial" w:hAnsi="Arial"/>
          <w:i/>
        </w:rPr>
      </w:pPr>
      <w:r w:rsidRPr="001C42AE">
        <w:rPr>
          <w:rFonts w:ascii="Arial" w:hAnsi="Arial"/>
        </w:rPr>
        <w:t xml:space="preserve">The </w:t>
      </w:r>
      <w:r w:rsidR="00426552">
        <w:rPr>
          <w:rFonts w:ascii="Arial" w:hAnsi="Arial"/>
        </w:rPr>
        <w:t>Commissioner</w:t>
      </w:r>
      <w:r w:rsidRPr="001C42AE">
        <w:rPr>
          <w:rFonts w:ascii="Arial" w:hAnsi="Arial"/>
        </w:rPr>
        <w:t xml:space="preserve"> uses </w:t>
      </w:r>
      <w:r w:rsidR="008F1A8C">
        <w:rPr>
          <w:rFonts w:ascii="Arial" w:hAnsi="Arial"/>
        </w:rPr>
        <w:t>Link</w:t>
      </w:r>
      <w:r w:rsidR="006B4F4E">
        <w:rPr>
          <w:rFonts w:ascii="Arial" w:hAnsi="Arial"/>
        </w:rPr>
        <w:t xml:space="preserve"> Asset Services</w:t>
      </w:r>
      <w:r w:rsidR="00A332C8">
        <w:rPr>
          <w:rFonts w:ascii="Arial" w:hAnsi="Arial"/>
        </w:rPr>
        <w:t xml:space="preserve"> as treasury management advisors</w:t>
      </w:r>
      <w:r w:rsidRPr="001C42AE">
        <w:rPr>
          <w:rFonts w:ascii="Arial" w:hAnsi="Arial"/>
        </w:rPr>
        <w:t xml:space="preserve">.  The company provides a range of services which include: </w:t>
      </w:r>
    </w:p>
    <w:p w14:paraId="1A56D4A0" w14:textId="77777777" w:rsidR="007A57A8" w:rsidRPr="001C42AE" w:rsidRDefault="007A57A8" w:rsidP="00615280">
      <w:pPr>
        <w:pStyle w:val="BodyText"/>
        <w:rPr>
          <w:rFonts w:ascii="Arial" w:hAnsi="Arial"/>
          <w:i/>
        </w:rPr>
      </w:pPr>
    </w:p>
    <w:p w14:paraId="1027B4AD" w14:textId="77777777" w:rsidR="00DA0C09" w:rsidRPr="00615280" w:rsidRDefault="00DA0C09" w:rsidP="00924212">
      <w:pPr>
        <w:pStyle w:val="BodyText"/>
        <w:numPr>
          <w:ilvl w:val="0"/>
          <w:numId w:val="4"/>
        </w:numPr>
        <w:ind w:left="1418" w:hanging="709"/>
        <w:rPr>
          <w:rFonts w:ascii="Arial" w:hAnsi="Arial"/>
          <w:i/>
        </w:rPr>
      </w:pPr>
      <w:r w:rsidRPr="001C42AE">
        <w:rPr>
          <w:rFonts w:ascii="Arial" w:hAnsi="Arial"/>
        </w:rPr>
        <w:t xml:space="preserve">Technical support on treasury matters, capital finance issues and </w:t>
      </w:r>
      <w:r w:rsidR="00740A4C">
        <w:rPr>
          <w:rFonts w:ascii="Arial" w:hAnsi="Arial"/>
        </w:rPr>
        <w:t>code compliance</w:t>
      </w:r>
      <w:r w:rsidRPr="001C42AE">
        <w:rPr>
          <w:rFonts w:ascii="Arial" w:hAnsi="Arial"/>
        </w:rPr>
        <w:t>;</w:t>
      </w:r>
    </w:p>
    <w:p w14:paraId="5E4B0D50" w14:textId="77777777" w:rsidR="00DA0C09" w:rsidRPr="00615280" w:rsidRDefault="00DA0C09" w:rsidP="00924212">
      <w:pPr>
        <w:pStyle w:val="BodyText"/>
        <w:numPr>
          <w:ilvl w:val="0"/>
          <w:numId w:val="4"/>
        </w:numPr>
        <w:ind w:left="1418" w:hanging="709"/>
        <w:rPr>
          <w:rFonts w:ascii="Arial" w:hAnsi="Arial"/>
          <w:i/>
        </w:rPr>
      </w:pPr>
      <w:r w:rsidRPr="001C42AE">
        <w:rPr>
          <w:rFonts w:ascii="Arial" w:hAnsi="Arial"/>
        </w:rPr>
        <w:t>Economic and interest rate analysis;</w:t>
      </w:r>
    </w:p>
    <w:p w14:paraId="004AA64F" w14:textId="77777777" w:rsidR="00DA0C09" w:rsidRPr="00615280" w:rsidRDefault="00DA0C09" w:rsidP="00924212">
      <w:pPr>
        <w:pStyle w:val="BodyText"/>
        <w:numPr>
          <w:ilvl w:val="0"/>
          <w:numId w:val="4"/>
        </w:numPr>
        <w:ind w:left="1418" w:hanging="709"/>
        <w:rPr>
          <w:rFonts w:ascii="Arial" w:hAnsi="Arial"/>
          <w:i/>
        </w:rPr>
      </w:pPr>
      <w:r w:rsidRPr="001C42AE">
        <w:rPr>
          <w:rFonts w:ascii="Arial" w:hAnsi="Arial"/>
        </w:rPr>
        <w:t>Debt services which includes advice on the timing of borrowing;</w:t>
      </w:r>
    </w:p>
    <w:p w14:paraId="4ADADBEC" w14:textId="77777777" w:rsidR="00DA0C09" w:rsidRPr="00615280" w:rsidRDefault="00DA0C09" w:rsidP="00924212">
      <w:pPr>
        <w:pStyle w:val="BodyText"/>
        <w:numPr>
          <w:ilvl w:val="0"/>
          <w:numId w:val="4"/>
        </w:numPr>
        <w:ind w:left="1418" w:hanging="709"/>
        <w:rPr>
          <w:rFonts w:ascii="Arial" w:hAnsi="Arial"/>
          <w:i/>
        </w:rPr>
      </w:pPr>
      <w:r w:rsidRPr="001C42AE">
        <w:rPr>
          <w:rFonts w:ascii="Arial" w:hAnsi="Arial"/>
        </w:rPr>
        <w:t>Debt rescheduling advice surrounding the existing portfolio;</w:t>
      </w:r>
    </w:p>
    <w:p w14:paraId="4933C18E" w14:textId="77777777" w:rsidR="00DA0C09" w:rsidRPr="00615280" w:rsidRDefault="00DA0C09" w:rsidP="00924212">
      <w:pPr>
        <w:pStyle w:val="BodyText"/>
        <w:numPr>
          <w:ilvl w:val="0"/>
          <w:numId w:val="4"/>
        </w:numPr>
        <w:ind w:left="1418" w:hanging="709"/>
        <w:rPr>
          <w:rFonts w:ascii="Arial" w:hAnsi="Arial"/>
          <w:i/>
        </w:rPr>
      </w:pPr>
      <w:r w:rsidRPr="001C42AE">
        <w:rPr>
          <w:rFonts w:ascii="Arial" w:hAnsi="Arial"/>
        </w:rPr>
        <w:t>Generic investment advice on interest rates, timing and investment</w:t>
      </w:r>
      <w:r>
        <w:rPr>
          <w:rFonts w:ascii="Arial" w:hAnsi="Arial"/>
          <w:sz w:val="22"/>
        </w:rPr>
        <w:t xml:space="preserve"> </w:t>
      </w:r>
      <w:r w:rsidRPr="001C42AE">
        <w:rPr>
          <w:rFonts w:ascii="Arial" w:hAnsi="Arial"/>
        </w:rPr>
        <w:t>instruments;</w:t>
      </w:r>
      <w:r w:rsidR="003A3017">
        <w:rPr>
          <w:rFonts w:ascii="Arial" w:hAnsi="Arial"/>
        </w:rPr>
        <w:t xml:space="preserve"> and</w:t>
      </w:r>
    </w:p>
    <w:p w14:paraId="61953E20" w14:textId="77777777" w:rsidR="00DA0C09" w:rsidRPr="00615280" w:rsidRDefault="00DA0C09" w:rsidP="00924212">
      <w:pPr>
        <w:pStyle w:val="BodyText"/>
        <w:numPr>
          <w:ilvl w:val="0"/>
          <w:numId w:val="4"/>
        </w:numPr>
        <w:ind w:left="1418" w:hanging="709"/>
        <w:rPr>
          <w:rFonts w:ascii="Arial" w:hAnsi="Arial"/>
          <w:i/>
        </w:rPr>
      </w:pPr>
      <w:r w:rsidRPr="001C42AE">
        <w:rPr>
          <w:rFonts w:ascii="Arial" w:hAnsi="Arial"/>
        </w:rPr>
        <w:t>Credit ratings/market information service</w:t>
      </w:r>
      <w:r w:rsidR="006A3B64">
        <w:rPr>
          <w:rFonts w:ascii="Arial" w:hAnsi="Arial"/>
        </w:rPr>
        <w:t>,</w:t>
      </w:r>
      <w:r w:rsidRPr="001C42AE">
        <w:rPr>
          <w:rFonts w:ascii="Arial" w:hAnsi="Arial"/>
        </w:rPr>
        <w:t xml:space="preserve"> comprising the th</w:t>
      </w:r>
      <w:r w:rsidR="00CE2E57">
        <w:rPr>
          <w:rFonts w:ascii="Arial" w:hAnsi="Arial"/>
        </w:rPr>
        <w:t>ree main credit rating agencies.</w:t>
      </w:r>
      <w:r w:rsidRPr="001C42AE">
        <w:rPr>
          <w:rFonts w:ascii="Arial" w:hAnsi="Arial"/>
        </w:rPr>
        <w:t xml:space="preserve">  </w:t>
      </w:r>
    </w:p>
    <w:p w14:paraId="357D2DCA" w14:textId="77777777" w:rsidR="003A3017" w:rsidRPr="001C42AE" w:rsidRDefault="003A3017" w:rsidP="00615280">
      <w:pPr>
        <w:pStyle w:val="BodyText"/>
        <w:rPr>
          <w:rFonts w:ascii="Arial" w:hAnsi="Arial"/>
          <w:i/>
        </w:rPr>
      </w:pPr>
    </w:p>
    <w:p w14:paraId="1E5261E5" w14:textId="77777777" w:rsidR="006D6E25" w:rsidRPr="00B016D0" w:rsidRDefault="00DA0C09" w:rsidP="00924212">
      <w:pPr>
        <w:pStyle w:val="BodyText"/>
        <w:numPr>
          <w:ilvl w:val="1"/>
          <w:numId w:val="16"/>
        </w:numPr>
        <w:ind w:left="709" w:hanging="709"/>
        <w:rPr>
          <w:rFonts w:ascii="Arial" w:hAnsi="Arial"/>
          <w:b/>
          <w:i/>
        </w:rPr>
      </w:pPr>
      <w:r w:rsidRPr="001C42AE">
        <w:rPr>
          <w:rFonts w:ascii="Arial" w:hAnsi="Arial"/>
        </w:rPr>
        <w:lastRenderedPageBreak/>
        <w:t xml:space="preserve">Whilst the advisers provide support to the internal treasury function, under current market rules and the CIPFA Code of Practice the final decision on treasury matters remains with the </w:t>
      </w:r>
      <w:r w:rsidR="00426552">
        <w:rPr>
          <w:rFonts w:ascii="Arial" w:hAnsi="Arial"/>
        </w:rPr>
        <w:t>Commissioner</w:t>
      </w:r>
      <w:r w:rsidR="00B016D0">
        <w:rPr>
          <w:rFonts w:ascii="Arial" w:hAnsi="Arial"/>
        </w:rPr>
        <w:t>.</w:t>
      </w:r>
    </w:p>
    <w:p w14:paraId="78E6C335" w14:textId="77777777" w:rsidR="00744AE8" w:rsidRDefault="00744AE8" w:rsidP="00615280">
      <w:pPr>
        <w:pStyle w:val="BodyText"/>
        <w:rPr>
          <w:rFonts w:ascii="Arial" w:hAnsi="Arial"/>
        </w:rPr>
      </w:pPr>
    </w:p>
    <w:p w14:paraId="47DBC04A" w14:textId="77777777" w:rsidR="00DA0C09" w:rsidRPr="00B016D0" w:rsidRDefault="006F046E" w:rsidP="00AA7297">
      <w:pPr>
        <w:pStyle w:val="BodyText"/>
        <w:rPr>
          <w:rFonts w:ascii="Arial" w:hAnsi="Arial" w:cs="Arial"/>
          <w:b/>
          <w:i/>
        </w:rPr>
      </w:pPr>
      <w:r>
        <w:rPr>
          <w:rFonts w:ascii="Arial" w:hAnsi="Arial" w:cs="Arial"/>
          <w:b/>
          <w:bCs/>
        </w:rPr>
        <w:t>15.</w:t>
      </w:r>
      <w:r w:rsidR="00B016D0" w:rsidRPr="00B016D0">
        <w:rPr>
          <w:rFonts w:ascii="Arial" w:hAnsi="Arial" w:cs="Arial"/>
          <w:b/>
          <w:bCs/>
        </w:rPr>
        <w:tab/>
      </w:r>
      <w:r w:rsidR="00DB6D8D">
        <w:rPr>
          <w:rFonts w:ascii="Arial" w:hAnsi="Arial" w:cs="Arial"/>
          <w:b/>
          <w:bCs/>
        </w:rPr>
        <w:t>T</w:t>
      </w:r>
      <w:r w:rsidR="003A3017">
        <w:rPr>
          <w:rFonts w:ascii="Arial" w:hAnsi="Arial" w:cs="Arial"/>
          <w:b/>
          <w:bCs/>
        </w:rPr>
        <w:t>REASURY MANAGEMENT TRAINING</w:t>
      </w:r>
    </w:p>
    <w:p w14:paraId="546CB06C" w14:textId="77777777" w:rsidR="00C87049" w:rsidRPr="00C87049" w:rsidRDefault="00C87049" w:rsidP="00615280">
      <w:pPr>
        <w:pStyle w:val="BodyText"/>
        <w:rPr>
          <w:rFonts w:ascii="Arial" w:hAnsi="Arial"/>
          <w:i/>
          <w:sz w:val="22"/>
        </w:rPr>
      </w:pPr>
    </w:p>
    <w:p w14:paraId="68B8FB65" w14:textId="77777777" w:rsidR="00DA0C09" w:rsidRDefault="006F046E" w:rsidP="00615280">
      <w:pPr>
        <w:pStyle w:val="BodyText"/>
        <w:ind w:left="720" w:hanging="720"/>
        <w:rPr>
          <w:rFonts w:ascii="Arial" w:hAnsi="Arial"/>
          <w:i/>
          <w:sz w:val="22"/>
        </w:rPr>
      </w:pPr>
      <w:r>
        <w:rPr>
          <w:rFonts w:ascii="Arial" w:hAnsi="Arial"/>
        </w:rPr>
        <w:t>15</w:t>
      </w:r>
      <w:r w:rsidR="00C87049">
        <w:rPr>
          <w:rFonts w:ascii="Arial" w:hAnsi="Arial"/>
        </w:rPr>
        <w:t>.1</w:t>
      </w:r>
      <w:r w:rsidR="00C87049">
        <w:rPr>
          <w:rFonts w:ascii="Arial" w:hAnsi="Arial"/>
        </w:rPr>
        <w:tab/>
      </w:r>
      <w:r w:rsidR="00AD7647" w:rsidRPr="007E55F0">
        <w:rPr>
          <w:rFonts w:ascii="Arial" w:hAnsi="Arial"/>
        </w:rPr>
        <w:t>Officer training needs</w:t>
      </w:r>
      <w:r w:rsidR="00AD7647" w:rsidRPr="007F5CA2">
        <w:rPr>
          <w:rFonts w:ascii="Arial" w:hAnsi="Arial"/>
        </w:rPr>
        <w:t xml:space="preserve"> are assessed on appointment, as part of the P</w:t>
      </w:r>
      <w:r w:rsidR="00A332C8">
        <w:rPr>
          <w:rFonts w:ascii="Arial" w:hAnsi="Arial"/>
        </w:rPr>
        <w:t xml:space="preserve">ersonal </w:t>
      </w:r>
      <w:r w:rsidR="00AD7647" w:rsidRPr="007F5CA2">
        <w:rPr>
          <w:rFonts w:ascii="Arial" w:hAnsi="Arial"/>
        </w:rPr>
        <w:t>D</w:t>
      </w:r>
      <w:r w:rsidR="00A332C8">
        <w:rPr>
          <w:rFonts w:ascii="Arial" w:hAnsi="Arial"/>
        </w:rPr>
        <w:t xml:space="preserve">evelopment </w:t>
      </w:r>
      <w:r w:rsidR="00AD7647" w:rsidRPr="007F5CA2">
        <w:rPr>
          <w:rFonts w:ascii="Arial" w:hAnsi="Arial"/>
        </w:rPr>
        <w:t>R</w:t>
      </w:r>
      <w:r w:rsidR="00A332C8">
        <w:rPr>
          <w:rFonts w:ascii="Arial" w:hAnsi="Arial"/>
        </w:rPr>
        <w:t>eview (PDR)</w:t>
      </w:r>
      <w:r w:rsidR="00AD7647" w:rsidRPr="007F5CA2">
        <w:rPr>
          <w:rFonts w:ascii="Arial" w:hAnsi="Arial"/>
        </w:rPr>
        <w:t xml:space="preserve"> process and when legislation changes are announced.  Officers attend seminars arranged by </w:t>
      </w:r>
      <w:r w:rsidR="00FE23FE">
        <w:rPr>
          <w:rFonts w:ascii="Arial" w:hAnsi="Arial"/>
        </w:rPr>
        <w:t>Link</w:t>
      </w:r>
      <w:r w:rsidR="007E55F0" w:rsidRPr="00615280">
        <w:rPr>
          <w:rFonts w:ascii="Arial" w:hAnsi="Arial"/>
        </w:rPr>
        <w:t xml:space="preserve"> Asset Services </w:t>
      </w:r>
      <w:r w:rsidR="00AD7647" w:rsidRPr="00615280">
        <w:rPr>
          <w:rFonts w:ascii="Arial" w:hAnsi="Arial"/>
        </w:rPr>
        <w:t>and other organisations.</w:t>
      </w:r>
      <w:r w:rsidR="003F0975" w:rsidRPr="00615280">
        <w:rPr>
          <w:rFonts w:ascii="Arial" w:hAnsi="Arial"/>
        </w:rPr>
        <w:t xml:space="preserve"> </w:t>
      </w:r>
      <w:r w:rsidR="00744AE8">
        <w:rPr>
          <w:rFonts w:ascii="Arial" w:hAnsi="Arial"/>
        </w:rPr>
        <w:t xml:space="preserve"> </w:t>
      </w:r>
      <w:r w:rsidR="008A01D5" w:rsidRPr="00615280">
        <w:rPr>
          <w:rFonts w:ascii="Arial" w:hAnsi="Arial"/>
        </w:rPr>
        <w:t>Staff within the Office of the Police and Crime Commissioner and J</w:t>
      </w:r>
      <w:r w:rsidR="003F0975" w:rsidRPr="00615280">
        <w:rPr>
          <w:rFonts w:ascii="Arial" w:hAnsi="Arial"/>
        </w:rPr>
        <w:t xml:space="preserve">oint Audit Committee </w:t>
      </w:r>
      <w:r w:rsidR="008A01D5" w:rsidRPr="00615280">
        <w:rPr>
          <w:rFonts w:ascii="Arial" w:hAnsi="Arial"/>
        </w:rPr>
        <w:t>memb</w:t>
      </w:r>
      <w:r w:rsidR="003F0975" w:rsidRPr="00615280">
        <w:rPr>
          <w:rFonts w:ascii="Arial" w:hAnsi="Arial"/>
        </w:rPr>
        <w:t>er</w:t>
      </w:r>
      <w:r w:rsidR="008A01D5" w:rsidRPr="00615280">
        <w:rPr>
          <w:rFonts w:ascii="Arial" w:hAnsi="Arial"/>
        </w:rPr>
        <w:t>s also receive periodic Treasury Management training.</w:t>
      </w:r>
      <w:r w:rsidR="00A84B88" w:rsidRPr="00615280">
        <w:rPr>
          <w:rFonts w:ascii="Arial" w:hAnsi="Arial"/>
        </w:rPr>
        <w:t xml:space="preserve"> </w:t>
      </w:r>
    </w:p>
    <w:p w14:paraId="1B913B91" w14:textId="031B82D7" w:rsidR="00DA0C09" w:rsidRDefault="00DA0C09" w:rsidP="00615280">
      <w:pPr>
        <w:pStyle w:val="BodyText"/>
        <w:rPr>
          <w:rFonts w:ascii="Arial" w:hAnsi="Arial"/>
          <w:b/>
          <w:color w:val="0000FF"/>
          <w:sz w:val="22"/>
        </w:rPr>
      </w:pPr>
      <w:r>
        <w:rPr>
          <w:rFonts w:ascii="Arial" w:hAnsi="Arial"/>
          <w:b/>
          <w:color w:val="0000FF"/>
          <w:sz w:val="22"/>
        </w:rPr>
        <w:t xml:space="preserve"> </w:t>
      </w:r>
    </w:p>
    <w:tbl>
      <w:tblPr>
        <w:tblStyle w:val="PlainTable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0"/>
      </w:tblGrid>
      <w:tr w:rsidR="008F74DC" w:rsidRPr="00933DD9" w14:paraId="6108D9F0" w14:textId="77777777" w:rsidTr="00BE1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58145F7A" w14:textId="77777777" w:rsidR="008F74DC" w:rsidRDefault="008F74DC" w:rsidP="00BE1E84">
            <w:pPr>
              <w:rPr>
                <w:rFonts w:ascii="Arial" w:hAnsi="Arial" w:cs="Arial"/>
                <w:b w:val="0"/>
                <w:bCs w:val="0"/>
              </w:rPr>
            </w:pPr>
            <w:r>
              <w:rPr>
                <w:rFonts w:ascii="Arial" w:hAnsi="Arial" w:cs="Arial"/>
              </w:rPr>
              <w:t>Jeff Cuthbert B.SC.</w:t>
            </w:r>
            <w:r w:rsidRPr="00933DD9">
              <w:rPr>
                <w:rFonts w:ascii="Arial" w:hAnsi="Arial" w:cs="Arial"/>
              </w:rPr>
              <w:t>,</w:t>
            </w:r>
            <w:r>
              <w:rPr>
                <w:rFonts w:ascii="Arial" w:hAnsi="Arial" w:cs="Arial"/>
              </w:rPr>
              <w:t xml:space="preserve"> MCIPD,</w:t>
            </w:r>
            <w:r w:rsidRPr="00933DD9">
              <w:rPr>
                <w:rFonts w:ascii="Arial" w:hAnsi="Arial" w:cs="Arial"/>
              </w:rPr>
              <w:t xml:space="preserve"> Police and Crime Commissioner for Gwent</w:t>
            </w:r>
          </w:p>
          <w:p w14:paraId="70CF7001" w14:textId="7857B6FF" w:rsidR="008F74DC" w:rsidRPr="00933DD9" w:rsidRDefault="008F74DC" w:rsidP="00BE1E84">
            <w:pPr>
              <w:rPr>
                <w:rFonts w:ascii="Arial" w:hAnsi="Arial" w:cs="Arial"/>
                <w:b w:val="0"/>
              </w:rPr>
            </w:pPr>
          </w:p>
        </w:tc>
      </w:tr>
      <w:tr w:rsidR="008F74DC" w:rsidRPr="00933DD9" w14:paraId="11A4D809" w14:textId="77777777" w:rsidTr="00BE1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2B9DA488" w14:textId="77777777" w:rsidR="008F74DC" w:rsidRDefault="008F74DC" w:rsidP="00BE1E84">
            <w:pPr>
              <w:rPr>
                <w:rFonts w:ascii="Arial" w:hAnsi="Arial" w:cs="Arial"/>
              </w:rPr>
            </w:pPr>
            <w:r>
              <w:rPr>
                <w:rFonts w:ascii="Arial" w:hAnsi="Arial" w:cs="Arial"/>
              </w:rPr>
              <w:t xml:space="preserve">I confirm I have considered </w:t>
            </w:r>
            <w:proofErr w:type="gramStart"/>
            <w:r>
              <w:rPr>
                <w:rFonts w:ascii="Arial" w:hAnsi="Arial" w:cs="Arial"/>
              </w:rPr>
              <w:t>whether or not</w:t>
            </w:r>
            <w:proofErr w:type="gramEnd"/>
            <w:r>
              <w:rPr>
                <w:rFonts w:ascii="Arial" w:hAnsi="Arial" w:cs="Arial"/>
              </w:rPr>
              <w:t xml:space="preserve"> I have any personal or prejudicial interest in this matter and take the proposed decision in compliance with my code of conduct.  </w:t>
            </w:r>
            <w:r>
              <w:rPr>
                <w:rFonts w:ascii="Arial" w:hAnsi="Arial" w:cs="Arial"/>
              </w:rPr>
              <w:br/>
              <w:t>Any such interests are recorded below.</w:t>
            </w:r>
          </w:p>
          <w:p w14:paraId="59BDAECD" w14:textId="209FBB7D" w:rsidR="008F74DC" w:rsidRDefault="008F74DC" w:rsidP="00BE1E84">
            <w:pPr>
              <w:rPr>
                <w:rFonts w:ascii="Arial" w:hAnsi="Arial" w:cs="Arial"/>
                <w:b w:val="0"/>
                <w:bCs w:val="0"/>
              </w:rPr>
            </w:pPr>
            <w:r>
              <w:rPr>
                <w:rFonts w:ascii="Arial" w:hAnsi="Arial" w:cs="Arial"/>
              </w:rPr>
              <w:t>The above request has my approval.</w:t>
            </w:r>
          </w:p>
          <w:p w14:paraId="2AE88107" w14:textId="77777777" w:rsidR="008F74DC" w:rsidRDefault="008F74DC" w:rsidP="00BE1E84">
            <w:pPr>
              <w:rPr>
                <w:rFonts w:ascii="Arial" w:hAnsi="Arial" w:cs="Arial"/>
                <w:b w:val="0"/>
                <w:bCs w:val="0"/>
              </w:rPr>
            </w:pPr>
          </w:p>
          <w:p w14:paraId="5CE7CD8E" w14:textId="77777777" w:rsidR="008F74DC" w:rsidRDefault="008F74DC" w:rsidP="00BE1E84">
            <w:pPr>
              <w:rPr>
                <w:rFonts w:ascii="Arial" w:hAnsi="Arial" w:cs="Arial"/>
                <w:b w:val="0"/>
                <w:bCs w:val="0"/>
              </w:rPr>
            </w:pPr>
          </w:p>
          <w:p w14:paraId="15F3D9D4" w14:textId="77777777" w:rsidR="008F74DC" w:rsidRDefault="008F74DC" w:rsidP="00BE1E84">
            <w:pPr>
              <w:rPr>
                <w:rFonts w:ascii="Arial" w:hAnsi="Arial" w:cs="Arial"/>
                <w:b w:val="0"/>
                <w:bCs w:val="0"/>
                <w:color w:val="000000"/>
              </w:rPr>
            </w:pPr>
            <w:r w:rsidRPr="009012CC">
              <w:rPr>
                <w:rFonts w:ascii="Arial" w:hAnsi="Arial" w:cs="Arial"/>
                <w:color w:val="000000"/>
              </w:rPr>
              <w:t>This report has been signed by the Chief Executive on behalf of the PCC as per Part 3c, Scheme of Consent and Delegation, Paragraph 9 of the Manual of Corporate Governance</w:t>
            </w:r>
          </w:p>
          <w:p w14:paraId="43C5ADAE" w14:textId="34AAC27C" w:rsidR="008F74DC" w:rsidRPr="00933DD9" w:rsidRDefault="008F74DC" w:rsidP="00BE1E84">
            <w:pPr>
              <w:rPr>
                <w:rFonts w:ascii="Arial" w:hAnsi="Arial" w:cs="Arial"/>
              </w:rPr>
            </w:pPr>
          </w:p>
        </w:tc>
      </w:tr>
      <w:tr w:rsidR="008F74DC" w:rsidRPr="00933DD9" w14:paraId="3D21EBD7" w14:textId="77777777" w:rsidTr="00BE1E84">
        <w:tc>
          <w:tcPr>
            <w:cnfStyle w:val="001000000000" w:firstRow="0" w:lastRow="0" w:firstColumn="1" w:lastColumn="0" w:oddVBand="0" w:evenVBand="0" w:oddHBand="0" w:evenHBand="0" w:firstRowFirstColumn="0" w:firstRowLastColumn="0" w:lastRowFirstColumn="0" w:lastRowLastColumn="0"/>
            <w:tcW w:w="9026" w:type="dxa"/>
          </w:tcPr>
          <w:p w14:paraId="4059DA15" w14:textId="262C0B50" w:rsidR="008F74DC" w:rsidRDefault="008F74DC" w:rsidP="00BE1E84">
            <w:pPr>
              <w:rPr>
                <w:rFonts w:ascii="Arial" w:hAnsi="Arial" w:cs="Arial"/>
                <w:b w:val="0"/>
                <w:bCs w:val="0"/>
              </w:rPr>
            </w:pPr>
            <w:r w:rsidRPr="00933DD9">
              <w:rPr>
                <w:rFonts w:ascii="Arial" w:hAnsi="Arial" w:cs="Arial"/>
              </w:rPr>
              <w:t>Signed</w:t>
            </w:r>
          </w:p>
          <w:p w14:paraId="02BACDE3" w14:textId="53793E6D" w:rsidR="0076001D" w:rsidRDefault="0076001D" w:rsidP="00BE1E84">
            <w:pPr>
              <w:rPr>
                <w:rFonts w:ascii="Arial" w:hAnsi="Arial" w:cs="Arial"/>
                <w:b w:val="0"/>
                <w:bCs w:val="0"/>
              </w:rPr>
            </w:pPr>
          </w:p>
          <w:p w14:paraId="7C00935A" w14:textId="45345F12" w:rsidR="008F74DC" w:rsidRPr="0076001D" w:rsidRDefault="0076001D" w:rsidP="00BE1E84">
            <w:pPr>
              <w:rPr>
                <w:rFonts w:ascii="Arial" w:hAnsi="Arial" w:cs="Arial"/>
                <w:b w:val="0"/>
                <w:bCs w:val="0"/>
              </w:rPr>
            </w:pPr>
            <w:r>
              <w:rPr>
                <w:noProof/>
              </w:rPr>
              <w:drawing>
                <wp:inline distT="0" distB="0" distL="0" distR="0" wp14:anchorId="1D85551B" wp14:editId="1F1EA54F">
                  <wp:extent cx="2189400" cy="77152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0115" cy="789396"/>
                          </a:xfrm>
                          <a:prstGeom prst="rect">
                            <a:avLst/>
                          </a:prstGeom>
                          <a:noFill/>
                          <a:ln>
                            <a:noFill/>
                          </a:ln>
                        </pic:spPr>
                      </pic:pic>
                    </a:graphicData>
                  </a:graphic>
                </wp:inline>
              </w:drawing>
            </w:r>
          </w:p>
        </w:tc>
      </w:tr>
      <w:tr w:rsidR="008F74DC" w:rsidRPr="00933DD9" w14:paraId="0A7602BF" w14:textId="77777777" w:rsidTr="00BE1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50BFABDA" w14:textId="0BB23E2B" w:rsidR="008F74DC" w:rsidRDefault="008F74DC" w:rsidP="00BE1E84">
            <w:pPr>
              <w:rPr>
                <w:rFonts w:ascii="Arial" w:hAnsi="Arial" w:cs="Arial"/>
                <w:b w:val="0"/>
                <w:bCs w:val="0"/>
              </w:rPr>
            </w:pPr>
            <w:r w:rsidRPr="009D4C75">
              <w:rPr>
                <w:rFonts w:ascii="Arial" w:hAnsi="Arial" w:cs="Arial"/>
              </w:rPr>
              <w:t>Date</w:t>
            </w:r>
            <w:r>
              <w:rPr>
                <w:rFonts w:ascii="Arial" w:hAnsi="Arial" w:cs="Arial"/>
              </w:rPr>
              <w:t xml:space="preserve">: </w:t>
            </w:r>
          </w:p>
          <w:p w14:paraId="5007B43D" w14:textId="27F853D4" w:rsidR="0076001D" w:rsidRDefault="0076001D" w:rsidP="00BE1E84">
            <w:pPr>
              <w:rPr>
                <w:rFonts w:ascii="Arial" w:hAnsi="Arial" w:cs="Arial"/>
                <w:b w:val="0"/>
                <w:bCs w:val="0"/>
              </w:rPr>
            </w:pPr>
          </w:p>
          <w:p w14:paraId="7CB4B01F" w14:textId="39747EE1" w:rsidR="0076001D" w:rsidRDefault="0076001D" w:rsidP="00BE1E84">
            <w:pPr>
              <w:rPr>
                <w:rFonts w:ascii="Arial" w:hAnsi="Arial" w:cs="Arial"/>
                <w:b w:val="0"/>
                <w:bCs w:val="0"/>
              </w:rPr>
            </w:pPr>
            <w:r>
              <w:rPr>
                <w:rFonts w:ascii="Arial" w:hAnsi="Arial" w:cs="Arial"/>
              </w:rPr>
              <w:t>04.01.2024</w:t>
            </w:r>
          </w:p>
          <w:p w14:paraId="59617297" w14:textId="52102747" w:rsidR="008F74DC" w:rsidRPr="00933DD9" w:rsidRDefault="008F74DC" w:rsidP="00BE1E84">
            <w:pPr>
              <w:rPr>
                <w:rFonts w:ascii="Arial" w:hAnsi="Arial" w:cs="Arial"/>
              </w:rPr>
            </w:pPr>
          </w:p>
        </w:tc>
      </w:tr>
    </w:tbl>
    <w:p w14:paraId="6C53FE79" w14:textId="77777777" w:rsidR="008F74DC" w:rsidRPr="00D8752E" w:rsidRDefault="008F74DC" w:rsidP="008F74DC">
      <w:pPr>
        <w:rPr>
          <w:rFonts w:ascii="Arial" w:hAnsi="Arial" w:cs="Arial"/>
        </w:rPr>
      </w:pPr>
    </w:p>
    <w:tbl>
      <w:tblPr>
        <w:tblStyle w:val="PlainTable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2"/>
        <w:gridCol w:w="4478"/>
      </w:tblGrid>
      <w:tr w:rsidR="008F74DC" w:rsidRPr="00933DD9" w14:paraId="1ACEBCCE" w14:textId="77777777" w:rsidTr="00BE1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3C81575E" w14:textId="77777777" w:rsidR="008F74DC" w:rsidRDefault="008F74DC" w:rsidP="00BE1E84">
            <w:pPr>
              <w:rPr>
                <w:rFonts w:ascii="Arial" w:hAnsi="Arial" w:cs="Arial"/>
                <w:b w:val="0"/>
                <w:bCs w:val="0"/>
              </w:rPr>
            </w:pPr>
            <w:r w:rsidRPr="00933DD9">
              <w:rPr>
                <w:rFonts w:ascii="Arial" w:hAnsi="Arial" w:cs="Arial"/>
              </w:rPr>
              <w:t>Contact Officer</w:t>
            </w:r>
          </w:p>
          <w:p w14:paraId="6D5664C9" w14:textId="6430BAF6" w:rsidR="008F74DC" w:rsidRPr="00933DD9" w:rsidRDefault="008F74DC" w:rsidP="00BE1E84">
            <w:pPr>
              <w:rPr>
                <w:rFonts w:ascii="Arial" w:hAnsi="Arial" w:cs="Arial"/>
                <w:b w:val="0"/>
              </w:rPr>
            </w:pPr>
          </w:p>
        </w:tc>
        <w:tc>
          <w:tcPr>
            <w:tcW w:w="4621" w:type="dxa"/>
          </w:tcPr>
          <w:p w14:paraId="2665648A" w14:textId="77777777" w:rsidR="008F74DC" w:rsidRPr="00933DD9" w:rsidRDefault="008F74DC" w:rsidP="00BE1E84">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8F74DC" w:rsidRPr="00933DD9" w14:paraId="164ABB1E" w14:textId="77777777" w:rsidTr="00BE1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5BEA55D2" w14:textId="77777777" w:rsidR="008F74DC" w:rsidRDefault="008F74DC" w:rsidP="00BE1E84">
            <w:pPr>
              <w:rPr>
                <w:rFonts w:ascii="Arial" w:hAnsi="Arial" w:cs="Arial"/>
                <w:b w:val="0"/>
                <w:bCs w:val="0"/>
              </w:rPr>
            </w:pPr>
            <w:r w:rsidRPr="00933DD9">
              <w:rPr>
                <w:rFonts w:ascii="Arial" w:hAnsi="Arial" w:cs="Arial"/>
              </w:rPr>
              <w:t>Name</w:t>
            </w:r>
          </w:p>
          <w:p w14:paraId="082DE6EF" w14:textId="49018F7C" w:rsidR="008F74DC" w:rsidRPr="00933DD9" w:rsidRDefault="008F74DC" w:rsidP="00BE1E84">
            <w:pPr>
              <w:rPr>
                <w:rFonts w:ascii="Arial" w:hAnsi="Arial" w:cs="Arial"/>
              </w:rPr>
            </w:pPr>
          </w:p>
        </w:tc>
        <w:tc>
          <w:tcPr>
            <w:tcW w:w="4621" w:type="dxa"/>
          </w:tcPr>
          <w:p w14:paraId="640105DC" w14:textId="77777777" w:rsidR="008F74DC" w:rsidRPr="00933DD9" w:rsidRDefault="008F74DC" w:rsidP="00BE1E8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Sian Curley </w:t>
            </w:r>
          </w:p>
        </w:tc>
      </w:tr>
      <w:tr w:rsidR="008F74DC" w:rsidRPr="00933DD9" w14:paraId="0F659350" w14:textId="77777777" w:rsidTr="00BE1E84">
        <w:tc>
          <w:tcPr>
            <w:cnfStyle w:val="001000000000" w:firstRow="0" w:lastRow="0" w:firstColumn="1" w:lastColumn="0" w:oddVBand="0" w:evenVBand="0" w:oddHBand="0" w:evenHBand="0" w:firstRowFirstColumn="0" w:firstRowLastColumn="0" w:lastRowFirstColumn="0" w:lastRowLastColumn="0"/>
            <w:tcW w:w="4621" w:type="dxa"/>
          </w:tcPr>
          <w:p w14:paraId="283466B6" w14:textId="77777777" w:rsidR="008F74DC" w:rsidRDefault="008F74DC" w:rsidP="00BE1E84">
            <w:pPr>
              <w:rPr>
                <w:rFonts w:ascii="Arial" w:hAnsi="Arial" w:cs="Arial"/>
                <w:b w:val="0"/>
                <w:bCs w:val="0"/>
              </w:rPr>
            </w:pPr>
            <w:r w:rsidRPr="00933DD9">
              <w:rPr>
                <w:rFonts w:ascii="Arial" w:hAnsi="Arial" w:cs="Arial"/>
              </w:rPr>
              <w:t>Position</w:t>
            </w:r>
          </w:p>
          <w:p w14:paraId="4BF91A7B" w14:textId="47EB47F5" w:rsidR="008F74DC" w:rsidRPr="00933DD9" w:rsidRDefault="008F74DC" w:rsidP="00BE1E84">
            <w:pPr>
              <w:rPr>
                <w:rFonts w:ascii="Arial" w:hAnsi="Arial" w:cs="Arial"/>
              </w:rPr>
            </w:pPr>
          </w:p>
        </w:tc>
        <w:tc>
          <w:tcPr>
            <w:tcW w:w="4621" w:type="dxa"/>
          </w:tcPr>
          <w:p w14:paraId="2E79BD72" w14:textId="77777777" w:rsidR="008F74DC" w:rsidRPr="00933DD9" w:rsidRDefault="008F74DC" w:rsidP="00BE1E8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Chief Executive</w:t>
            </w:r>
          </w:p>
        </w:tc>
      </w:tr>
      <w:tr w:rsidR="008F74DC" w:rsidRPr="00933DD9" w14:paraId="32024F7D" w14:textId="77777777" w:rsidTr="00BE1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42C91B9D" w14:textId="77777777" w:rsidR="008F74DC" w:rsidRDefault="008F74DC" w:rsidP="00BE1E84">
            <w:pPr>
              <w:rPr>
                <w:rFonts w:ascii="Arial" w:hAnsi="Arial" w:cs="Arial"/>
                <w:b w:val="0"/>
                <w:bCs w:val="0"/>
              </w:rPr>
            </w:pPr>
            <w:r w:rsidRPr="00933DD9">
              <w:rPr>
                <w:rFonts w:ascii="Arial" w:hAnsi="Arial" w:cs="Arial"/>
              </w:rPr>
              <w:t>Telephone</w:t>
            </w:r>
          </w:p>
          <w:p w14:paraId="46D10FD2" w14:textId="7D550C63" w:rsidR="008F74DC" w:rsidRPr="00933DD9" w:rsidRDefault="008F74DC" w:rsidP="00BE1E84">
            <w:pPr>
              <w:rPr>
                <w:rFonts w:ascii="Arial" w:hAnsi="Arial" w:cs="Arial"/>
              </w:rPr>
            </w:pPr>
          </w:p>
        </w:tc>
        <w:tc>
          <w:tcPr>
            <w:tcW w:w="4621" w:type="dxa"/>
          </w:tcPr>
          <w:p w14:paraId="5D58C820" w14:textId="77777777" w:rsidR="008F74DC" w:rsidRPr="00933DD9" w:rsidRDefault="008F74DC" w:rsidP="00BE1E8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01633 642200</w:t>
            </w:r>
          </w:p>
        </w:tc>
      </w:tr>
      <w:tr w:rsidR="008F74DC" w:rsidRPr="00933DD9" w14:paraId="62DF2C66" w14:textId="77777777" w:rsidTr="00BE1E84">
        <w:tc>
          <w:tcPr>
            <w:cnfStyle w:val="001000000000" w:firstRow="0" w:lastRow="0" w:firstColumn="1" w:lastColumn="0" w:oddVBand="0" w:evenVBand="0" w:oddHBand="0" w:evenHBand="0" w:firstRowFirstColumn="0" w:firstRowLastColumn="0" w:lastRowFirstColumn="0" w:lastRowLastColumn="0"/>
            <w:tcW w:w="4621" w:type="dxa"/>
          </w:tcPr>
          <w:p w14:paraId="6C26EE49" w14:textId="77777777" w:rsidR="008F74DC" w:rsidRDefault="008F74DC" w:rsidP="00BE1E84">
            <w:pPr>
              <w:rPr>
                <w:rFonts w:ascii="Arial" w:hAnsi="Arial" w:cs="Arial"/>
                <w:b w:val="0"/>
                <w:bCs w:val="0"/>
              </w:rPr>
            </w:pPr>
            <w:r w:rsidRPr="00933DD9">
              <w:rPr>
                <w:rFonts w:ascii="Arial" w:hAnsi="Arial" w:cs="Arial"/>
              </w:rPr>
              <w:t>Email</w:t>
            </w:r>
          </w:p>
          <w:p w14:paraId="1DB03C6A" w14:textId="3835345F" w:rsidR="008F74DC" w:rsidRPr="00933DD9" w:rsidRDefault="008F74DC" w:rsidP="00BE1E84">
            <w:pPr>
              <w:rPr>
                <w:rFonts w:ascii="Arial" w:hAnsi="Arial" w:cs="Arial"/>
              </w:rPr>
            </w:pPr>
          </w:p>
        </w:tc>
        <w:tc>
          <w:tcPr>
            <w:tcW w:w="4621" w:type="dxa"/>
          </w:tcPr>
          <w:p w14:paraId="0D0A655C" w14:textId="77777777" w:rsidR="008F74DC" w:rsidRPr="00933DD9" w:rsidRDefault="0076001D" w:rsidP="00BE1E84">
            <w:pPr>
              <w:cnfStyle w:val="000000000000" w:firstRow="0" w:lastRow="0" w:firstColumn="0" w:lastColumn="0" w:oddVBand="0" w:evenVBand="0" w:oddHBand="0" w:evenHBand="0" w:firstRowFirstColumn="0" w:firstRowLastColumn="0" w:lastRowFirstColumn="0" w:lastRowLastColumn="0"/>
              <w:rPr>
                <w:rFonts w:ascii="Arial" w:hAnsi="Arial" w:cs="Arial"/>
              </w:rPr>
            </w:pPr>
            <w:hyperlink r:id="rId10" w:history="1">
              <w:r w:rsidR="008F74DC" w:rsidRPr="00C05147">
                <w:rPr>
                  <w:rStyle w:val="Hyperlink"/>
                  <w:rFonts w:ascii="Arial" w:hAnsi="Arial" w:cs="Arial"/>
                </w:rPr>
                <w:t>commissioner@gwent.police.uk</w:t>
              </w:r>
            </w:hyperlink>
            <w:r w:rsidR="008F74DC">
              <w:rPr>
                <w:rFonts w:ascii="Arial" w:hAnsi="Arial" w:cs="Arial"/>
              </w:rPr>
              <w:t xml:space="preserve"> </w:t>
            </w:r>
          </w:p>
        </w:tc>
      </w:tr>
      <w:tr w:rsidR="008F74DC" w:rsidRPr="00933DD9" w14:paraId="7B008D09" w14:textId="77777777" w:rsidTr="00BE1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26B724D1" w14:textId="77777777" w:rsidR="008F74DC" w:rsidRPr="00933DD9" w:rsidRDefault="008F74DC" w:rsidP="00BE1E84">
            <w:pPr>
              <w:rPr>
                <w:rFonts w:ascii="Arial" w:hAnsi="Arial" w:cs="Arial"/>
                <w:b w:val="0"/>
              </w:rPr>
            </w:pPr>
            <w:r w:rsidRPr="00933DD9">
              <w:rPr>
                <w:rFonts w:ascii="Arial" w:hAnsi="Arial" w:cs="Arial"/>
              </w:rPr>
              <w:t>Background papers</w:t>
            </w:r>
          </w:p>
        </w:tc>
        <w:tc>
          <w:tcPr>
            <w:tcW w:w="4621" w:type="dxa"/>
          </w:tcPr>
          <w:p w14:paraId="5B0C1EA5" w14:textId="77777777" w:rsidR="008F74DC" w:rsidRPr="00933DD9" w:rsidRDefault="008F74DC" w:rsidP="00BE1E8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5F2F7E17" w14:textId="77777777" w:rsidR="008F74DC" w:rsidRPr="00D8752E" w:rsidRDefault="008F74DC" w:rsidP="008F74DC">
      <w:pPr>
        <w:rPr>
          <w:rFonts w:ascii="Arial" w:hAnsi="Arial" w:cs="Arial"/>
        </w:rPr>
      </w:pPr>
    </w:p>
    <w:p w14:paraId="51771446" w14:textId="77777777" w:rsidR="00CC2581" w:rsidRDefault="00CC2581" w:rsidP="00615280">
      <w:pPr>
        <w:pStyle w:val="BodyText"/>
        <w:rPr>
          <w:rFonts w:ascii="Arial" w:hAnsi="Arial"/>
          <w:b/>
          <w:color w:val="0000FF"/>
          <w:sz w:val="22"/>
        </w:rPr>
      </w:pPr>
    </w:p>
    <w:sectPr w:rsidR="00CC2581" w:rsidSect="006A5E71">
      <w:headerReference w:type="even" r:id="rId11"/>
      <w:headerReference w:type="default" r:id="rId12"/>
      <w:footerReference w:type="even" r:id="rId13"/>
      <w:footerReference w:type="default" r:id="rId14"/>
      <w:headerReference w:type="first" r:id="rId15"/>
      <w:footerReference w:type="first" r:id="rId16"/>
      <w:pgSz w:w="11906" w:h="16838"/>
      <w:pgMar w:top="1134" w:right="141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0D11F" w14:textId="77777777" w:rsidR="00E76E96" w:rsidRDefault="00E76E96">
      <w:r>
        <w:separator/>
      </w:r>
    </w:p>
  </w:endnote>
  <w:endnote w:type="continuationSeparator" w:id="0">
    <w:p w14:paraId="299D03BB" w14:textId="77777777" w:rsidR="00E76E96" w:rsidRDefault="00E76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Times New Roman"/>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679E4" w14:textId="77777777" w:rsidR="00E76E96" w:rsidRDefault="00E76E96" w:rsidP="000B0C31">
    <w:pPr>
      <w:pStyle w:val="Footer"/>
      <w:jc w:val="center"/>
      <w:rPr>
        <w:rFonts w:ascii="Arial" w:hAnsi="Arial" w:cs="Arial"/>
        <w:b/>
        <w:color w:val="FF0000"/>
      </w:rPr>
    </w:pPr>
    <w:bookmarkStart w:id="3" w:name="aliashDefaultHeaderandFo1FooterEvenPages"/>
  </w:p>
  <w:bookmarkEnd w:id="3"/>
  <w:p w14:paraId="646EF8FE" w14:textId="77777777" w:rsidR="00E76E96" w:rsidRDefault="00E76E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51A1E" w14:textId="77777777" w:rsidR="00E76E96" w:rsidRDefault="00E76E96">
    <w:pPr>
      <w:pStyle w:val="Footer"/>
      <w:jc w:val="center"/>
    </w:pPr>
    <w:r>
      <w:fldChar w:fldCharType="begin"/>
    </w:r>
    <w:r>
      <w:instrText xml:space="preserve"> PAGE   \* MERGEFORMAT </w:instrText>
    </w:r>
    <w:r>
      <w:fldChar w:fldCharType="separate"/>
    </w:r>
    <w:r>
      <w:rPr>
        <w:noProof/>
      </w:rPr>
      <w:t>18</w:t>
    </w:r>
    <w:r>
      <w:rPr>
        <w:noProof/>
      </w:rPr>
      <w:fldChar w:fldCharType="end"/>
    </w:r>
  </w:p>
  <w:p w14:paraId="2DA7E21E" w14:textId="77777777" w:rsidR="00E76E96" w:rsidRDefault="00E76E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CFCC9" w14:textId="77777777" w:rsidR="00E76E96" w:rsidRDefault="00E76E96" w:rsidP="000B0C31">
    <w:pPr>
      <w:pStyle w:val="Footer"/>
      <w:jc w:val="center"/>
      <w:rPr>
        <w:rFonts w:ascii="Arial" w:hAnsi="Arial" w:cs="Arial"/>
        <w:b/>
        <w:color w:val="FF0000"/>
      </w:rPr>
    </w:pPr>
    <w:bookmarkStart w:id="5" w:name="aliashDefaultHeaderandFo1FooterFirstPage"/>
  </w:p>
  <w:bookmarkEnd w:id="5"/>
  <w:p w14:paraId="676A950A" w14:textId="77777777" w:rsidR="00E76E96" w:rsidRDefault="00E76E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71AE1" w14:textId="77777777" w:rsidR="00E76E96" w:rsidRDefault="00E76E96">
      <w:r>
        <w:separator/>
      </w:r>
    </w:p>
  </w:footnote>
  <w:footnote w:type="continuationSeparator" w:id="0">
    <w:p w14:paraId="57D9BE53" w14:textId="77777777" w:rsidR="00E76E96" w:rsidRDefault="00E76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F03C" w14:textId="77777777" w:rsidR="00E76E96" w:rsidRDefault="00E76E96" w:rsidP="000B0C31">
    <w:pPr>
      <w:pStyle w:val="Header"/>
      <w:jc w:val="center"/>
      <w:rPr>
        <w:rFonts w:ascii="Arial" w:hAnsi="Arial" w:cs="Arial"/>
        <w:b/>
        <w:color w:val="FF0000"/>
      </w:rPr>
    </w:pPr>
    <w:bookmarkStart w:id="1" w:name="aliashDefaultHeaderandFo1HeaderEvenPages"/>
  </w:p>
  <w:bookmarkEnd w:id="1"/>
  <w:p w14:paraId="4A5222D6" w14:textId="77777777" w:rsidR="00E76E96" w:rsidRDefault="00E76E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50929" w14:textId="77777777" w:rsidR="00E76E96" w:rsidRDefault="00E76E96" w:rsidP="000B0C31">
    <w:pPr>
      <w:pStyle w:val="Header"/>
      <w:jc w:val="center"/>
      <w:rPr>
        <w:rFonts w:ascii="Arial" w:hAnsi="Arial" w:cs="Arial"/>
        <w:b/>
        <w:color w:val="FF0000"/>
      </w:rPr>
    </w:pPr>
    <w:bookmarkStart w:id="2" w:name="aliashDefaultHeaderandFoot1HeaderPrimary"/>
  </w:p>
  <w:bookmarkEnd w:id="2"/>
  <w:p w14:paraId="7C4D7362" w14:textId="77777777" w:rsidR="00E76E96" w:rsidRDefault="00E76E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45227" w14:textId="77777777" w:rsidR="00E76E96" w:rsidRDefault="00E76E96" w:rsidP="000B0C31">
    <w:pPr>
      <w:pStyle w:val="Header"/>
      <w:jc w:val="center"/>
      <w:rPr>
        <w:rFonts w:ascii="Arial" w:hAnsi="Arial" w:cs="Arial"/>
        <w:b/>
        <w:color w:val="FF0000"/>
      </w:rPr>
    </w:pPr>
    <w:bookmarkStart w:id="4" w:name="aliashDefaultHeaderandFo1HeaderFirstPage"/>
  </w:p>
  <w:bookmarkEnd w:id="4"/>
  <w:p w14:paraId="4BA0988E" w14:textId="77777777" w:rsidR="00E76E96" w:rsidRDefault="00E76E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0846"/>
    <w:multiLevelType w:val="hybridMultilevel"/>
    <w:tmpl w:val="440605FA"/>
    <w:lvl w:ilvl="0" w:tplc="69C07276">
      <w:start w:val="1"/>
      <w:numFmt w:val="lowerRoman"/>
      <w:lvlText w:val="(%1)"/>
      <w:lvlJc w:val="left"/>
      <w:pPr>
        <w:tabs>
          <w:tab w:val="num" w:pos="1080"/>
        </w:tabs>
        <w:ind w:left="1080" w:hanging="360"/>
      </w:pPr>
      <w:rPr>
        <w:rFonts w:ascii="Arial" w:eastAsia="Times New Roman" w:hAnsi="Arial" w:cs="Arial" w:hint="default"/>
        <w:b w:val="0"/>
        <w:i w:val="0"/>
        <w:strike w:val="0"/>
        <w:color w:val="auto"/>
      </w:rPr>
    </w:lvl>
    <w:lvl w:ilvl="1" w:tplc="FFFFFFFF">
      <w:start w:val="1"/>
      <w:numFmt w:val="lowerLetter"/>
      <w:lvlText w:val="%2."/>
      <w:lvlJc w:val="left"/>
      <w:pPr>
        <w:tabs>
          <w:tab w:val="num" w:pos="1800"/>
        </w:tabs>
        <w:ind w:left="1800" w:hanging="360"/>
      </w:pPr>
      <w:rPr>
        <w:color w:val="auto"/>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 w15:restartNumberingAfterBreak="0">
    <w:nsid w:val="05AD6E95"/>
    <w:multiLevelType w:val="multilevel"/>
    <w:tmpl w:val="5056574A"/>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135056"/>
    <w:multiLevelType w:val="multilevel"/>
    <w:tmpl w:val="6E46DBDC"/>
    <w:lvl w:ilvl="0">
      <w:start w:val="10"/>
      <w:numFmt w:val="decimal"/>
      <w:lvlText w:val="%1"/>
      <w:lvlJc w:val="left"/>
      <w:pPr>
        <w:ind w:left="600" w:hanging="600"/>
      </w:pPr>
      <w:rPr>
        <w:rFonts w:hint="default"/>
      </w:rPr>
    </w:lvl>
    <w:lvl w:ilvl="1">
      <w:start w:val="14"/>
      <w:numFmt w:val="decimal"/>
      <w:lvlText w:val="%1.%2"/>
      <w:lvlJc w:val="left"/>
      <w:pPr>
        <w:ind w:left="600" w:hanging="60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120C9E"/>
    <w:multiLevelType w:val="hybridMultilevel"/>
    <w:tmpl w:val="1344769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15:restartNumberingAfterBreak="0">
    <w:nsid w:val="0D8965C0"/>
    <w:multiLevelType w:val="hybridMultilevel"/>
    <w:tmpl w:val="6A5E27B0"/>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13CA5145"/>
    <w:multiLevelType w:val="multilevel"/>
    <w:tmpl w:val="10362D06"/>
    <w:lvl w:ilvl="0">
      <w:start w:val="1"/>
      <w:numFmt w:val="decimal"/>
      <w:pStyle w:val="Subtitle"/>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15453D68"/>
    <w:multiLevelType w:val="multilevel"/>
    <w:tmpl w:val="F86618E8"/>
    <w:lvl w:ilvl="0">
      <w:start w:val="6"/>
      <w:numFmt w:val="decimal"/>
      <w:lvlText w:val="%1"/>
      <w:lvlJc w:val="left"/>
      <w:pPr>
        <w:ind w:left="360" w:hanging="360"/>
      </w:pPr>
      <w:rPr>
        <w:rFonts w:hint="default"/>
        <w:b w:val="0"/>
      </w:rPr>
    </w:lvl>
    <w:lvl w:ilvl="1">
      <w:start w:val="2"/>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7" w15:restartNumberingAfterBreak="0">
    <w:nsid w:val="163E0822"/>
    <w:multiLevelType w:val="multilevel"/>
    <w:tmpl w:val="581A587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A56DE2"/>
    <w:multiLevelType w:val="multilevel"/>
    <w:tmpl w:val="84E2469C"/>
    <w:lvl w:ilvl="0">
      <w:start w:val="1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B534BE"/>
    <w:multiLevelType w:val="hybridMultilevel"/>
    <w:tmpl w:val="14DCB806"/>
    <w:lvl w:ilvl="0" w:tplc="FFFFFFFF">
      <w:start w:val="1"/>
      <w:numFmt w:val="bullet"/>
      <w:lvlText w:val=""/>
      <w:lvlJc w:val="left"/>
      <w:pPr>
        <w:tabs>
          <w:tab w:val="num" w:pos="720"/>
        </w:tabs>
        <w:ind w:left="720" w:hanging="360"/>
      </w:pPr>
      <w:rPr>
        <w:rFonts w:ascii="Symbol" w:hAnsi="Symbol" w:hint="default"/>
        <w:b w:val="0"/>
      </w:rPr>
    </w:lvl>
    <w:lvl w:ilvl="1" w:tplc="FFFFFFFF">
      <w:start w:val="2"/>
      <w:numFmt w:val="bullet"/>
      <w:lvlText w:val="-"/>
      <w:lvlJc w:val="left"/>
      <w:pPr>
        <w:tabs>
          <w:tab w:val="num" w:pos="1440"/>
        </w:tabs>
        <w:ind w:left="1440" w:hanging="360"/>
      </w:pPr>
      <w:rPr>
        <w:rFonts w:ascii="Times New Roman" w:eastAsia="Times New Roman" w:hAnsi="Times New Roman" w:cs="Times New Roman" w:hint="default"/>
      </w:rPr>
    </w:lvl>
    <w:lvl w:ilvl="2" w:tplc="08090001">
      <w:start w:val="1"/>
      <w:numFmt w:val="bullet"/>
      <w:lvlText w:val=""/>
      <w:lvlJc w:val="left"/>
      <w:pPr>
        <w:tabs>
          <w:tab w:val="num" w:pos="2160"/>
        </w:tabs>
        <w:ind w:left="2160" w:hanging="180"/>
      </w:pPr>
      <w:rPr>
        <w:rFonts w:ascii="Symbol" w:hAnsi="Symbol" w:hint="default"/>
        <w:i w:val="0"/>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F1B185A"/>
    <w:multiLevelType w:val="multilevel"/>
    <w:tmpl w:val="DD8A870C"/>
    <w:lvl w:ilvl="0">
      <w:start w:val="10"/>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933DE6"/>
    <w:multiLevelType w:val="hybridMultilevel"/>
    <w:tmpl w:val="D0A00CD0"/>
    <w:lvl w:ilvl="0" w:tplc="E924A608">
      <w:start w:val="1"/>
      <w:numFmt w:val="lowerRoman"/>
      <w:lvlText w:val="(%1)"/>
      <w:lvlJc w:val="left"/>
      <w:pPr>
        <w:ind w:left="1070" w:hanging="360"/>
      </w:pPr>
      <w:rPr>
        <w:rFonts w:ascii="Arial" w:eastAsia="Times New Roman" w:hAnsi="Arial" w:cs="Arial"/>
        <w:b w:val="0"/>
        <w:color w:val="auto"/>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2" w15:restartNumberingAfterBreak="0">
    <w:nsid w:val="26147831"/>
    <w:multiLevelType w:val="hybridMultilevel"/>
    <w:tmpl w:val="963AB230"/>
    <w:lvl w:ilvl="0" w:tplc="08090017">
      <w:start w:val="1"/>
      <w:numFmt w:val="lowerLetter"/>
      <w:lvlText w:val="%1)"/>
      <w:lvlJc w:val="left"/>
      <w:pPr>
        <w:ind w:left="1440" w:hanging="360"/>
      </w:pPr>
      <w:rPr>
        <w:rFonts w:cs="Times New Roman"/>
      </w:rPr>
    </w:lvl>
    <w:lvl w:ilvl="1" w:tplc="08090019">
      <w:start w:val="1"/>
      <w:numFmt w:val="lowerLetter"/>
      <w:lvlText w:val="%2."/>
      <w:lvlJc w:val="left"/>
      <w:pPr>
        <w:ind w:left="2160" w:hanging="360"/>
      </w:pPr>
      <w:rPr>
        <w:rFonts w:cs="Times New Roman"/>
      </w:rPr>
    </w:lvl>
    <w:lvl w:ilvl="2" w:tplc="0809001B">
      <w:start w:val="1"/>
      <w:numFmt w:val="lowerRoman"/>
      <w:lvlText w:val="%3."/>
      <w:lvlJc w:val="right"/>
      <w:pPr>
        <w:ind w:left="2880" w:hanging="180"/>
      </w:pPr>
      <w:rPr>
        <w:rFonts w:cs="Times New Roman"/>
      </w:rPr>
    </w:lvl>
    <w:lvl w:ilvl="3" w:tplc="0809000F">
      <w:start w:val="1"/>
      <w:numFmt w:val="decimal"/>
      <w:lvlText w:val="%4."/>
      <w:lvlJc w:val="left"/>
      <w:pPr>
        <w:ind w:left="3600" w:hanging="360"/>
      </w:pPr>
      <w:rPr>
        <w:rFonts w:cs="Times New Roman"/>
      </w:rPr>
    </w:lvl>
    <w:lvl w:ilvl="4" w:tplc="08090019">
      <w:start w:val="1"/>
      <w:numFmt w:val="lowerLetter"/>
      <w:lvlText w:val="%5."/>
      <w:lvlJc w:val="left"/>
      <w:pPr>
        <w:ind w:left="4320" w:hanging="360"/>
      </w:pPr>
      <w:rPr>
        <w:rFonts w:cs="Times New Roman"/>
      </w:rPr>
    </w:lvl>
    <w:lvl w:ilvl="5" w:tplc="0809001B">
      <w:start w:val="1"/>
      <w:numFmt w:val="lowerRoman"/>
      <w:lvlText w:val="%6."/>
      <w:lvlJc w:val="right"/>
      <w:pPr>
        <w:ind w:left="5040" w:hanging="180"/>
      </w:pPr>
      <w:rPr>
        <w:rFonts w:cs="Times New Roman"/>
      </w:rPr>
    </w:lvl>
    <w:lvl w:ilvl="6" w:tplc="0809000F">
      <w:start w:val="1"/>
      <w:numFmt w:val="decimal"/>
      <w:lvlText w:val="%7."/>
      <w:lvlJc w:val="left"/>
      <w:pPr>
        <w:ind w:left="5760" w:hanging="360"/>
      </w:pPr>
      <w:rPr>
        <w:rFonts w:cs="Times New Roman"/>
      </w:rPr>
    </w:lvl>
    <w:lvl w:ilvl="7" w:tplc="08090019">
      <w:start w:val="1"/>
      <w:numFmt w:val="lowerLetter"/>
      <w:lvlText w:val="%8."/>
      <w:lvlJc w:val="left"/>
      <w:pPr>
        <w:ind w:left="6480" w:hanging="360"/>
      </w:pPr>
      <w:rPr>
        <w:rFonts w:cs="Times New Roman"/>
      </w:rPr>
    </w:lvl>
    <w:lvl w:ilvl="8" w:tplc="0809001B">
      <w:start w:val="1"/>
      <w:numFmt w:val="lowerRoman"/>
      <w:lvlText w:val="%9."/>
      <w:lvlJc w:val="right"/>
      <w:pPr>
        <w:ind w:left="7200" w:hanging="180"/>
      </w:pPr>
      <w:rPr>
        <w:rFonts w:cs="Times New Roman"/>
      </w:rPr>
    </w:lvl>
  </w:abstractNum>
  <w:abstractNum w:abstractNumId="13" w15:restartNumberingAfterBreak="0">
    <w:nsid w:val="2D5C4BD4"/>
    <w:multiLevelType w:val="hybridMultilevel"/>
    <w:tmpl w:val="E6561E84"/>
    <w:lvl w:ilvl="0" w:tplc="3FF64F0C">
      <w:start w:val="1"/>
      <w:numFmt w:val="lowerRoman"/>
      <w:lvlText w:val="(%1)"/>
      <w:lvlJc w:val="left"/>
      <w:pPr>
        <w:ind w:left="1440" w:hanging="703"/>
      </w:pPr>
      <w:rPr>
        <w:rFonts w:ascii="Arial" w:eastAsia="Times New Roman" w:hAnsi="Arial" w:cs="Arial" w:hint="default"/>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32C72919"/>
    <w:multiLevelType w:val="multilevel"/>
    <w:tmpl w:val="BD668070"/>
    <w:lvl w:ilvl="0">
      <w:start w:val="14"/>
      <w:numFmt w:val="decimal"/>
      <w:lvlText w:val="%1"/>
      <w:lvlJc w:val="left"/>
      <w:pPr>
        <w:ind w:left="465" w:hanging="465"/>
      </w:pPr>
      <w:rPr>
        <w:rFonts w:hint="default"/>
        <w:i w:val="0"/>
      </w:rPr>
    </w:lvl>
    <w:lvl w:ilvl="1">
      <w:start w:val="1"/>
      <w:numFmt w:val="decimal"/>
      <w:lvlText w:val="%1.%2"/>
      <w:lvlJc w:val="left"/>
      <w:pPr>
        <w:ind w:left="891" w:hanging="465"/>
      </w:pPr>
      <w:rPr>
        <w:rFonts w:hint="default"/>
        <w:b w:val="0"/>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15" w15:restartNumberingAfterBreak="0">
    <w:nsid w:val="369B1FD1"/>
    <w:multiLevelType w:val="multilevel"/>
    <w:tmpl w:val="AFA01150"/>
    <w:lvl w:ilvl="0">
      <w:start w:val="11"/>
      <w:numFmt w:val="decimal"/>
      <w:lvlText w:val="%1"/>
      <w:lvlJc w:val="left"/>
      <w:pPr>
        <w:ind w:left="465" w:hanging="465"/>
      </w:pPr>
      <w:rPr>
        <w:rFonts w:hint="default"/>
        <w:sz w:val="24"/>
      </w:rPr>
    </w:lvl>
    <w:lvl w:ilvl="1">
      <w:start w:val="1"/>
      <w:numFmt w:val="decimal"/>
      <w:lvlText w:val="%1.%2"/>
      <w:lvlJc w:val="left"/>
      <w:pPr>
        <w:ind w:left="465" w:hanging="465"/>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6" w15:restartNumberingAfterBreak="0">
    <w:nsid w:val="3F40328D"/>
    <w:multiLevelType w:val="multilevel"/>
    <w:tmpl w:val="581A3E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0C34973"/>
    <w:multiLevelType w:val="hybridMultilevel"/>
    <w:tmpl w:val="C6901A1E"/>
    <w:lvl w:ilvl="0" w:tplc="69C07276">
      <w:start w:val="1"/>
      <w:numFmt w:val="lowerRoman"/>
      <w:lvlText w:val="(%1)"/>
      <w:lvlJc w:val="left"/>
      <w:pPr>
        <w:tabs>
          <w:tab w:val="num" w:pos="1091"/>
        </w:tabs>
        <w:ind w:left="958" w:hanging="227"/>
      </w:pPr>
      <w:rPr>
        <w:rFonts w:ascii="Arial" w:eastAsia="Times New Roman" w:hAnsi="Arial" w:cs="Arial"/>
        <w:color w:val="auto"/>
      </w:rPr>
    </w:lvl>
    <w:lvl w:ilvl="1" w:tplc="FFFFFFFF">
      <w:start w:val="2"/>
      <w:numFmt w:val="bullet"/>
      <w:lvlText w:val="-"/>
      <w:lvlJc w:val="left"/>
      <w:pPr>
        <w:tabs>
          <w:tab w:val="num" w:pos="1811"/>
        </w:tabs>
        <w:ind w:left="1811" w:hanging="360"/>
      </w:pPr>
      <w:rPr>
        <w:rFonts w:ascii="Times New Roman" w:eastAsia="Times New Roman" w:hAnsi="Times New Roman" w:cs="Times New Roman" w:hint="default"/>
      </w:rPr>
    </w:lvl>
    <w:lvl w:ilvl="2" w:tplc="FFFFFFFF" w:tentative="1">
      <w:start w:val="1"/>
      <w:numFmt w:val="lowerRoman"/>
      <w:lvlText w:val="%3."/>
      <w:lvlJc w:val="right"/>
      <w:pPr>
        <w:tabs>
          <w:tab w:val="num" w:pos="2531"/>
        </w:tabs>
        <w:ind w:left="2531" w:hanging="180"/>
      </w:pPr>
    </w:lvl>
    <w:lvl w:ilvl="3" w:tplc="FFFFFFFF" w:tentative="1">
      <w:start w:val="1"/>
      <w:numFmt w:val="decimal"/>
      <w:lvlText w:val="%4."/>
      <w:lvlJc w:val="left"/>
      <w:pPr>
        <w:tabs>
          <w:tab w:val="num" w:pos="3251"/>
        </w:tabs>
        <w:ind w:left="3251" w:hanging="360"/>
      </w:pPr>
    </w:lvl>
    <w:lvl w:ilvl="4" w:tplc="FFFFFFFF" w:tentative="1">
      <w:start w:val="1"/>
      <w:numFmt w:val="lowerLetter"/>
      <w:lvlText w:val="%5."/>
      <w:lvlJc w:val="left"/>
      <w:pPr>
        <w:tabs>
          <w:tab w:val="num" w:pos="3971"/>
        </w:tabs>
        <w:ind w:left="3971" w:hanging="360"/>
      </w:pPr>
    </w:lvl>
    <w:lvl w:ilvl="5" w:tplc="FFFFFFFF" w:tentative="1">
      <w:start w:val="1"/>
      <w:numFmt w:val="lowerRoman"/>
      <w:lvlText w:val="%6."/>
      <w:lvlJc w:val="right"/>
      <w:pPr>
        <w:tabs>
          <w:tab w:val="num" w:pos="4691"/>
        </w:tabs>
        <w:ind w:left="4691" w:hanging="180"/>
      </w:pPr>
    </w:lvl>
    <w:lvl w:ilvl="6" w:tplc="FFFFFFFF" w:tentative="1">
      <w:start w:val="1"/>
      <w:numFmt w:val="decimal"/>
      <w:lvlText w:val="%7."/>
      <w:lvlJc w:val="left"/>
      <w:pPr>
        <w:tabs>
          <w:tab w:val="num" w:pos="5411"/>
        </w:tabs>
        <w:ind w:left="5411" w:hanging="360"/>
      </w:pPr>
    </w:lvl>
    <w:lvl w:ilvl="7" w:tplc="FFFFFFFF" w:tentative="1">
      <w:start w:val="1"/>
      <w:numFmt w:val="lowerLetter"/>
      <w:lvlText w:val="%8."/>
      <w:lvlJc w:val="left"/>
      <w:pPr>
        <w:tabs>
          <w:tab w:val="num" w:pos="6131"/>
        </w:tabs>
        <w:ind w:left="6131" w:hanging="360"/>
      </w:pPr>
    </w:lvl>
    <w:lvl w:ilvl="8" w:tplc="FFFFFFFF" w:tentative="1">
      <w:start w:val="1"/>
      <w:numFmt w:val="lowerRoman"/>
      <w:lvlText w:val="%9."/>
      <w:lvlJc w:val="right"/>
      <w:pPr>
        <w:tabs>
          <w:tab w:val="num" w:pos="6851"/>
        </w:tabs>
        <w:ind w:left="6851" w:hanging="180"/>
      </w:pPr>
    </w:lvl>
  </w:abstractNum>
  <w:abstractNum w:abstractNumId="18" w15:restartNumberingAfterBreak="0">
    <w:nsid w:val="45A04196"/>
    <w:multiLevelType w:val="multilevel"/>
    <w:tmpl w:val="A358FE96"/>
    <w:lvl w:ilvl="0">
      <w:start w:val="1"/>
      <w:numFmt w:val="decimal"/>
      <w:pStyle w:val="ChapterHeading"/>
      <w:lvlText w:val="%1"/>
      <w:lvlJc w:val="left"/>
      <w:pPr>
        <w:ind w:left="360" w:hanging="360"/>
      </w:pPr>
      <w:rPr>
        <w:rFonts w:cs="Times New Roman" w:hint="default"/>
        <w:b/>
        <w:color w:val="auto"/>
      </w:rPr>
    </w:lvl>
    <w:lvl w:ilvl="1">
      <w:start w:val="1"/>
      <w:numFmt w:val="decimal"/>
      <w:pStyle w:val="Subheading"/>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9" w15:restartNumberingAfterBreak="0">
    <w:nsid w:val="4F4B2958"/>
    <w:multiLevelType w:val="hybridMultilevel"/>
    <w:tmpl w:val="7EE8FE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7A478EC"/>
    <w:multiLevelType w:val="hybridMultilevel"/>
    <w:tmpl w:val="821862C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1" w15:restartNumberingAfterBreak="0">
    <w:nsid w:val="58D47FE7"/>
    <w:multiLevelType w:val="multilevel"/>
    <w:tmpl w:val="211695E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2594584"/>
    <w:multiLevelType w:val="multilevel"/>
    <w:tmpl w:val="ADE83722"/>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b w:val="0"/>
        <w:sz w:val="24"/>
      </w:rPr>
    </w:lvl>
    <w:lvl w:ilvl="2">
      <w:start w:val="1"/>
      <w:numFmt w:val="decimal"/>
      <w:isLgl/>
      <w:lvlText w:val="%1.%2.%3"/>
      <w:lvlJc w:val="left"/>
      <w:pPr>
        <w:tabs>
          <w:tab w:val="num" w:pos="1713"/>
        </w:tabs>
        <w:ind w:left="1713" w:hanging="720"/>
      </w:pPr>
      <w:rPr>
        <w:rFonts w:hint="default"/>
        <w:sz w:val="24"/>
      </w:rPr>
    </w:lvl>
    <w:lvl w:ilvl="3">
      <w:start w:val="1"/>
      <w:numFmt w:val="decimal"/>
      <w:isLgl/>
      <w:lvlText w:val="%1.%2.%3.%4"/>
      <w:lvlJc w:val="left"/>
      <w:pPr>
        <w:tabs>
          <w:tab w:val="num" w:pos="1080"/>
        </w:tabs>
        <w:ind w:left="1080" w:hanging="720"/>
      </w:pPr>
      <w:rPr>
        <w:rFonts w:hint="default"/>
        <w:sz w:val="24"/>
      </w:rPr>
    </w:lvl>
    <w:lvl w:ilvl="4">
      <w:start w:val="1"/>
      <w:numFmt w:val="decimal"/>
      <w:isLgl/>
      <w:lvlText w:val="%1.%2.%3.%4.%5"/>
      <w:lvlJc w:val="left"/>
      <w:pPr>
        <w:tabs>
          <w:tab w:val="num" w:pos="1440"/>
        </w:tabs>
        <w:ind w:left="1440" w:hanging="1080"/>
      </w:pPr>
      <w:rPr>
        <w:rFonts w:hint="default"/>
        <w:sz w:val="24"/>
      </w:rPr>
    </w:lvl>
    <w:lvl w:ilvl="5">
      <w:start w:val="1"/>
      <w:numFmt w:val="decimal"/>
      <w:isLgl/>
      <w:lvlText w:val="%1.%2.%3.%4.%5.%6"/>
      <w:lvlJc w:val="left"/>
      <w:pPr>
        <w:tabs>
          <w:tab w:val="num" w:pos="1440"/>
        </w:tabs>
        <w:ind w:left="1440" w:hanging="1080"/>
      </w:pPr>
      <w:rPr>
        <w:rFonts w:hint="default"/>
        <w:sz w:val="24"/>
      </w:rPr>
    </w:lvl>
    <w:lvl w:ilvl="6">
      <w:start w:val="1"/>
      <w:numFmt w:val="decimal"/>
      <w:isLgl/>
      <w:lvlText w:val="%1.%2.%3.%4.%5.%6.%7"/>
      <w:lvlJc w:val="left"/>
      <w:pPr>
        <w:tabs>
          <w:tab w:val="num" w:pos="1800"/>
        </w:tabs>
        <w:ind w:left="1800" w:hanging="1440"/>
      </w:pPr>
      <w:rPr>
        <w:rFonts w:hint="default"/>
        <w:sz w:val="24"/>
      </w:rPr>
    </w:lvl>
    <w:lvl w:ilvl="7">
      <w:start w:val="1"/>
      <w:numFmt w:val="decimal"/>
      <w:isLgl/>
      <w:lvlText w:val="%1.%2.%3.%4.%5.%6.%7.%8"/>
      <w:lvlJc w:val="left"/>
      <w:pPr>
        <w:tabs>
          <w:tab w:val="num" w:pos="1800"/>
        </w:tabs>
        <w:ind w:left="1800" w:hanging="1440"/>
      </w:pPr>
      <w:rPr>
        <w:rFonts w:hint="default"/>
        <w:sz w:val="24"/>
      </w:rPr>
    </w:lvl>
    <w:lvl w:ilvl="8">
      <w:start w:val="1"/>
      <w:numFmt w:val="decimal"/>
      <w:isLgl/>
      <w:lvlText w:val="%1.%2.%3.%4.%5.%6.%7.%8.%9"/>
      <w:lvlJc w:val="left"/>
      <w:pPr>
        <w:tabs>
          <w:tab w:val="num" w:pos="2160"/>
        </w:tabs>
        <w:ind w:left="2160" w:hanging="1800"/>
      </w:pPr>
      <w:rPr>
        <w:rFonts w:hint="default"/>
        <w:sz w:val="24"/>
      </w:rPr>
    </w:lvl>
  </w:abstractNum>
  <w:abstractNum w:abstractNumId="23" w15:restartNumberingAfterBreak="0">
    <w:nsid w:val="6A2277F6"/>
    <w:multiLevelType w:val="hybridMultilevel"/>
    <w:tmpl w:val="B31E3B8C"/>
    <w:lvl w:ilvl="0" w:tplc="69C07276">
      <w:start w:val="1"/>
      <w:numFmt w:val="lowerRoman"/>
      <w:lvlText w:val="(%1)"/>
      <w:lvlJc w:val="left"/>
      <w:pPr>
        <w:ind w:left="1440" w:hanging="360"/>
      </w:pPr>
      <w:rPr>
        <w:rFonts w:ascii="Arial" w:eastAsia="Times New Roman" w:hAnsi="Arial" w:cs="Arial"/>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6A7C6E71"/>
    <w:multiLevelType w:val="hybridMultilevel"/>
    <w:tmpl w:val="52E0BF74"/>
    <w:lvl w:ilvl="0" w:tplc="5D40E6F2">
      <w:start w:val="1"/>
      <w:numFmt w:val="lowerRoman"/>
      <w:lvlText w:val="(%1)"/>
      <w:lvlJc w:val="left"/>
      <w:pPr>
        <w:ind w:left="1485" w:hanging="360"/>
      </w:pPr>
      <w:rPr>
        <w:rFonts w:ascii="Arial" w:eastAsia="Times New Roman" w:hAnsi="Arial" w:cs="Arial"/>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25" w15:restartNumberingAfterBreak="0">
    <w:nsid w:val="6C721C55"/>
    <w:multiLevelType w:val="hybridMultilevel"/>
    <w:tmpl w:val="50B8FA08"/>
    <w:lvl w:ilvl="0" w:tplc="69C07276">
      <w:start w:val="1"/>
      <w:numFmt w:val="lowerRoman"/>
      <w:lvlText w:val="(%1)"/>
      <w:lvlJc w:val="left"/>
      <w:pPr>
        <w:tabs>
          <w:tab w:val="num" w:pos="1074"/>
        </w:tabs>
        <w:ind w:left="1074" w:hanging="360"/>
      </w:pPr>
      <w:rPr>
        <w:rFonts w:ascii="Arial" w:eastAsia="Times New Roman" w:hAnsi="Arial" w:cs="Arial" w:hint="default"/>
        <w:b w:val="0"/>
        <w:strike w:val="0"/>
        <w:color w:val="auto"/>
        <w:sz w:val="22"/>
        <w:szCs w:val="22"/>
      </w:rPr>
    </w:lvl>
    <w:lvl w:ilvl="1" w:tplc="8A06832A">
      <w:start w:val="2"/>
      <w:numFmt w:val="bullet"/>
      <w:lvlText w:val="-"/>
      <w:lvlJc w:val="left"/>
      <w:pPr>
        <w:tabs>
          <w:tab w:val="num" w:pos="1794"/>
        </w:tabs>
        <w:ind w:left="1794" w:hanging="360"/>
      </w:pPr>
      <w:rPr>
        <w:rFonts w:ascii="Times New Roman" w:eastAsia="Times New Roman" w:hAnsi="Times New Roman" w:cs="Times New Roman" w:hint="default"/>
      </w:rPr>
    </w:lvl>
    <w:lvl w:ilvl="2" w:tplc="9466826A">
      <w:start w:val="10"/>
      <w:numFmt w:val="decimal"/>
      <w:lvlText w:val="%3."/>
      <w:lvlJc w:val="left"/>
      <w:pPr>
        <w:tabs>
          <w:tab w:val="num" w:pos="2694"/>
        </w:tabs>
        <w:ind w:left="2694" w:hanging="360"/>
      </w:pPr>
      <w:rPr>
        <w:rFonts w:hint="default"/>
      </w:rPr>
    </w:lvl>
    <w:lvl w:ilvl="3" w:tplc="C134915C">
      <w:numFmt w:val="bullet"/>
      <w:lvlText w:val="•"/>
      <w:lvlJc w:val="left"/>
      <w:pPr>
        <w:ind w:left="3234" w:hanging="360"/>
      </w:pPr>
      <w:rPr>
        <w:rFonts w:ascii="Arial" w:eastAsia="Times New Roman" w:hAnsi="Arial" w:cs="Arial" w:hint="default"/>
      </w:r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26" w15:restartNumberingAfterBreak="0">
    <w:nsid w:val="706A4F72"/>
    <w:multiLevelType w:val="hybridMultilevel"/>
    <w:tmpl w:val="0D2A58EE"/>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7" w15:restartNumberingAfterBreak="0">
    <w:nsid w:val="73C35100"/>
    <w:multiLevelType w:val="multilevel"/>
    <w:tmpl w:val="612E9558"/>
    <w:lvl w:ilvl="0">
      <w:start w:val="1"/>
      <w:numFmt w:val="lowerRoman"/>
      <w:lvlText w:val="(%1)"/>
      <w:lvlJc w:val="left"/>
      <w:pPr>
        <w:ind w:left="600" w:hanging="600"/>
      </w:pPr>
      <w:rPr>
        <w:rFonts w:ascii="Arial" w:eastAsia="Times New Roman" w:hAnsi="Arial" w:cs="Arial" w:hint="default"/>
        <w:color w:val="auto"/>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41522E2"/>
    <w:multiLevelType w:val="hybridMultilevel"/>
    <w:tmpl w:val="CC045630"/>
    <w:lvl w:ilvl="0" w:tplc="69C07276">
      <w:start w:val="1"/>
      <w:numFmt w:val="lowerRoman"/>
      <w:lvlText w:val="(%1)"/>
      <w:lvlJc w:val="left"/>
      <w:pPr>
        <w:ind w:left="947" w:hanging="360"/>
      </w:pPr>
      <w:rPr>
        <w:rFonts w:ascii="Arial" w:eastAsia="Times New Roman" w:hAnsi="Arial" w:cs="Arial"/>
        <w:color w:val="auto"/>
      </w:rPr>
    </w:lvl>
    <w:lvl w:ilvl="1" w:tplc="08090019">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29" w15:restartNumberingAfterBreak="0">
    <w:nsid w:val="7BCC04E1"/>
    <w:multiLevelType w:val="hybridMultilevel"/>
    <w:tmpl w:val="E448343C"/>
    <w:lvl w:ilvl="0" w:tplc="69C07276">
      <w:start w:val="1"/>
      <w:numFmt w:val="lowerRoman"/>
      <w:lvlText w:val="(%1)"/>
      <w:lvlJc w:val="left"/>
      <w:pPr>
        <w:tabs>
          <w:tab w:val="num" w:pos="947"/>
        </w:tabs>
        <w:ind w:left="814" w:hanging="227"/>
      </w:pPr>
      <w:rPr>
        <w:rFonts w:ascii="Arial" w:eastAsia="Times New Roman" w:hAnsi="Arial" w:cs="Arial" w:hint="default"/>
        <w:color w:val="auto"/>
      </w:rPr>
    </w:lvl>
    <w:lvl w:ilvl="1" w:tplc="FFFFFFFF">
      <w:start w:val="2"/>
      <w:numFmt w:val="bullet"/>
      <w:lvlText w:val="-"/>
      <w:lvlJc w:val="left"/>
      <w:pPr>
        <w:tabs>
          <w:tab w:val="num" w:pos="1667"/>
        </w:tabs>
        <w:ind w:left="1667" w:hanging="360"/>
      </w:pPr>
      <w:rPr>
        <w:rFonts w:ascii="Times New Roman" w:eastAsia="Times New Roman" w:hAnsi="Times New Roman" w:cs="Times New Roman" w:hint="default"/>
      </w:rPr>
    </w:lvl>
    <w:lvl w:ilvl="2" w:tplc="FFFFFFFF" w:tentative="1">
      <w:start w:val="1"/>
      <w:numFmt w:val="lowerRoman"/>
      <w:lvlText w:val="%3."/>
      <w:lvlJc w:val="right"/>
      <w:pPr>
        <w:tabs>
          <w:tab w:val="num" w:pos="2387"/>
        </w:tabs>
        <w:ind w:left="2387" w:hanging="180"/>
      </w:pPr>
    </w:lvl>
    <w:lvl w:ilvl="3" w:tplc="FFFFFFFF" w:tentative="1">
      <w:start w:val="1"/>
      <w:numFmt w:val="decimal"/>
      <w:lvlText w:val="%4."/>
      <w:lvlJc w:val="left"/>
      <w:pPr>
        <w:tabs>
          <w:tab w:val="num" w:pos="3107"/>
        </w:tabs>
        <w:ind w:left="3107" w:hanging="360"/>
      </w:pPr>
    </w:lvl>
    <w:lvl w:ilvl="4" w:tplc="FFFFFFFF" w:tentative="1">
      <w:start w:val="1"/>
      <w:numFmt w:val="lowerLetter"/>
      <w:lvlText w:val="%5."/>
      <w:lvlJc w:val="left"/>
      <w:pPr>
        <w:tabs>
          <w:tab w:val="num" w:pos="3827"/>
        </w:tabs>
        <w:ind w:left="3827" w:hanging="360"/>
      </w:pPr>
    </w:lvl>
    <w:lvl w:ilvl="5" w:tplc="FFFFFFFF" w:tentative="1">
      <w:start w:val="1"/>
      <w:numFmt w:val="lowerRoman"/>
      <w:lvlText w:val="%6."/>
      <w:lvlJc w:val="right"/>
      <w:pPr>
        <w:tabs>
          <w:tab w:val="num" w:pos="4547"/>
        </w:tabs>
        <w:ind w:left="4547" w:hanging="180"/>
      </w:pPr>
    </w:lvl>
    <w:lvl w:ilvl="6" w:tplc="FFFFFFFF" w:tentative="1">
      <w:start w:val="1"/>
      <w:numFmt w:val="decimal"/>
      <w:lvlText w:val="%7."/>
      <w:lvlJc w:val="left"/>
      <w:pPr>
        <w:tabs>
          <w:tab w:val="num" w:pos="5267"/>
        </w:tabs>
        <w:ind w:left="5267" w:hanging="360"/>
      </w:pPr>
    </w:lvl>
    <w:lvl w:ilvl="7" w:tplc="FFFFFFFF" w:tentative="1">
      <w:start w:val="1"/>
      <w:numFmt w:val="lowerLetter"/>
      <w:lvlText w:val="%8."/>
      <w:lvlJc w:val="left"/>
      <w:pPr>
        <w:tabs>
          <w:tab w:val="num" w:pos="5987"/>
        </w:tabs>
        <w:ind w:left="5987" w:hanging="360"/>
      </w:pPr>
    </w:lvl>
    <w:lvl w:ilvl="8" w:tplc="FFFFFFFF" w:tentative="1">
      <w:start w:val="1"/>
      <w:numFmt w:val="lowerRoman"/>
      <w:lvlText w:val="%9."/>
      <w:lvlJc w:val="right"/>
      <w:pPr>
        <w:tabs>
          <w:tab w:val="num" w:pos="6707"/>
        </w:tabs>
        <w:ind w:left="6707" w:hanging="180"/>
      </w:pPr>
    </w:lvl>
  </w:abstractNum>
  <w:abstractNum w:abstractNumId="30" w15:restartNumberingAfterBreak="0">
    <w:nsid w:val="7C385605"/>
    <w:multiLevelType w:val="multilevel"/>
    <w:tmpl w:val="612E9558"/>
    <w:lvl w:ilvl="0">
      <w:start w:val="1"/>
      <w:numFmt w:val="lowerRoman"/>
      <w:lvlText w:val="(%1)"/>
      <w:lvlJc w:val="left"/>
      <w:pPr>
        <w:ind w:left="600" w:hanging="600"/>
      </w:pPr>
      <w:rPr>
        <w:rFonts w:ascii="Arial" w:eastAsia="Times New Roman" w:hAnsi="Arial" w:cs="Arial" w:hint="default"/>
        <w:b w:val="0"/>
        <w:i w:val="0"/>
        <w:strike w:val="0"/>
        <w:color w:val="auto"/>
      </w:rPr>
    </w:lvl>
    <w:lvl w:ilvl="1">
      <w:start w:val="14"/>
      <w:numFmt w:val="decimal"/>
      <w:lvlText w:val="%1.%2"/>
      <w:lvlJc w:val="left"/>
      <w:pPr>
        <w:ind w:left="600" w:hanging="60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005782713">
    <w:abstractNumId w:val="17"/>
  </w:num>
  <w:num w:numId="2" w16cid:durableId="1995453487">
    <w:abstractNumId w:val="29"/>
  </w:num>
  <w:num w:numId="3" w16cid:durableId="1199900081">
    <w:abstractNumId w:val="9"/>
  </w:num>
  <w:num w:numId="4" w16cid:durableId="224993276">
    <w:abstractNumId w:val="30"/>
  </w:num>
  <w:num w:numId="5" w16cid:durableId="510031941">
    <w:abstractNumId w:val="0"/>
  </w:num>
  <w:num w:numId="6" w16cid:durableId="2013100600">
    <w:abstractNumId w:val="5"/>
  </w:num>
  <w:num w:numId="7" w16cid:durableId="172645405">
    <w:abstractNumId w:val="24"/>
  </w:num>
  <w:num w:numId="8" w16cid:durableId="1531262999">
    <w:abstractNumId w:val="22"/>
  </w:num>
  <w:num w:numId="9" w16cid:durableId="238561649">
    <w:abstractNumId w:val="21"/>
  </w:num>
  <w:num w:numId="10" w16cid:durableId="750469184">
    <w:abstractNumId w:val="16"/>
  </w:num>
  <w:num w:numId="11" w16cid:durableId="825125841">
    <w:abstractNumId w:val="7"/>
  </w:num>
  <w:num w:numId="12" w16cid:durableId="1288241174">
    <w:abstractNumId w:val="10"/>
  </w:num>
  <w:num w:numId="13" w16cid:durableId="695472492">
    <w:abstractNumId w:val="2"/>
  </w:num>
  <w:num w:numId="14" w16cid:durableId="1600992261">
    <w:abstractNumId w:val="15"/>
  </w:num>
  <w:num w:numId="15" w16cid:durableId="535237316">
    <w:abstractNumId w:val="8"/>
  </w:num>
  <w:num w:numId="16" w16cid:durableId="1313212601">
    <w:abstractNumId w:val="14"/>
  </w:num>
  <w:num w:numId="17" w16cid:durableId="768082245">
    <w:abstractNumId w:val="18"/>
  </w:num>
  <w:num w:numId="18" w16cid:durableId="1931353998">
    <w:abstractNumId w:val="6"/>
  </w:num>
  <w:num w:numId="19" w16cid:durableId="900166982">
    <w:abstractNumId w:val="25"/>
  </w:num>
  <w:num w:numId="20" w16cid:durableId="1137138731">
    <w:abstractNumId w:val="11"/>
  </w:num>
  <w:num w:numId="21" w16cid:durableId="1127354429">
    <w:abstractNumId w:val="23"/>
  </w:num>
  <w:num w:numId="22" w16cid:durableId="774255655">
    <w:abstractNumId w:val="28"/>
  </w:num>
  <w:num w:numId="23" w16cid:durableId="432433434">
    <w:abstractNumId w:val="27"/>
  </w:num>
  <w:num w:numId="24" w16cid:durableId="649332060">
    <w:abstractNumId w:val="13"/>
  </w:num>
  <w:num w:numId="25" w16cid:durableId="737287433">
    <w:abstractNumId w:val="4"/>
  </w:num>
  <w:num w:numId="26" w16cid:durableId="421491575">
    <w:abstractNumId w:val="20"/>
  </w:num>
  <w:num w:numId="27" w16cid:durableId="883252002">
    <w:abstractNumId w:val="1"/>
  </w:num>
  <w:num w:numId="28" w16cid:durableId="1813983305">
    <w:abstractNumId w:val="3"/>
  </w:num>
  <w:num w:numId="29" w16cid:durableId="1808549040">
    <w:abstractNumId w:val="19"/>
  </w:num>
  <w:num w:numId="30" w16cid:durableId="1537620144">
    <w:abstractNumId w:val="26"/>
  </w:num>
  <w:num w:numId="31" w16cid:durableId="18921068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C09"/>
    <w:rsid w:val="0000094C"/>
    <w:rsid w:val="00001D92"/>
    <w:rsid w:val="00006755"/>
    <w:rsid w:val="00006858"/>
    <w:rsid w:val="000112B0"/>
    <w:rsid w:val="0001508A"/>
    <w:rsid w:val="00020F8B"/>
    <w:rsid w:val="00023F31"/>
    <w:rsid w:val="000251EC"/>
    <w:rsid w:val="0003279C"/>
    <w:rsid w:val="0003736D"/>
    <w:rsid w:val="000373D1"/>
    <w:rsid w:val="00041A0E"/>
    <w:rsid w:val="00041B98"/>
    <w:rsid w:val="0004215A"/>
    <w:rsid w:val="000425B1"/>
    <w:rsid w:val="00044080"/>
    <w:rsid w:val="00044567"/>
    <w:rsid w:val="0004683A"/>
    <w:rsid w:val="00047134"/>
    <w:rsid w:val="0005013C"/>
    <w:rsid w:val="000516F2"/>
    <w:rsid w:val="00061583"/>
    <w:rsid w:val="00061D21"/>
    <w:rsid w:val="00062052"/>
    <w:rsid w:val="0006348D"/>
    <w:rsid w:val="00066B17"/>
    <w:rsid w:val="000677B7"/>
    <w:rsid w:val="00070060"/>
    <w:rsid w:val="000735CA"/>
    <w:rsid w:val="0007384A"/>
    <w:rsid w:val="00073F0B"/>
    <w:rsid w:val="000816E3"/>
    <w:rsid w:val="00082020"/>
    <w:rsid w:val="00090FE6"/>
    <w:rsid w:val="00092A4F"/>
    <w:rsid w:val="000932D7"/>
    <w:rsid w:val="00094AE1"/>
    <w:rsid w:val="000A1102"/>
    <w:rsid w:val="000A6028"/>
    <w:rsid w:val="000A70A9"/>
    <w:rsid w:val="000B0254"/>
    <w:rsid w:val="000B0C31"/>
    <w:rsid w:val="000B1241"/>
    <w:rsid w:val="000B25BF"/>
    <w:rsid w:val="000B5863"/>
    <w:rsid w:val="000B5D21"/>
    <w:rsid w:val="000B5E37"/>
    <w:rsid w:val="000B7A3F"/>
    <w:rsid w:val="000C44E4"/>
    <w:rsid w:val="000C60F5"/>
    <w:rsid w:val="000D00DB"/>
    <w:rsid w:val="000D0B46"/>
    <w:rsid w:val="000D0D7A"/>
    <w:rsid w:val="000D1D2A"/>
    <w:rsid w:val="000D2118"/>
    <w:rsid w:val="000D4AD0"/>
    <w:rsid w:val="000D5614"/>
    <w:rsid w:val="000D6222"/>
    <w:rsid w:val="000E1529"/>
    <w:rsid w:val="000E1C43"/>
    <w:rsid w:val="000E3127"/>
    <w:rsid w:val="000E3225"/>
    <w:rsid w:val="000E680B"/>
    <w:rsid w:val="000E711E"/>
    <w:rsid w:val="000F0734"/>
    <w:rsid w:val="000F5930"/>
    <w:rsid w:val="000F6140"/>
    <w:rsid w:val="0010202C"/>
    <w:rsid w:val="001050A9"/>
    <w:rsid w:val="001065D8"/>
    <w:rsid w:val="00106BB0"/>
    <w:rsid w:val="00106CEA"/>
    <w:rsid w:val="00110663"/>
    <w:rsid w:val="001106B8"/>
    <w:rsid w:val="00113DFE"/>
    <w:rsid w:val="00122685"/>
    <w:rsid w:val="00123207"/>
    <w:rsid w:val="001248E5"/>
    <w:rsid w:val="00127ECF"/>
    <w:rsid w:val="0013055F"/>
    <w:rsid w:val="0013237A"/>
    <w:rsid w:val="00133CCA"/>
    <w:rsid w:val="00141640"/>
    <w:rsid w:val="00141E40"/>
    <w:rsid w:val="0014394F"/>
    <w:rsid w:val="001469AA"/>
    <w:rsid w:val="0014769C"/>
    <w:rsid w:val="001478F2"/>
    <w:rsid w:val="00150E34"/>
    <w:rsid w:val="001556C1"/>
    <w:rsid w:val="001572D6"/>
    <w:rsid w:val="00157AB8"/>
    <w:rsid w:val="001601EF"/>
    <w:rsid w:val="00160533"/>
    <w:rsid w:val="001626E4"/>
    <w:rsid w:val="00163455"/>
    <w:rsid w:val="001712E6"/>
    <w:rsid w:val="00171FA9"/>
    <w:rsid w:val="00172AB0"/>
    <w:rsid w:val="00173120"/>
    <w:rsid w:val="0017547C"/>
    <w:rsid w:val="00175FCC"/>
    <w:rsid w:val="001777BA"/>
    <w:rsid w:val="001815CF"/>
    <w:rsid w:val="00183007"/>
    <w:rsid w:val="00186ACE"/>
    <w:rsid w:val="001870EF"/>
    <w:rsid w:val="00187669"/>
    <w:rsid w:val="00190541"/>
    <w:rsid w:val="0019147C"/>
    <w:rsid w:val="00197D56"/>
    <w:rsid w:val="001A1562"/>
    <w:rsid w:val="001A1D9E"/>
    <w:rsid w:val="001A1E9D"/>
    <w:rsid w:val="001A62A0"/>
    <w:rsid w:val="001A73F0"/>
    <w:rsid w:val="001A7D35"/>
    <w:rsid w:val="001B0457"/>
    <w:rsid w:val="001B28B4"/>
    <w:rsid w:val="001B2D8B"/>
    <w:rsid w:val="001B381F"/>
    <w:rsid w:val="001B6A99"/>
    <w:rsid w:val="001C09FF"/>
    <w:rsid w:val="001C0D51"/>
    <w:rsid w:val="001C1410"/>
    <w:rsid w:val="001C1A07"/>
    <w:rsid w:val="001C42AE"/>
    <w:rsid w:val="001D4960"/>
    <w:rsid w:val="001D55C5"/>
    <w:rsid w:val="001D599D"/>
    <w:rsid w:val="001E2E4F"/>
    <w:rsid w:val="001E37B8"/>
    <w:rsid w:val="001F0513"/>
    <w:rsid w:val="001F0E49"/>
    <w:rsid w:val="001F23D3"/>
    <w:rsid w:val="001F2639"/>
    <w:rsid w:val="001F4862"/>
    <w:rsid w:val="001F508E"/>
    <w:rsid w:val="001F5113"/>
    <w:rsid w:val="001F5913"/>
    <w:rsid w:val="0020396F"/>
    <w:rsid w:val="00203FD8"/>
    <w:rsid w:val="0020631A"/>
    <w:rsid w:val="00206C28"/>
    <w:rsid w:val="002143C4"/>
    <w:rsid w:val="00220E22"/>
    <w:rsid w:val="00221045"/>
    <w:rsid w:val="002211AD"/>
    <w:rsid w:val="002218D0"/>
    <w:rsid w:val="00223BED"/>
    <w:rsid w:val="00224387"/>
    <w:rsid w:val="00233208"/>
    <w:rsid w:val="00233784"/>
    <w:rsid w:val="00233CAC"/>
    <w:rsid w:val="002343AD"/>
    <w:rsid w:val="00240761"/>
    <w:rsid w:val="002411D5"/>
    <w:rsid w:val="00243237"/>
    <w:rsid w:val="002442BE"/>
    <w:rsid w:val="00244C7C"/>
    <w:rsid w:val="0024520B"/>
    <w:rsid w:val="002460E7"/>
    <w:rsid w:val="00246699"/>
    <w:rsid w:val="0024703B"/>
    <w:rsid w:val="00247C1F"/>
    <w:rsid w:val="00247E7A"/>
    <w:rsid w:val="00253001"/>
    <w:rsid w:val="0025332E"/>
    <w:rsid w:val="002542D3"/>
    <w:rsid w:val="00255D09"/>
    <w:rsid w:val="00257330"/>
    <w:rsid w:val="0025747D"/>
    <w:rsid w:val="00262338"/>
    <w:rsid w:val="002646C0"/>
    <w:rsid w:val="002648F0"/>
    <w:rsid w:val="00267640"/>
    <w:rsid w:val="00271B7C"/>
    <w:rsid w:val="0027227C"/>
    <w:rsid w:val="00277243"/>
    <w:rsid w:val="00281C5F"/>
    <w:rsid w:val="00281F7C"/>
    <w:rsid w:val="0028453F"/>
    <w:rsid w:val="00284DD4"/>
    <w:rsid w:val="00290510"/>
    <w:rsid w:val="00290755"/>
    <w:rsid w:val="00291AA6"/>
    <w:rsid w:val="00291AB0"/>
    <w:rsid w:val="0029475B"/>
    <w:rsid w:val="002960CF"/>
    <w:rsid w:val="002A0343"/>
    <w:rsid w:val="002A75B1"/>
    <w:rsid w:val="002B13C4"/>
    <w:rsid w:val="002B29DB"/>
    <w:rsid w:val="002B473E"/>
    <w:rsid w:val="002B51D5"/>
    <w:rsid w:val="002C1611"/>
    <w:rsid w:val="002C3C29"/>
    <w:rsid w:val="002C5154"/>
    <w:rsid w:val="002C5891"/>
    <w:rsid w:val="002C7F34"/>
    <w:rsid w:val="002D0597"/>
    <w:rsid w:val="002E0836"/>
    <w:rsid w:val="002E1229"/>
    <w:rsid w:val="002E15A2"/>
    <w:rsid w:val="002E2503"/>
    <w:rsid w:val="002E26A2"/>
    <w:rsid w:val="002E28E8"/>
    <w:rsid w:val="002E33C0"/>
    <w:rsid w:val="002E49DA"/>
    <w:rsid w:val="002E4AD6"/>
    <w:rsid w:val="002E7E4F"/>
    <w:rsid w:val="002F1749"/>
    <w:rsid w:val="002F1799"/>
    <w:rsid w:val="002F2483"/>
    <w:rsid w:val="002F4231"/>
    <w:rsid w:val="002F6699"/>
    <w:rsid w:val="00302032"/>
    <w:rsid w:val="003020CB"/>
    <w:rsid w:val="003020E4"/>
    <w:rsid w:val="00303833"/>
    <w:rsid w:val="00304D20"/>
    <w:rsid w:val="00306D07"/>
    <w:rsid w:val="00310E87"/>
    <w:rsid w:val="0031206C"/>
    <w:rsid w:val="00312F78"/>
    <w:rsid w:val="00314211"/>
    <w:rsid w:val="00314C54"/>
    <w:rsid w:val="003211C9"/>
    <w:rsid w:val="00322D5A"/>
    <w:rsid w:val="00323BC6"/>
    <w:rsid w:val="00325FF7"/>
    <w:rsid w:val="00327248"/>
    <w:rsid w:val="00327ED1"/>
    <w:rsid w:val="003334FB"/>
    <w:rsid w:val="0033691C"/>
    <w:rsid w:val="00337A74"/>
    <w:rsid w:val="00343FBC"/>
    <w:rsid w:val="00345959"/>
    <w:rsid w:val="00345C09"/>
    <w:rsid w:val="00347164"/>
    <w:rsid w:val="003508D5"/>
    <w:rsid w:val="003528EE"/>
    <w:rsid w:val="00353197"/>
    <w:rsid w:val="0035505D"/>
    <w:rsid w:val="003555D9"/>
    <w:rsid w:val="00356867"/>
    <w:rsid w:val="00357D26"/>
    <w:rsid w:val="00357F1F"/>
    <w:rsid w:val="00361536"/>
    <w:rsid w:val="00364802"/>
    <w:rsid w:val="00365BC2"/>
    <w:rsid w:val="00365D93"/>
    <w:rsid w:val="003662E7"/>
    <w:rsid w:val="00367DCE"/>
    <w:rsid w:val="00372049"/>
    <w:rsid w:val="00373708"/>
    <w:rsid w:val="003767A5"/>
    <w:rsid w:val="003838F9"/>
    <w:rsid w:val="00384E09"/>
    <w:rsid w:val="00386704"/>
    <w:rsid w:val="00390BE4"/>
    <w:rsid w:val="00393056"/>
    <w:rsid w:val="0039568B"/>
    <w:rsid w:val="0039633F"/>
    <w:rsid w:val="00397C74"/>
    <w:rsid w:val="003A1A63"/>
    <w:rsid w:val="003A2285"/>
    <w:rsid w:val="003A28D4"/>
    <w:rsid w:val="003A3017"/>
    <w:rsid w:val="003A484E"/>
    <w:rsid w:val="003A4A09"/>
    <w:rsid w:val="003A4B1E"/>
    <w:rsid w:val="003A4B8B"/>
    <w:rsid w:val="003A6F5F"/>
    <w:rsid w:val="003B1E91"/>
    <w:rsid w:val="003B2A8E"/>
    <w:rsid w:val="003B2FB9"/>
    <w:rsid w:val="003B3357"/>
    <w:rsid w:val="003B5F48"/>
    <w:rsid w:val="003B609F"/>
    <w:rsid w:val="003B7380"/>
    <w:rsid w:val="003B7CCC"/>
    <w:rsid w:val="003B7D42"/>
    <w:rsid w:val="003C1D1C"/>
    <w:rsid w:val="003C4851"/>
    <w:rsid w:val="003C5114"/>
    <w:rsid w:val="003C51E1"/>
    <w:rsid w:val="003C7046"/>
    <w:rsid w:val="003D3C21"/>
    <w:rsid w:val="003D640B"/>
    <w:rsid w:val="003E2650"/>
    <w:rsid w:val="003E2B34"/>
    <w:rsid w:val="003E5365"/>
    <w:rsid w:val="003E5A79"/>
    <w:rsid w:val="003E64A8"/>
    <w:rsid w:val="003F094E"/>
    <w:rsid w:val="003F0975"/>
    <w:rsid w:val="003F31D5"/>
    <w:rsid w:val="003F49F1"/>
    <w:rsid w:val="00400665"/>
    <w:rsid w:val="00400821"/>
    <w:rsid w:val="00401130"/>
    <w:rsid w:val="0040149D"/>
    <w:rsid w:val="00403D72"/>
    <w:rsid w:val="00405E5B"/>
    <w:rsid w:val="004076DA"/>
    <w:rsid w:val="00410092"/>
    <w:rsid w:val="0041195D"/>
    <w:rsid w:val="00413183"/>
    <w:rsid w:val="00414600"/>
    <w:rsid w:val="00415246"/>
    <w:rsid w:val="004158EA"/>
    <w:rsid w:val="00422994"/>
    <w:rsid w:val="00422E89"/>
    <w:rsid w:val="004253D3"/>
    <w:rsid w:val="00426552"/>
    <w:rsid w:val="00427136"/>
    <w:rsid w:val="00431103"/>
    <w:rsid w:val="00432A57"/>
    <w:rsid w:val="00434645"/>
    <w:rsid w:val="00435E92"/>
    <w:rsid w:val="00436A8A"/>
    <w:rsid w:val="004378A7"/>
    <w:rsid w:val="00443BF0"/>
    <w:rsid w:val="00444850"/>
    <w:rsid w:val="0044665D"/>
    <w:rsid w:val="00446CA8"/>
    <w:rsid w:val="00447A47"/>
    <w:rsid w:val="00456327"/>
    <w:rsid w:val="0046015B"/>
    <w:rsid w:val="0046055B"/>
    <w:rsid w:val="00460BCE"/>
    <w:rsid w:val="00461DD3"/>
    <w:rsid w:val="00461E88"/>
    <w:rsid w:val="004622EF"/>
    <w:rsid w:val="00467199"/>
    <w:rsid w:val="00467AA9"/>
    <w:rsid w:val="00470D93"/>
    <w:rsid w:val="00471C3D"/>
    <w:rsid w:val="00472F23"/>
    <w:rsid w:val="00473795"/>
    <w:rsid w:val="00473FD8"/>
    <w:rsid w:val="004813C4"/>
    <w:rsid w:val="00481707"/>
    <w:rsid w:val="00484239"/>
    <w:rsid w:val="004853BE"/>
    <w:rsid w:val="00487358"/>
    <w:rsid w:val="004911BE"/>
    <w:rsid w:val="004911F6"/>
    <w:rsid w:val="0049221B"/>
    <w:rsid w:val="00493128"/>
    <w:rsid w:val="004946B1"/>
    <w:rsid w:val="00497CCF"/>
    <w:rsid w:val="004A72B6"/>
    <w:rsid w:val="004B1EBC"/>
    <w:rsid w:val="004B3BEE"/>
    <w:rsid w:val="004B3FF7"/>
    <w:rsid w:val="004B6797"/>
    <w:rsid w:val="004B68A4"/>
    <w:rsid w:val="004B6A90"/>
    <w:rsid w:val="004C07AF"/>
    <w:rsid w:val="004C0913"/>
    <w:rsid w:val="004C0F59"/>
    <w:rsid w:val="004C1B8D"/>
    <w:rsid w:val="004C4C8A"/>
    <w:rsid w:val="004C4E10"/>
    <w:rsid w:val="004C63FC"/>
    <w:rsid w:val="004C6836"/>
    <w:rsid w:val="004D36BA"/>
    <w:rsid w:val="004D746F"/>
    <w:rsid w:val="004E2B75"/>
    <w:rsid w:val="004E3D0E"/>
    <w:rsid w:val="004E6F1B"/>
    <w:rsid w:val="004F63AA"/>
    <w:rsid w:val="004F6779"/>
    <w:rsid w:val="00505E44"/>
    <w:rsid w:val="00505EFE"/>
    <w:rsid w:val="00507FCC"/>
    <w:rsid w:val="00511046"/>
    <w:rsid w:val="00513841"/>
    <w:rsid w:val="0051430C"/>
    <w:rsid w:val="00517899"/>
    <w:rsid w:val="00527116"/>
    <w:rsid w:val="005271E4"/>
    <w:rsid w:val="00527605"/>
    <w:rsid w:val="005279DC"/>
    <w:rsid w:val="00527DF9"/>
    <w:rsid w:val="005341D8"/>
    <w:rsid w:val="005366DC"/>
    <w:rsid w:val="0053693F"/>
    <w:rsid w:val="00536965"/>
    <w:rsid w:val="00536FC7"/>
    <w:rsid w:val="00537640"/>
    <w:rsid w:val="00537B40"/>
    <w:rsid w:val="00537E54"/>
    <w:rsid w:val="00541521"/>
    <w:rsid w:val="00542298"/>
    <w:rsid w:val="00546F9C"/>
    <w:rsid w:val="005532E7"/>
    <w:rsid w:val="00564BFF"/>
    <w:rsid w:val="005655AF"/>
    <w:rsid w:val="00565712"/>
    <w:rsid w:val="00570018"/>
    <w:rsid w:val="00570E1A"/>
    <w:rsid w:val="00571257"/>
    <w:rsid w:val="005718A7"/>
    <w:rsid w:val="00574CB3"/>
    <w:rsid w:val="00574CED"/>
    <w:rsid w:val="00575B2B"/>
    <w:rsid w:val="00576BD4"/>
    <w:rsid w:val="00577094"/>
    <w:rsid w:val="00580238"/>
    <w:rsid w:val="005810B8"/>
    <w:rsid w:val="005826DD"/>
    <w:rsid w:val="005850F6"/>
    <w:rsid w:val="005876A1"/>
    <w:rsid w:val="00590233"/>
    <w:rsid w:val="005904C1"/>
    <w:rsid w:val="00593177"/>
    <w:rsid w:val="005948FE"/>
    <w:rsid w:val="00596BF3"/>
    <w:rsid w:val="005A142A"/>
    <w:rsid w:val="005A1774"/>
    <w:rsid w:val="005A44BC"/>
    <w:rsid w:val="005A56EF"/>
    <w:rsid w:val="005A65D1"/>
    <w:rsid w:val="005A65E6"/>
    <w:rsid w:val="005A6D73"/>
    <w:rsid w:val="005B0230"/>
    <w:rsid w:val="005B2804"/>
    <w:rsid w:val="005B5475"/>
    <w:rsid w:val="005B72F8"/>
    <w:rsid w:val="005C1364"/>
    <w:rsid w:val="005C2F9C"/>
    <w:rsid w:val="005D2D17"/>
    <w:rsid w:val="005D3056"/>
    <w:rsid w:val="005D5C3D"/>
    <w:rsid w:val="005D7FAB"/>
    <w:rsid w:val="005F0561"/>
    <w:rsid w:val="005F1B21"/>
    <w:rsid w:val="005F3B3D"/>
    <w:rsid w:val="005F3F67"/>
    <w:rsid w:val="005F7098"/>
    <w:rsid w:val="005F7FBD"/>
    <w:rsid w:val="00602173"/>
    <w:rsid w:val="006037F7"/>
    <w:rsid w:val="00604311"/>
    <w:rsid w:val="00604990"/>
    <w:rsid w:val="006057BC"/>
    <w:rsid w:val="0061003E"/>
    <w:rsid w:val="00610C47"/>
    <w:rsid w:val="00615280"/>
    <w:rsid w:val="0061705E"/>
    <w:rsid w:val="00621EB4"/>
    <w:rsid w:val="006240A0"/>
    <w:rsid w:val="00630055"/>
    <w:rsid w:val="0063183E"/>
    <w:rsid w:val="00631EAA"/>
    <w:rsid w:val="00632E2F"/>
    <w:rsid w:val="006338C3"/>
    <w:rsid w:val="00633A34"/>
    <w:rsid w:val="0063458F"/>
    <w:rsid w:val="006352A5"/>
    <w:rsid w:val="006356E0"/>
    <w:rsid w:val="006374BB"/>
    <w:rsid w:val="00644C11"/>
    <w:rsid w:val="006456E8"/>
    <w:rsid w:val="00647904"/>
    <w:rsid w:val="00651478"/>
    <w:rsid w:val="00652EE3"/>
    <w:rsid w:val="0065422A"/>
    <w:rsid w:val="00661D65"/>
    <w:rsid w:val="00662FEC"/>
    <w:rsid w:val="00663E22"/>
    <w:rsid w:val="00664F66"/>
    <w:rsid w:val="00666026"/>
    <w:rsid w:val="00667041"/>
    <w:rsid w:val="006675DC"/>
    <w:rsid w:val="00667A91"/>
    <w:rsid w:val="00670209"/>
    <w:rsid w:val="0067234C"/>
    <w:rsid w:val="00672ED5"/>
    <w:rsid w:val="006736E6"/>
    <w:rsid w:val="00674802"/>
    <w:rsid w:val="006763E9"/>
    <w:rsid w:val="00682758"/>
    <w:rsid w:val="00683E5D"/>
    <w:rsid w:val="006849F8"/>
    <w:rsid w:val="006871D0"/>
    <w:rsid w:val="00687587"/>
    <w:rsid w:val="00690678"/>
    <w:rsid w:val="00694B04"/>
    <w:rsid w:val="006A2E48"/>
    <w:rsid w:val="006A3B64"/>
    <w:rsid w:val="006A45A1"/>
    <w:rsid w:val="006A5E71"/>
    <w:rsid w:val="006B02DA"/>
    <w:rsid w:val="006B123E"/>
    <w:rsid w:val="006B390D"/>
    <w:rsid w:val="006B4F4E"/>
    <w:rsid w:val="006B515B"/>
    <w:rsid w:val="006B5CFE"/>
    <w:rsid w:val="006C0811"/>
    <w:rsid w:val="006C21FD"/>
    <w:rsid w:val="006C482E"/>
    <w:rsid w:val="006C4C19"/>
    <w:rsid w:val="006C5364"/>
    <w:rsid w:val="006C5731"/>
    <w:rsid w:val="006C5B82"/>
    <w:rsid w:val="006D0961"/>
    <w:rsid w:val="006D0BA7"/>
    <w:rsid w:val="006D34D5"/>
    <w:rsid w:val="006D56B9"/>
    <w:rsid w:val="006D6E25"/>
    <w:rsid w:val="006D7209"/>
    <w:rsid w:val="006E0BAA"/>
    <w:rsid w:val="006E2450"/>
    <w:rsid w:val="006E2903"/>
    <w:rsid w:val="006E3BD2"/>
    <w:rsid w:val="006E4B06"/>
    <w:rsid w:val="006F046E"/>
    <w:rsid w:val="006F1BDC"/>
    <w:rsid w:val="006F40F2"/>
    <w:rsid w:val="006F4B27"/>
    <w:rsid w:val="00701EEA"/>
    <w:rsid w:val="00703AD1"/>
    <w:rsid w:val="00703DB7"/>
    <w:rsid w:val="00705838"/>
    <w:rsid w:val="007120DB"/>
    <w:rsid w:val="00713EE1"/>
    <w:rsid w:val="007141D9"/>
    <w:rsid w:val="00715958"/>
    <w:rsid w:val="007202F6"/>
    <w:rsid w:val="00721A0D"/>
    <w:rsid w:val="00723C27"/>
    <w:rsid w:val="00724C79"/>
    <w:rsid w:val="007268B2"/>
    <w:rsid w:val="00726BDB"/>
    <w:rsid w:val="007276AF"/>
    <w:rsid w:val="007301B8"/>
    <w:rsid w:val="00730980"/>
    <w:rsid w:val="0073228A"/>
    <w:rsid w:val="00734144"/>
    <w:rsid w:val="007343AF"/>
    <w:rsid w:val="007343D2"/>
    <w:rsid w:val="00740A4C"/>
    <w:rsid w:val="00741C1E"/>
    <w:rsid w:val="00742257"/>
    <w:rsid w:val="007449EC"/>
    <w:rsid w:val="00744AE8"/>
    <w:rsid w:val="00750515"/>
    <w:rsid w:val="00750B84"/>
    <w:rsid w:val="00751B8E"/>
    <w:rsid w:val="00753340"/>
    <w:rsid w:val="0075445B"/>
    <w:rsid w:val="0075526E"/>
    <w:rsid w:val="007557D6"/>
    <w:rsid w:val="00755B37"/>
    <w:rsid w:val="0076001D"/>
    <w:rsid w:val="00760FE5"/>
    <w:rsid w:val="00763358"/>
    <w:rsid w:val="00764087"/>
    <w:rsid w:val="00767D87"/>
    <w:rsid w:val="00770363"/>
    <w:rsid w:val="007705AE"/>
    <w:rsid w:val="00770D6F"/>
    <w:rsid w:val="00773DCA"/>
    <w:rsid w:val="00790F73"/>
    <w:rsid w:val="00795692"/>
    <w:rsid w:val="00795BED"/>
    <w:rsid w:val="007A13C0"/>
    <w:rsid w:val="007A2F2C"/>
    <w:rsid w:val="007A453D"/>
    <w:rsid w:val="007A4C4C"/>
    <w:rsid w:val="007A57A8"/>
    <w:rsid w:val="007B0B3F"/>
    <w:rsid w:val="007B0C3D"/>
    <w:rsid w:val="007B13D7"/>
    <w:rsid w:val="007B1C1C"/>
    <w:rsid w:val="007B3C3E"/>
    <w:rsid w:val="007B4CD2"/>
    <w:rsid w:val="007B63F2"/>
    <w:rsid w:val="007C2FE3"/>
    <w:rsid w:val="007C3101"/>
    <w:rsid w:val="007C6A6E"/>
    <w:rsid w:val="007D25AD"/>
    <w:rsid w:val="007D2764"/>
    <w:rsid w:val="007D4551"/>
    <w:rsid w:val="007E136D"/>
    <w:rsid w:val="007E27ED"/>
    <w:rsid w:val="007E32DB"/>
    <w:rsid w:val="007E3946"/>
    <w:rsid w:val="007E4546"/>
    <w:rsid w:val="007E53EA"/>
    <w:rsid w:val="007E55F0"/>
    <w:rsid w:val="007E5977"/>
    <w:rsid w:val="007E655F"/>
    <w:rsid w:val="007E6A95"/>
    <w:rsid w:val="007E721D"/>
    <w:rsid w:val="007E7280"/>
    <w:rsid w:val="007E76FE"/>
    <w:rsid w:val="007F118E"/>
    <w:rsid w:val="007F1549"/>
    <w:rsid w:val="007F1FDC"/>
    <w:rsid w:val="007F5CA2"/>
    <w:rsid w:val="00800588"/>
    <w:rsid w:val="00804FBE"/>
    <w:rsid w:val="00810344"/>
    <w:rsid w:val="00813355"/>
    <w:rsid w:val="00813B0F"/>
    <w:rsid w:val="008211FD"/>
    <w:rsid w:val="00825F3A"/>
    <w:rsid w:val="00826F5D"/>
    <w:rsid w:val="00827D21"/>
    <w:rsid w:val="00830164"/>
    <w:rsid w:val="00833223"/>
    <w:rsid w:val="008344BD"/>
    <w:rsid w:val="008347DD"/>
    <w:rsid w:val="008357FC"/>
    <w:rsid w:val="008403E6"/>
    <w:rsid w:val="008421E2"/>
    <w:rsid w:val="0084373E"/>
    <w:rsid w:val="00847762"/>
    <w:rsid w:val="00850040"/>
    <w:rsid w:val="00855A90"/>
    <w:rsid w:val="00860D58"/>
    <w:rsid w:val="00862151"/>
    <w:rsid w:val="008622AB"/>
    <w:rsid w:val="00862B7D"/>
    <w:rsid w:val="008631AE"/>
    <w:rsid w:val="008639C0"/>
    <w:rsid w:val="00865095"/>
    <w:rsid w:val="00870366"/>
    <w:rsid w:val="008714E1"/>
    <w:rsid w:val="008738D7"/>
    <w:rsid w:val="008749A3"/>
    <w:rsid w:val="00876CEE"/>
    <w:rsid w:val="00882E13"/>
    <w:rsid w:val="00883F59"/>
    <w:rsid w:val="00886D5B"/>
    <w:rsid w:val="00886F25"/>
    <w:rsid w:val="00891704"/>
    <w:rsid w:val="00893FD4"/>
    <w:rsid w:val="00894603"/>
    <w:rsid w:val="0089472F"/>
    <w:rsid w:val="008947DB"/>
    <w:rsid w:val="0089516F"/>
    <w:rsid w:val="00897671"/>
    <w:rsid w:val="008977AD"/>
    <w:rsid w:val="008A01D5"/>
    <w:rsid w:val="008A0C67"/>
    <w:rsid w:val="008A24F3"/>
    <w:rsid w:val="008A26C2"/>
    <w:rsid w:val="008A2763"/>
    <w:rsid w:val="008A295B"/>
    <w:rsid w:val="008A32BA"/>
    <w:rsid w:val="008A5A08"/>
    <w:rsid w:val="008B0834"/>
    <w:rsid w:val="008B28A8"/>
    <w:rsid w:val="008B2B33"/>
    <w:rsid w:val="008B405E"/>
    <w:rsid w:val="008B4EC4"/>
    <w:rsid w:val="008B5A01"/>
    <w:rsid w:val="008B68A5"/>
    <w:rsid w:val="008B69B3"/>
    <w:rsid w:val="008C1624"/>
    <w:rsid w:val="008D51BB"/>
    <w:rsid w:val="008D5357"/>
    <w:rsid w:val="008D7BCF"/>
    <w:rsid w:val="008E09B6"/>
    <w:rsid w:val="008E22E4"/>
    <w:rsid w:val="008E2AFE"/>
    <w:rsid w:val="008E358C"/>
    <w:rsid w:val="008E38C4"/>
    <w:rsid w:val="008F0227"/>
    <w:rsid w:val="008F1A8C"/>
    <w:rsid w:val="008F666F"/>
    <w:rsid w:val="008F74DC"/>
    <w:rsid w:val="0090495A"/>
    <w:rsid w:val="00905232"/>
    <w:rsid w:val="00907200"/>
    <w:rsid w:val="00911845"/>
    <w:rsid w:val="009123E5"/>
    <w:rsid w:val="0091245F"/>
    <w:rsid w:val="0091402D"/>
    <w:rsid w:val="00914CA6"/>
    <w:rsid w:val="00915D20"/>
    <w:rsid w:val="00921845"/>
    <w:rsid w:val="00924212"/>
    <w:rsid w:val="0092552B"/>
    <w:rsid w:val="00925F10"/>
    <w:rsid w:val="00932344"/>
    <w:rsid w:val="00936BD6"/>
    <w:rsid w:val="0094306A"/>
    <w:rsid w:val="00944E28"/>
    <w:rsid w:val="009452D9"/>
    <w:rsid w:val="00951A74"/>
    <w:rsid w:val="00951D1E"/>
    <w:rsid w:val="009524A5"/>
    <w:rsid w:val="0095308F"/>
    <w:rsid w:val="009536DB"/>
    <w:rsid w:val="00953D0C"/>
    <w:rsid w:val="0095482D"/>
    <w:rsid w:val="0095786D"/>
    <w:rsid w:val="009632BB"/>
    <w:rsid w:val="0096539A"/>
    <w:rsid w:val="009659CC"/>
    <w:rsid w:val="00965A9F"/>
    <w:rsid w:val="009704E8"/>
    <w:rsid w:val="009719D8"/>
    <w:rsid w:val="00972A65"/>
    <w:rsid w:val="00973137"/>
    <w:rsid w:val="009804A9"/>
    <w:rsid w:val="00982146"/>
    <w:rsid w:val="009822F2"/>
    <w:rsid w:val="00984C3F"/>
    <w:rsid w:val="00991284"/>
    <w:rsid w:val="00994C2F"/>
    <w:rsid w:val="009953AC"/>
    <w:rsid w:val="009A2BF9"/>
    <w:rsid w:val="009A52C0"/>
    <w:rsid w:val="009A6F8F"/>
    <w:rsid w:val="009A7C47"/>
    <w:rsid w:val="009B2158"/>
    <w:rsid w:val="009B2F64"/>
    <w:rsid w:val="009B4A35"/>
    <w:rsid w:val="009B583B"/>
    <w:rsid w:val="009C01D9"/>
    <w:rsid w:val="009C02B6"/>
    <w:rsid w:val="009C2583"/>
    <w:rsid w:val="009C3290"/>
    <w:rsid w:val="009C4929"/>
    <w:rsid w:val="009C5B67"/>
    <w:rsid w:val="009C7958"/>
    <w:rsid w:val="009D4260"/>
    <w:rsid w:val="009D4327"/>
    <w:rsid w:val="009D4555"/>
    <w:rsid w:val="009D47A9"/>
    <w:rsid w:val="009D554F"/>
    <w:rsid w:val="009D6C5F"/>
    <w:rsid w:val="009D7D5E"/>
    <w:rsid w:val="009E05FD"/>
    <w:rsid w:val="009E249F"/>
    <w:rsid w:val="009E25E4"/>
    <w:rsid w:val="009E2ED2"/>
    <w:rsid w:val="009E5DA8"/>
    <w:rsid w:val="009E7F4C"/>
    <w:rsid w:val="009F2212"/>
    <w:rsid w:val="009F2332"/>
    <w:rsid w:val="009F67DF"/>
    <w:rsid w:val="009F7DD5"/>
    <w:rsid w:val="00A00240"/>
    <w:rsid w:val="00A02302"/>
    <w:rsid w:val="00A02E3B"/>
    <w:rsid w:val="00A04B73"/>
    <w:rsid w:val="00A06FA9"/>
    <w:rsid w:val="00A071D6"/>
    <w:rsid w:val="00A11C25"/>
    <w:rsid w:val="00A15730"/>
    <w:rsid w:val="00A160ED"/>
    <w:rsid w:val="00A21269"/>
    <w:rsid w:val="00A2166C"/>
    <w:rsid w:val="00A24F48"/>
    <w:rsid w:val="00A27A08"/>
    <w:rsid w:val="00A332C8"/>
    <w:rsid w:val="00A3337D"/>
    <w:rsid w:val="00A370D3"/>
    <w:rsid w:val="00A4062A"/>
    <w:rsid w:val="00A4400D"/>
    <w:rsid w:val="00A444F3"/>
    <w:rsid w:val="00A462EE"/>
    <w:rsid w:val="00A46452"/>
    <w:rsid w:val="00A506CA"/>
    <w:rsid w:val="00A509AC"/>
    <w:rsid w:val="00A5232D"/>
    <w:rsid w:val="00A53251"/>
    <w:rsid w:val="00A54002"/>
    <w:rsid w:val="00A5447F"/>
    <w:rsid w:val="00A55269"/>
    <w:rsid w:val="00A56BD7"/>
    <w:rsid w:val="00A60B2A"/>
    <w:rsid w:val="00A6513D"/>
    <w:rsid w:val="00A6564D"/>
    <w:rsid w:val="00A67E8F"/>
    <w:rsid w:val="00A70321"/>
    <w:rsid w:val="00A738CC"/>
    <w:rsid w:val="00A75333"/>
    <w:rsid w:val="00A76FB2"/>
    <w:rsid w:val="00A801C2"/>
    <w:rsid w:val="00A80338"/>
    <w:rsid w:val="00A81F71"/>
    <w:rsid w:val="00A84B88"/>
    <w:rsid w:val="00A85265"/>
    <w:rsid w:val="00A91057"/>
    <w:rsid w:val="00A922BD"/>
    <w:rsid w:val="00A9357C"/>
    <w:rsid w:val="00A96CAC"/>
    <w:rsid w:val="00A96EC1"/>
    <w:rsid w:val="00A97179"/>
    <w:rsid w:val="00A97670"/>
    <w:rsid w:val="00AA056E"/>
    <w:rsid w:val="00AA0F52"/>
    <w:rsid w:val="00AA0FD8"/>
    <w:rsid w:val="00AA2775"/>
    <w:rsid w:val="00AA5CD4"/>
    <w:rsid w:val="00AA60EA"/>
    <w:rsid w:val="00AA6167"/>
    <w:rsid w:val="00AA7297"/>
    <w:rsid w:val="00AA7D88"/>
    <w:rsid w:val="00AA7F38"/>
    <w:rsid w:val="00AB2F16"/>
    <w:rsid w:val="00AB3625"/>
    <w:rsid w:val="00AB56F6"/>
    <w:rsid w:val="00AB7C2E"/>
    <w:rsid w:val="00AB7C50"/>
    <w:rsid w:val="00AC1F0C"/>
    <w:rsid w:val="00AC6795"/>
    <w:rsid w:val="00AC7276"/>
    <w:rsid w:val="00AC7614"/>
    <w:rsid w:val="00AC7A35"/>
    <w:rsid w:val="00AC7C26"/>
    <w:rsid w:val="00AD01F3"/>
    <w:rsid w:val="00AD0745"/>
    <w:rsid w:val="00AD0BBD"/>
    <w:rsid w:val="00AD3A85"/>
    <w:rsid w:val="00AD5EE4"/>
    <w:rsid w:val="00AD7647"/>
    <w:rsid w:val="00AD7E66"/>
    <w:rsid w:val="00AE1691"/>
    <w:rsid w:val="00AE30DD"/>
    <w:rsid w:val="00AE3E5F"/>
    <w:rsid w:val="00AF09C9"/>
    <w:rsid w:val="00AF3F81"/>
    <w:rsid w:val="00AF5E24"/>
    <w:rsid w:val="00AF67C4"/>
    <w:rsid w:val="00AF714B"/>
    <w:rsid w:val="00B016D0"/>
    <w:rsid w:val="00B039FA"/>
    <w:rsid w:val="00B12139"/>
    <w:rsid w:val="00B157B2"/>
    <w:rsid w:val="00B21D56"/>
    <w:rsid w:val="00B23601"/>
    <w:rsid w:val="00B25C01"/>
    <w:rsid w:val="00B264E7"/>
    <w:rsid w:val="00B27903"/>
    <w:rsid w:val="00B27BB3"/>
    <w:rsid w:val="00B31069"/>
    <w:rsid w:val="00B33352"/>
    <w:rsid w:val="00B33B30"/>
    <w:rsid w:val="00B36C50"/>
    <w:rsid w:val="00B400A2"/>
    <w:rsid w:val="00B420A5"/>
    <w:rsid w:val="00B43CE5"/>
    <w:rsid w:val="00B43DDA"/>
    <w:rsid w:val="00B53752"/>
    <w:rsid w:val="00B5405A"/>
    <w:rsid w:val="00B5535E"/>
    <w:rsid w:val="00B575F0"/>
    <w:rsid w:val="00B576D6"/>
    <w:rsid w:val="00B576F5"/>
    <w:rsid w:val="00B62E23"/>
    <w:rsid w:val="00B63596"/>
    <w:rsid w:val="00B63D27"/>
    <w:rsid w:val="00B70866"/>
    <w:rsid w:val="00B715E8"/>
    <w:rsid w:val="00B732CC"/>
    <w:rsid w:val="00B733BB"/>
    <w:rsid w:val="00B76395"/>
    <w:rsid w:val="00B763F3"/>
    <w:rsid w:val="00B76694"/>
    <w:rsid w:val="00B83E4F"/>
    <w:rsid w:val="00B84084"/>
    <w:rsid w:val="00B86A5E"/>
    <w:rsid w:val="00B9159D"/>
    <w:rsid w:val="00B917C0"/>
    <w:rsid w:val="00B945FD"/>
    <w:rsid w:val="00B94AE0"/>
    <w:rsid w:val="00B94F59"/>
    <w:rsid w:val="00B955F9"/>
    <w:rsid w:val="00B96DB5"/>
    <w:rsid w:val="00B9760B"/>
    <w:rsid w:val="00BA180B"/>
    <w:rsid w:val="00BA2E6E"/>
    <w:rsid w:val="00BA5656"/>
    <w:rsid w:val="00BB1D30"/>
    <w:rsid w:val="00BB2408"/>
    <w:rsid w:val="00BB2A45"/>
    <w:rsid w:val="00BB4137"/>
    <w:rsid w:val="00BB58C9"/>
    <w:rsid w:val="00BC1DF8"/>
    <w:rsid w:val="00BC43F1"/>
    <w:rsid w:val="00BD29D0"/>
    <w:rsid w:val="00BD4376"/>
    <w:rsid w:val="00BE0ADF"/>
    <w:rsid w:val="00BE0FA1"/>
    <w:rsid w:val="00BE1E94"/>
    <w:rsid w:val="00BE269E"/>
    <w:rsid w:val="00BE33ED"/>
    <w:rsid w:val="00BE447F"/>
    <w:rsid w:val="00BF193F"/>
    <w:rsid w:val="00BF415F"/>
    <w:rsid w:val="00BF7538"/>
    <w:rsid w:val="00BF7F36"/>
    <w:rsid w:val="00C01196"/>
    <w:rsid w:val="00C0126C"/>
    <w:rsid w:val="00C01BFE"/>
    <w:rsid w:val="00C067E9"/>
    <w:rsid w:val="00C06AB3"/>
    <w:rsid w:val="00C06D22"/>
    <w:rsid w:val="00C10C7A"/>
    <w:rsid w:val="00C14A2D"/>
    <w:rsid w:val="00C17A0F"/>
    <w:rsid w:val="00C206C8"/>
    <w:rsid w:val="00C207E7"/>
    <w:rsid w:val="00C21853"/>
    <w:rsid w:val="00C22ED9"/>
    <w:rsid w:val="00C235A2"/>
    <w:rsid w:val="00C23A1D"/>
    <w:rsid w:val="00C249C3"/>
    <w:rsid w:val="00C25307"/>
    <w:rsid w:val="00C258CA"/>
    <w:rsid w:val="00C27321"/>
    <w:rsid w:val="00C27FEF"/>
    <w:rsid w:val="00C315D6"/>
    <w:rsid w:val="00C4248B"/>
    <w:rsid w:val="00C44392"/>
    <w:rsid w:val="00C44DEC"/>
    <w:rsid w:val="00C464C5"/>
    <w:rsid w:val="00C51002"/>
    <w:rsid w:val="00C52D54"/>
    <w:rsid w:val="00C549FF"/>
    <w:rsid w:val="00C54F96"/>
    <w:rsid w:val="00C5590B"/>
    <w:rsid w:val="00C56D33"/>
    <w:rsid w:val="00C64789"/>
    <w:rsid w:val="00C649FC"/>
    <w:rsid w:val="00C64B36"/>
    <w:rsid w:val="00C65D6C"/>
    <w:rsid w:val="00C74F78"/>
    <w:rsid w:val="00C75619"/>
    <w:rsid w:val="00C76427"/>
    <w:rsid w:val="00C800DF"/>
    <w:rsid w:val="00C8014E"/>
    <w:rsid w:val="00C8507B"/>
    <w:rsid w:val="00C87049"/>
    <w:rsid w:val="00C9281B"/>
    <w:rsid w:val="00C94FEA"/>
    <w:rsid w:val="00CA12CD"/>
    <w:rsid w:val="00CA2422"/>
    <w:rsid w:val="00CA3289"/>
    <w:rsid w:val="00CA414B"/>
    <w:rsid w:val="00CB0AE3"/>
    <w:rsid w:val="00CB4416"/>
    <w:rsid w:val="00CB59BB"/>
    <w:rsid w:val="00CB771B"/>
    <w:rsid w:val="00CC2581"/>
    <w:rsid w:val="00CC27B5"/>
    <w:rsid w:val="00CD1535"/>
    <w:rsid w:val="00CD4D9B"/>
    <w:rsid w:val="00CD4FF9"/>
    <w:rsid w:val="00CE1A05"/>
    <w:rsid w:val="00CE235C"/>
    <w:rsid w:val="00CE2E57"/>
    <w:rsid w:val="00CE2F84"/>
    <w:rsid w:val="00CE4FBF"/>
    <w:rsid w:val="00CE7830"/>
    <w:rsid w:val="00CF1420"/>
    <w:rsid w:val="00CF186A"/>
    <w:rsid w:val="00CF4682"/>
    <w:rsid w:val="00D07216"/>
    <w:rsid w:val="00D0762E"/>
    <w:rsid w:val="00D07B68"/>
    <w:rsid w:val="00D07C50"/>
    <w:rsid w:val="00D10ED0"/>
    <w:rsid w:val="00D11175"/>
    <w:rsid w:val="00D12814"/>
    <w:rsid w:val="00D12FF8"/>
    <w:rsid w:val="00D171EA"/>
    <w:rsid w:val="00D175DD"/>
    <w:rsid w:val="00D20CC6"/>
    <w:rsid w:val="00D20E2E"/>
    <w:rsid w:val="00D2147D"/>
    <w:rsid w:val="00D24365"/>
    <w:rsid w:val="00D24392"/>
    <w:rsid w:val="00D2758F"/>
    <w:rsid w:val="00D320B9"/>
    <w:rsid w:val="00D32452"/>
    <w:rsid w:val="00D35C61"/>
    <w:rsid w:val="00D35F37"/>
    <w:rsid w:val="00D43021"/>
    <w:rsid w:val="00D44461"/>
    <w:rsid w:val="00D44B33"/>
    <w:rsid w:val="00D44B97"/>
    <w:rsid w:val="00D45E68"/>
    <w:rsid w:val="00D4762D"/>
    <w:rsid w:val="00D51E8F"/>
    <w:rsid w:val="00D5217F"/>
    <w:rsid w:val="00D57342"/>
    <w:rsid w:val="00D6373D"/>
    <w:rsid w:val="00D649A7"/>
    <w:rsid w:val="00D651A5"/>
    <w:rsid w:val="00D65E7A"/>
    <w:rsid w:val="00D70B72"/>
    <w:rsid w:val="00D71173"/>
    <w:rsid w:val="00D71291"/>
    <w:rsid w:val="00D814C8"/>
    <w:rsid w:val="00D8308D"/>
    <w:rsid w:val="00D8315A"/>
    <w:rsid w:val="00D869A7"/>
    <w:rsid w:val="00D92175"/>
    <w:rsid w:val="00D936F7"/>
    <w:rsid w:val="00D9481A"/>
    <w:rsid w:val="00D96C45"/>
    <w:rsid w:val="00DA0C09"/>
    <w:rsid w:val="00DA377E"/>
    <w:rsid w:val="00DA5374"/>
    <w:rsid w:val="00DA61FD"/>
    <w:rsid w:val="00DB3454"/>
    <w:rsid w:val="00DB6446"/>
    <w:rsid w:val="00DB66DF"/>
    <w:rsid w:val="00DB6D8D"/>
    <w:rsid w:val="00DB6F59"/>
    <w:rsid w:val="00DB785D"/>
    <w:rsid w:val="00DC077A"/>
    <w:rsid w:val="00DC0A5D"/>
    <w:rsid w:val="00DC1888"/>
    <w:rsid w:val="00DC1923"/>
    <w:rsid w:val="00DC1FD5"/>
    <w:rsid w:val="00DC2486"/>
    <w:rsid w:val="00DD0944"/>
    <w:rsid w:val="00DD1095"/>
    <w:rsid w:val="00DD3F37"/>
    <w:rsid w:val="00DD4925"/>
    <w:rsid w:val="00DD5227"/>
    <w:rsid w:val="00DD7E4A"/>
    <w:rsid w:val="00DE019F"/>
    <w:rsid w:val="00DE2EA1"/>
    <w:rsid w:val="00DE3ADE"/>
    <w:rsid w:val="00DE7EDD"/>
    <w:rsid w:val="00DF07A9"/>
    <w:rsid w:val="00DF2156"/>
    <w:rsid w:val="00DF7F1A"/>
    <w:rsid w:val="00E05242"/>
    <w:rsid w:val="00E06B2E"/>
    <w:rsid w:val="00E075FD"/>
    <w:rsid w:val="00E1162C"/>
    <w:rsid w:val="00E11726"/>
    <w:rsid w:val="00E20AB6"/>
    <w:rsid w:val="00E212CD"/>
    <w:rsid w:val="00E22AF5"/>
    <w:rsid w:val="00E24036"/>
    <w:rsid w:val="00E25F68"/>
    <w:rsid w:val="00E26613"/>
    <w:rsid w:val="00E358AB"/>
    <w:rsid w:val="00E36857"/>
    <w:rsid w:val="00E3778C"/>
    <w:rsid w:val="00E404E7"/>
    <w:rsid w:val="00E4216D"/>
    <w:rsid w:val="00E42A5A"/>
    <w:rsid w:val="00E474C5"/>
    <w:rsid w:val="00E5025F"/>
    <w:rsid w:val="00E50995"/>
    <w:rsid w:val="00E5186E"/>
    <w:rsid w:val="00E53022"/>
    <w:rsid w:val="00E537C0"/>
    <w:rsid w:val="00E53A0D"/>
    <w:rsid w:val="00E549BA"/>
    <w:rsid w:val="00E56AFB"/>
    <w:rsid w:val="00E5730D"/>
    <w:rsid w:val="00E61CE3"/>
    <w:rsid w:val="00E66483"/>
    <w:rsid w:val="00E66E6B"/>
    <w:rsid w:val="00E670EC"/>
    <w:rsid w:val="00E67813"/>
    <w:rsid w:val="00E72629"/>
    <w:rsid w:val="00E73C38"/>
    <w:rsid w:val="00E75261"/>
    <w:rsid w:val="00E75FF7"/>
    <w:rsid w:val="00E76DFC"/>
    <w:rsid w:val="00E76E96"/>
    <w:rsid w:val="00E77A10"/>
    <w:rsid w:val="00E77A94"/>
    <w:rsid w:val="00E77D61"/>
    <w:rsid w:val="00E81CA8"/>
    <w:rsid w:val="00E83373"/>
    <w:rsid w:val="00E85D44"/>
    <w:rsid w:val="00E873D7"/>
    <w:rsid w:val="00E8776D"/>
    <w:rsid w:val="00E9394A"/>
    <w:rsid w:val="00E96E24"/>
    <w:rsid w:val="00E970E8"/>
    <w:rsid w:val="00EA1721"/>
    <w:rsid w:val="00EA300C"/>
    <w:rsid w:val="00EC01E2"/>
    <w:rsid w:val="00EC1B0F"/>
    <w:rsid w:val="00EC25FF"/>
    <w:rsid w:val="00EC2631"/>
    <w:rsid w:val="00EC2E24"/>
    <w:rsid w:val="00EC4301"/>
    <w:rsid w:val="00EC5BC2"/>
    <w:rsid w:val="00EC7916"/>
    <w:rsid w:val="00EC79DF"/>
    <w:rsid w:val="00ED01AC"/>
    <w:rsid w:val="00ED0232"/>
    <w:rsid w:val="00ED0EAC"/>
    <w:rsid w:val="00ED2B2C"/>
    <w:rsid w:val="00ED3C52"/>
    <w:rsid w:val="00ED52BB"/>
    <w:rsid w:val="00ED5AD3"/>
    <w:rsid w:val="00ED5EE8"/>
    <w:rsid w:val="00ED660D"/>
    <w:rsid w:val="00ED67BC"/>
    <w:rsid w:val="00EE1D98"/>
    <w:rsid w:val="00EE216B"/>
    <w:rsid w:val="00EE5C2B"/>
    <w:rsid w:val="00EE701B"/>
    <w:rsid w:val="00EF0A14"/>
    <w:rsid w:val="00EF0B77"/>
    <w:rsid w:val="00EF13A1"/>
    <w:rsid w:val="00EF19E5"/>
    <w:rsid w:val="00EF1F79"/>
    <w:rsid w:val="00EF2181"/>
    <w:rsid w:val="00EF2C6F"/>
    <w:rsid w:val="00EF32D8"/>
    <w:rsid w:val="00EF4E5F"/>
    <w:rsid w:val="00EF5F5A"/>
    <w:rsid w:val="00EF68AF"/>
    <w:rsid w:val="00EF7825"/>
    <w:rsid w:val="00F00E28"/>
    <w:rsid w:val="00F05697"/>
    <w:rsid w:val="00F05A1B"/>
    <w:rsid w:val="00F1211C"/>
    <w:rsid w:val="00F13824"/>
    <w:rsid w:val="00F14EFA"/>
    <w:rsid w:val="00F1623F"/>
    <w:rsid w:val="00F22123"/>
    <w:rsid w:val="00F30EFB"/>
    <w:rsid w:val="00F333F1"/>
    <w:rsid w:val="00F336B6"/>
    <w:rsid w:val="00F33E7F"/>
    <w:rsid w:val="00F33F34"/>
    <w:rsid w:val="00F3566D"/>
    <w:rsid w:val="00F36108"/>
    <w:rsid w:val="00F37CB2"/>
    <w:rsid w:val="00F37E82"/>
    <w:rsid w:val="00F40274"/>
    <w:rsid w:val="00F42210"/>
    <w:rsid w:val="00F50C2A"/>
    <w:rsid w:val="00F52365"/>
    <w:rsid w:val="00F52BF9"/>
    <w:rsid w:val="00F532A7"/>
    <w:rsid w:val="00F53F71"/>
    <w:rsid w:val="00F56550"/>
    <w:rsid w:val="00F607EB"/>
    <w:rsid w:val="00F657C7"/>
    <w:rsid w:val="00F65A6F"/>
    <w:rsid w:val="00F70EB1"/>
    <w:rsid w:val="00F71056"/>
    <w:rsid w:val="00F73BC8"/>
    <w:rsid w:val="00F75600"/>
    <w:rsid w:val="00F762C3"/>
    <w:rsid w:val="00F813B4"/>
    <w:rsid w:val="00F816A4"/>
    <w:rsid w:val="00F81C50"/>
    <w:rsid w:val="00F83869"/>
    <w:rsid w:val="00F863D1"/>
    <w:rsid w:val="00F86B7E"/>
    <w:rsid w:val="00F86F7C"/>
    <w:rsid w:val="00F87E17"/>
    <w:rsid w:val="00F910EF"/>
    <w:rsid w:val="00F93891"/>
    <w:rsid w:val="00F93982"/>
    <w:rsid w:val="00F93A32"/>
    <w:rsid w:val="00F95455"/>
    <w:rsid w:val="00FA2E24"/>
    <w:rsid w:val="00FA44F9"/>
    <w:rsid w:val="00FB1EAE"/>
    <w:rsid w:val="00FB3C43"/>
    <w:rsid w:val="00FB56DB"/>
    <w:rsid w:val="00FB61D2"/>
    <w:rsid w:val="00FB6651"/>
    <w:rsid w:val="00FB7755"/>
    <w:rsid w:val="00FB7A20"/>
    <w:rsid w:val="00FB7C0F"/>
    <w:rsid w:val="00FC0C49"/>
    <w:rsid w:val="00FC5377"/>
    <w:rsid w:val="00FC5F14"/>
    <w:rsid w:val="00FC6F93"/>
    <w:rsid w:val="00FD4F01"/>
    <w:rsid w:val="00FD585A"/>
    <w:rsid w:val="00FD6D9C"/>
    <w:rsid w:val="00FD7490"/>
    <w:rsid w:val="00FE23FE"/>
    <w:rsid w:val="00FE2BA7"/>
    <w:rsid w:val="00FE2C35"/>
    <w:rsid w:val="00FE392A"/>
    <w:rsid w:val="00FE59EB"/>
    <w:rsid w:val="00FE7C54"/>
    <w:rsid w:val="00FF2A4A"/>
    <w:rsid w:val="00FF34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2AF7E1E2"/>
  <w15:chartTrackingRefBased/>
  <w15:docId w15:val="{956615D1-AAB0-48D7-8498-F6F64B8AD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0C09"/>
    <w:rPr>
      <w:sz w:val="24"/>
      <w:szCs w:val="24"/>
    </w:rPr>
  </w:style>
  <w:style w:type="paragraph" w:styleId="Heading1">
    <w:name w:val="heading 1"/>
    <w:basedOn w:val="Normal"/>
    <w:next w:val="Normal"/>
    <w:link w:val="Heading1Char"/>
    <w:qFormat/>
    <w:rsid w:val="00E36857"/>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semiHidden/>
    <w:unhideWhenUsed/>
    <w:qFormat/>
    <w:rsid w:val="008B68A5"/>
    <w:pPr>
      <w:keepNext/>
      <w:spacing w:before="240" w:after="60"/>
      <w:outlineLvl w:val="2"/>
    </w:pPr>
    <w:rPr>
      <w:rFonts w:ascii="Cambria" w:hAnsi="Cambria"/>
      <w:b/>
      <w:bCs/>
      <w:sz w:val="26"/>
      <w:szCs w:val="26"/>
    </w:rPr>
  </w:style>
  <w:style w:type="paragraph" w:styleId="Heading5">
    <w:name w:val="heading 5"/>
    <w:basedOn w:val="Normal"/>
    <w:next w:val="Normal"/>
    <w:qFormat/>
    <w:rsid w:val="00DA0C09"/>
    <w:pPr>
      <w:keepNext/>
      <w:ind w:left="36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A0C09"/>
    <w:pPr>
      <w:jc w:val="both"/>
    </w:pPr>
  </w:style>
  <w:style w:type="paragraph" w:styleId="BodyText2">
    <w:name w:val="Body Text 2"/>
    <w:basedOn w:val="Normal"/>
    <w:link w:val="BodyText2Char"/>
    <w:rsid w:val="00DA0C09"/>
    <w:pPr>
      <w:autoSpaceDE w:val="0"/>
      <w:autoSpaceDN w:val="0"/>
      <w:adjustRightInd w:val="0"/>
      <w:jc w:val="both"/>
    </w:pPr>
    <w:rPr>
      <w:b/>
      <w:bCs/>
    </w:rPr>
  </w:style>
  <w:style w:type="paragraph" w:styleId="Footer">
    <w:name w:val="footer"/>
    <w:basedOn w:val="Normal"/>
    <w:link w:val="FooterChar"/>
    <w:uiPriority w:val="99"/>
    <w:rsid w:val="00DA0C09"/>
    <w:pPr>
      <w:tabs>
        <w:tab w:val="center" w:pos="4153"/>
        <w:tab w:val="right" w:pos="8306"/>
      </w:tabs>
    </w:pPr>
  </w:style>
  <w:style w:type="character" w:styleId="PageNumber">
    <w:name w:val="page number"/>
    <w:basedOn w:val="DefaultParagraphFont"/>
    <w:rsid w:val="00DA0C09"/>
  </w:style>
  <w:style w:type="paragraph" w:styleId="Subtitle">
    <w:name w:val="Subtitle"/>
    <w:basedOn w:val="Normal"/>
    <w:qFormat/>
    <w:rsid w:val="00386704"/>
    <w:pPr>
      <w:numPr>
        <w:numId w:val="6"/>
      </w:numPr>
      <w:tabs>
        <w:tab w:val="clear" w:pos="360"/>
        <w:tab w:val="num" w:pos="709"/>
      </w:tabs>
      <w:ind w:right="-511"/>
    </w:pPr>
    <w:rPr>
      <w:rFonts w:ascii="Arial" w:hAnsi="Arial"/>
      <w:b/>
      <w:szCs w:val="20"/>
      <w:lang w:eastAsia="en-US"/>
    </w:rPr>
  </w:style>
  <w:style w:type="paragraph" w:styleId="Header">
    <w:name w:val="header"/>
    <w:basedOn w:val="Normal"/>
    <w:rsid w:val="0031206C"/>
    <w:pPr>
      <w:tabs>
        <w:tab w:val="center" w:pos="4153"/>
        <w:tab w:val="right" w:pos="8306"/>
      </w:tabs>
    </w:pPr>
  </w:style>
  <w:style w:type="paragraph" w:styleId="ListParagraph">
    <w:name w:val="List Paragraph"/>
    <w:basedOn w:val="Normal"/>
    <w:uiPriority w:val="99"/>
    <w:qFormat/>
    <w:rsid w:val="00651478"/>
    <w:pPr>
      <w:ind w:left="720"/>
    </w:pPr>
  </w:style>
  <w:style w:type="character" w:customStyle="1" w:styleId="Heading3Char">
    <w:name w:val="Heading 3 Char"/>
    <w:link w:val="Heading3"/>
    <w:semiHidden/>
    <w:rsid w:val="008B68A5"/>
    <w:rPr>
      <w:rFonts w:ascii="Cambria" w:eastAsia="Times New Roman" w:hAnsi="Cambria" w:cs="Times New Roman"/>
      <w:b/>
      <w:bCs/>
      <w:sz w:val="26"/>
      <w:szCs w:val="26"/>
    </w:rPr>
  </w:style>
  <w:style w:type="paragraph" w:styleId="BodyText3">
    <w:name w:val="Body Text 3"/>
    <w:basedOn w:val="Normal"/>
    <w:link w:val="BodyText3Char"/>
    <w:rsid w:val="00EF2181"/>
    <w:pPr>
      <w:spacing w:after="120"/>
    </w:pPr>
    <w:rPr>
      <w:sz w:val="16"/>
      <w:szCs w:val="16"/>
    </w:rPr>
  </w:style>
  <w:style w:type="character" w:customStyle="1" w:styleId="BodyText3Char">
    <w:name w:val="Body Text 3 Char"/>
    <w:link w:val="BodyText3"/>
    <w:rsid w:val="00EF2181"/>
    <w:rPr>
      <w:sz w:val="16"/>
      <w:szCs w:val="16"/>
    </w:rPr>
  </w:style>
  <w:style w:type="character" w:customStyle="1" w:styleId="FooterChar">
    <w:name w:val="Footer Char"/>
    <w:link w:val="Footer"/>
    <w:uiPriority w:val="99"/>
    <w:rsid w:val="00891704"/>
    <w:rPr>
      <w:sz w:val="24"/>
      <w:szCs w:val="24"/>
    </w:rPr>
  </w:style>
  <w:style w:type="paragraph" w:customStyle="1" w:styleId="ChapterHeading">
    <w:name w:val="Chapter Heading"/>
    <w:basedOn w:val="Normal"/>
    <w:uiPriority w:val="99"/>
    <w:semiHidden/>
    <w:rsid w:val="00705838"/>
    <w:pPr>
      <w:pageBreakBefore/>
      <w:numPr>
        <w:numId w:val="17"/>
      </w:numPr>
      <w:spacing w:before="120" w:after="120"/>
      <w:jc w:val="both"/>
    </w:pPr>
    <w:rPr>
      <w:rFonts w:ascii="Calibri" w:hAnsi="Calibri" w:cs="Arial"/>
      <w:b/>
      <w:noProof/>
      <w:spacing w:val="-5"/>
      <w:sz w:val="36"/>
      <w:szCs w:val="36"/>
      <w:lang w:eastAsia="en-US"/>
    </w:rPr>
  </w:style>
  <w:style w:type="paragraph" w:customStyle="1" w:styleId="Subheading">
    <w:name w:val="Subheading"/>
    <w:basedOn w:val="BodyText"/>
    <w:uiPriority w:val="99"/>
    <w:semiHidden/>
    <w:rsid w:val="00705838"/>
    <w:pPr>
      <w:numPr>
        <w:ilvl w:val="1"/>
        <w:numId w:val="17"/>
      </w:numPr>
      <w:spacing w:before="270" w:after="180"/>
    </w:pPr>
    <w:rPr>
      <w:rFonts w:ascii="Arial" w:hAnsi="Arial" w:cs="Arial"/>
      <w:b/>
      <w:noProof/>
      <w:sz w:val="22"/>
      <w:szCs w:val="22"/>
      <w:lang w:eastAsia="en-US"/>
    </w:rPr>
  </w:style>
  <w:style w:type="paragraph" w:customStyle="1" w:styleId="subhead">
    <w:name w:val="subhead"/>
    <w:basedOn w:val="Subheading"/>
    <w:link w:val="subheadChar"/>
    <w:uiPriority w:val="99"/>
    <w:rsid w:val="00705838"/>
  </w:style>
  <w:style w:type="character" w:customStyle="1" w:styleId="subheadChar">
    <w:name w:val="subhead Char"/>
    <w:link w:val="subhead"/>
    <w:uiPriority w:val="99"/>
    <w:locked/>
    <w:rsid w:val="00705838"/>
    <w:rPr>
      <w:rFonts w:ascii="Arial" w:hAnsi="Arial" w:cs="Arial"/>
      <w:b/>
      <w:noProof/>
      <w:sz w:val="22"/>
      <w:szCs w:val="22"/>
      <w:lang w:eastAsia="en-US"/>
    </w:rPr>
  </w:style>
  <w:style w:type="character" w:customStyle="1" w:styleId="Heading1Char">
    <w:name w:val="Heading 1 Char"/>
    <w:link w:val="Heading1"/>
    <w:uiPriority w:val="99"/>
    <w:rsid w:val="00E36857"/>
    <w:rPr>
      <w:rFonts w:ascii="Cambria" w:eastAsia="Times New Roman" w:hAnsi="Cambria" w:cs="Times New Roman"/>
      <w:b/>
      <w:bCs/>
      <w:kern w:val="32"/>
      <w:sz w:val="32"/>
      <w:szCs w:val="32"/>
    </w:rPr>
  </w:style>
  <w:style w:type="paragraph" w:styleId="BalloonText">
    <w:name w:val="Balloon Text"/>
    <w:basedOn w:val="Normal"/>
    <w:link w:val="BalloonTextChar"/>
    <w:rsid w:val="00432A57"/>
    <w:rPr>
      <w:rFonts w:ascii="Tahoma" w:hAnsi="Tahoma" w:cs="Tahoma"/>
      <w:sz w:val="16"/>
      <w:szCs w:val="16"/>
    </w:rPr>
  </w:style>
  <w:style w:type="character" w:customStyle="1" w:styleId="BalloonTextChar">
    <w:name w:val="Balloon Text Char"/>
    <w:link w:val="BalloonText"/>
    <w:rsid w:val="00432A57"/>
    <w:rPr>
      <w:rFonts w:ascii="Tahoma" w:hAnsi="Tahoma" w:cs="Tahoma"/>
      <w:sz w:val="16"/>
      <w:szCs w:val="16"/>
    </w:rPr>
  </w:style>
  <w:style w:type="character" w:styleId="CommentReference">
    <w:name w:val="annotation reference"/>
    <w:rsid w:val="00ED660D"/>
    <w:rPr>
      <w:sz w:val="16"/>
      <w:szCs w:val="16"/>
    </w:rPr>
  </w:style>
  <w:style w:type="paragraph" w:styleId="CommentText">
    <w:name w:val="annotation text"/>
    <w:basedOn w:val="Normal"/>
    <w:link w:val="CommentTextChar"/>
    <w:rsid w:val="00ED660D"/>
    <w:rPr>
      <w:sz w:val="20"/>
      <w:szCs w:val="20"/>
    </w:rPr>
  </w:style>
  <w:style w:type="character" w:customStyle="1" w:styleId="CommentTextChar">
    <w:name w:val="Comment Text Char"/>
    <w:basedOn w:val="DefaultParagraphFont"/>
    <w:link w:val="CommentText"/>
    <w:rsid w:val="00ED660D"/>
  </w:style>
  <w:style w:type="paragraph" w:styleId="CommentSubject">
    <w:name w:val="annotation subject"/>
    <w:basedOn w:val="CommentText"/>
    <w:next w:val="CommentText"/>
    <w:link w:val="CommentSubjectChar"/>
    <w:rsid w:val="00ED660D"/>
    <w:rPr>
      <w:b/>
      <w:bCs/>
    </w:rPr>
  </w:style>
  <w:style w:type="character" w:customStyle="1" w:styleId="CommentSubjectChar">
    <w:name w:val="Comment Subject Char"/>
    <w:link w:val="CommentSubject"/>
    <w:rsid w:val="00ED660D"/>
    <w:rPr>
      <w:b/>
      <w:bCs/>
    </w:rPr>
  </w:style>
  <w:style w:type="character" w:customStyle="1" w:styleId="BodyText2Char">
    <w:name w:val="Body Text 2 Char"/>
    <w:link w:val="BodyText2"/>
    <w:rsid w:val="008344BD"/>
    <w:rPr>
      <w:b/>
      <w:bCs/>
      <w:sz w:val="24"/>
      <w:szCs w:val="24"/>
    </w:rPr>
  </w:style>
  <w:style w:type="table" w:styleId="TableGrid">
    <w:name w:val="Table Grid"/>
    <w:basedOn w:val="TableNormal"/>
    <w:rsid w:val="00CF1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3F37"/>
    <w:pPr>
      <w:autoSpaceDE w:val="0"/>
      <w:autoSpaceDN w:val="0"/>
      <w:adjustRightInd w:val="0"/>
    </w:pPr>
    <w:rPr>
      <w:rFonts w:ascii="Arial" w:hAnsi="Arial" w:cs="Arial"/>
      <w:color w:val="000000"/>
      <w:sz w:val="24"/>
      <w:szCs w:val="24"/>
    </w:rPr>
  </w:style>
  <w:style w:type="table" w:styleId="PlainTable4">
    <w:name w:val="Plain Table 4"/>
    <w:basedOn w:val="TableNormal"/>
    <w:uiPriority w:val="44"/>
    <w:rsid w:val="008F74DC"/>
    <w:rPr>
      <w:rFonts w:ascii="Calibri" w:eastAsia="Calibri" w:hAnsi="Calibr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8F74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695">
      <w:bodyDiv w:val="1"/>
      <w:marLeft w:val="0"/>
      <w:marRight w:val="0"/>
      <w:marTop w:val="0"/>
      <w:marBottom w:val="0"/>
      <w:divBdr>
        <w:top w:val="none" w:sz="0" w:space="0" w:color="auto"/>
        <w:left w:val="none" w:sz="0" w:space="0" w:color="auto"/>
        <w:bottom w:val="none" w:sz="0" w:space="0" w:color="auto"/>
        <w:right w:val="none" w:sz="0" w:space="0" w:color="auto"/>
      </w:divBdr>
    </w:div>
    <w:div w:id="7299731">
      <w:bodyDiv w:val="1"/>
      <w:marLeft w:val="0"/>
      <w:marRight w:val="0"/>
      <w:marTop w:val="0"/>
      <w:marBottom w:val="0"/>
      <w:divBdr>
        <w:top w:val="none" w:sz="0" w:space="0" w:color="auto"/>
        <w:left w:val="none" w:sz="0" w:space="0" w:color="auto"/>
        <w:bottom w:val="none" w:sz="0" w:space="0" w:color="auto"/>
        <w:right w:val="none" w:sz="0" w:space="0" w:color="auto"/>
      </w:divBdr>
    </w:div>
    <w:div w:id="19822342">
      <w:bodyDiv w:val="1"/>
      <w:marLeft w:val="0"/>
      <w:marRight w:val="0"/>
      <w:marTop w:val="0"/>
      <w:marBottom w:val="0"/>
      <w:divBdr>
        <w:top w:val="none" w:sz="0" w:space="0" w:color="auto"/>
        <w:left w:val="none" w:sz="0" w:space="0" w:color="auto"/>
        <w:bottom w:val="none" w:sz="0" w:space="0" w:color="auto"/>
        <w:right w:val="none" w:sz="0" w:space="0" w:color="auto"/>
      </w:divBdr>
    </w:div>
    <w:div w:id="19942288">
      <w:bodyDiv w:val="1"/>
      <w:marLeft w:val="0"/>
      <w:marRight w:val="0"/>
      <w:marTop w:val="0"/>
      <w:marBottom w:val="0"/>
      <w:divBdr>
        <w:top w:val="none" w:sz="0" w:space="0" w:color="auto"/>
        <w:left w:val="none" w:sz="0" w:space="0" w:color="auto"/>
        <w:bottom w:val="none" w:sz="0" w:space="0" w:color="auto"/>
        <w:right w:val="none" w:sz="0" w:space="0" w:color="auto"/>
      </w:divBdr>
    </w:div>
    <w:div w:id="58526395">
      <w:bodyDiv w:val="1"/>
      <w:marLeft w:val="0"/>
      <w:marRight w:val="0"/>
      <w:marTop w:val="0"/>
      <w:marBottom w:val="0"/>
      <w:divBdr>
        <w:top w:val="none" w:sz="0" w:space="0" w:color="auto"/>
        <w:left w:val="none" w:sz="0" w:space="0" w:color="auto"/>
        <w:bottom w:val="none" w:sz="0" w:space="0" w:color="auto"/>
        <w:right w:val="none" w:sz="0" w:space="0" w:color="auto"/>
      </w:divBdr>
    </w:div>
    <w:div w:id="120999073">
      <w:bodyDiv w:val="1"/>
      <w:marLeft w:val="0"/>
      <w:marRight w:val="0"/>
      <w:marTop w:val="0"/>
      <w:marBottom w:val="0"/>
      <w:divBdr>
        <w:top w:val="none" w:sz="0" w:space="0" w:color="auto"/>
        <w:left w:val="none" w:sz="0" w:space="0" w:color="auto"/>
        <w:bottom w:val="none" w:sz="0" w:space="0" w:color="auto"/>
        <w:right w:val="none" w:sz="0" w:space="0" w:color="auto"/>
      </w:divBdr>
    </w:div>
    <w:div w:id="136383647">
      <w:bodyDiv w:val="1"/>
      <w:marLeft w:val="0"/>
      <w:marRight w:val="0"/>
      <w:marTop w:val="0"/>
      <w:marBottom w:val="0"/>
      <w:divBdr>
        <w:top w:val="none" w:sz="0" w:space="0" w:color="auto"/>
        <w:left w:val="none" w:sz="0" w:space="0" w:color="auto"/>
        <w:bottom w:val="none" w:sz="0" w:space="0" w:color="auto"/>
        <w:right w:val="none" w:sz="0" w:space="0" w:color="auto"/>
      </w:divBdr>
    </w:div>
    <w:div w:id="164054222">
      <w:bodyDiv w:val="1"/>
      <w:marLeft w:val="0"/>
      <w:marRight w:val="0"/>
      <w:marTop w:val="0"/>
      <w:marBottom w:val="0"/>
      <w:divBdr>
        <w:top w:val="none" w:sz="0" w:space="0" w:color="auto"/>
        <w:left w:val="none" w:sz="0" w:space="0" w:color="auto"/>
        <w:bottom w:val="none" w:sz="0" w:space="0" w:color="auto"/>
        <w:right w:val="none" w:sz="0" w:space="0" w:color="auto"/>
      </w:divBdr>
    </w:div>
    <w:div w:id="173689009">
      <w:bodyDiv w:val="1"/>
      <w:marLeft w:val="0"/>
      <w:marRight w:val="0"/>
      <w:marTop w:val="0"/>
      <w:marBottom w:val="0"/>
      <w:divBdr>
        <w:top w:val="none" w:sz="0" w:space="0" w:color="auto"/>
        <w:left w:val="none" w:sz="0" w:space="0" w:color="auto"/>
        <w:bottom w:val="none" w:sz="0" w:space="0" w:color="auto"/>
        <w:right w:val="none" w:sz="0" w:space="0" w:color="auto"/>
      </w:divBdr>
    </w:div>
    <w:div w:id="182060021">
      <w:bodyDiv w:val="1"/>
      <w:marLeft w:val="0"/>
      <w:marRight w:val="0"/>
      <w:marTop w:val="0"/>
      <w:marBottom w:val="0"/>
      <w:divBdr>
        <w:top w:val="none" w:sz="0" w:space="0" w:color="auto"/>
        <w:left w:val="none" w:sz="0" w:space="0" w:color="auto"/>
        <w:bottom w:val="none" w:sz="0" w:space="0" w:color="auto"/>
        <w:right w:val="none" w:sz="0" w:space="0" w:color="auto"/>
      </w:divBdr>
    </w:div>
    <w:div w:id="189270560">
      <w:bodyDiv w:val="1"/>
      <w:marLeft w:val="0"/>
      <w:marRight w:val="0"/>
      <w:marTop w:val="0"/>
      <w:marBottom w:val="0"/>
      <w:divBdr>
        <w:top w:val="none" w:sz="0" w:space="0" w:color="auto"/>
        <w:left w:val="none" w:sz="0" w:space="0" w:color="auto"/>
        <w:bottom w:val="none" w:sz="0" w:space="0" w:color="auto"/>
        <w:right w:val="none" w:sz="0" w:space="0" w:color="auto"/>
      </w:divBdr>
    </w:div>
    <w:div w:id="215747969">
      <w:bodyDiv w:val="1"/>
      <w:marLeft w:val="0"/>
      <w:marRight w:val="0"/>
      <w:marTop w:val="0"/>
      <w:marBottom w:val="0"/>
      <w:divBdr>
        <w:top w:val="none" w:sz="0" w:space="0" w:color="auto"/>
        <w:left w:val="none" w:sz="0" w:space="0" w:color="auto"/>
        <w:bottom w:val="none" w:sz="0" w:space="0" w:color="auto"/>
        <w:right w:val="none" w:sz="0" w:space="0" w:color="auto"/>
      </w:divBdr>
    </w:div>
    <w:div w:id="222906669">
      <w:bodyDiv w:val="1"/>
      <w:marLeft w:val="0"/>
      <w:marRight w:val="0"/>
      <w:marTop w:val="0"/>
      <w:marBottom w:val="0"/>
      <w:divBdr>
        <w:top w:val="none" w:sz="0" w:space="0" w:color="auto"/>
        <w:left w:val="none" w:sz="0" w:space="0" w:color="auto"/>
        <w:bottom w:val="none" w:sz="0" w:space="0" w:color="auto"/>
        <w:right w:val="none" w:sz="0" w:space="0" w:color="auto"/>
      </w:divBdr>
    </w:div>
    <w:div w:id="276330119">
      <w:bodyDiv w:val="1"/>
      <w:marLeft w:val="0"/>
      <w:marRight w:val="0"/>
      <w:marTop w:val="0"/>
      <w:marBottom w:val="0"/>
      <w:divBdr>
        <w:top w:val="none" w:sz="0" w:space="0" w:color="auto"/>
        <w:left w:val="none" w:sz="0" w:space="0" w:color="auto"/>
        <w:bottom w:val="none" w:sz="0" w:space="0" w:color="auto"/>
        <w:right w:val="none" w:sz="0" w:space="0" w:color="auto"/>
      </w:divBdr>
    </w:div>
    <w:div w:id="282543466">
      <w:bodyDiv w:val="1"/>
      <w:marLeft w:val="0"/>
      <w:marRight w:val="0"/>
      <w:marTop w:val="0"/>
      <w:marBottom w:val="0"/>
      <w:divBdr>
        <w:top w:val="none" w:sz="0" w:space="0" w:color="auto"/>
        <w:left w:val="none" w:sz="0" w:space="0" w:color="auto"/>
        <w:bottom w:val="none" w:sz="0" w:space="0" w:color="auto"/>
        <w:right w:val="none" w:sz="0" w:space="0" w:color="auto"/>
      </w:divBdr>
    </w:div>
    <w:div w:id="323748814">
      <w:bodyDiv w:val="1"/>
      <w:marLeft w:val="0"/>
      <w:marRight w:val="0"/>
      <w:marTop w:val="0"/>
      <w:marBottom w:val="0"/>
      <w:divBdr>
        <w:top w:val="none" w:sz="0" w:space="0" w:color="auto"/>
        <w:left w:val="none" w:sz="0" w:space="0" w:color="auto"/>
        <w:bottom w:val="none" w:sz="0" w:space="0" w:color="auto"/>
        <w:right w:val="none" w:sz="0" w:space="0" w:color="auto"/>
      </w:divBdr>
    </w:div>
    <w:div w:id="341931466">
      <w:bodyDiv w:val="1"/>
      <w:marLeft w:val="0"/>
      <w:marRight w:val="0"/>
      <w:marTop w:val="0"/>
      <w:marBottom w:val="0"/>
      <w:divBdr>
        <w:top w:val="none" w:sz="0" w:space="0" w:color="auto"/>
        <w:left w:val="none" w:sz="0" w:space="0" w:color="auto"/>
        <w:bottom w:val="none" w:sz="0" w:space="0" w:color="auto"/>
        <w:right w:val="none" w:sz="0" w:space="0" w:color="auto"/>
      </w:divBdr>
    </w:div>
    <w:div w:id="350961911">
      <w:bodyDiv w:val="1"/>
      <w:marLeft w:val="0"/>
      <w:marRight w:val="0"/>
      <w:marTop w:val="0"/>
      <w:marBottom w:val="0"/>
      <w:divBdr>
        <w:top w:val="none" w:sz="0" w:space="0" w:color="auto"/>
        <w:left w:val="none" w:sz="0" w:space="0" w:color="auto"/>
        <w:bottom w:val="none" w:sz="0" w:space="0" w:color="auto"/>
        <w:right w:val="none" w:sz="0" w:space="0" w:color="auto"/>
      </w:divBdr>
    </w:div>
    <w:div w:id="352727937">
      <w:bodyDiv w:val="1"/>
      <w:marLeft w:val="0"/>
      <w:marRight w:val="0"/>
      <w:marTop w:val="0"/>
      <w:marBottom w:val="0"/>
      <w:divBdr>
        <w:top w:val="none" w:sz="0" w:space="0" w:color="auto"/>
        <w:left w:val="none" w:sz="0" w:space="0" w:color="auto"/>
        <w:bottom w:val="none" w:sz="0" w:space="0" w:color="auto"/>
        <w:right w:val="none" w:sz="0" w:space="0" w:color="auto"/>
      </w:divBdr>
    </w:div>
    <w:div w:id="360740295">
      <w:bodyDiv w:val="1"/>
      <w:marLeft w:val="0"/>
      <w:marRight w:val="0"/>
      <w:marTop w:val="0"/>
      <w:marBottom w:val="0"/>
      <w:divBdr>
        <w:top w:val="none" w:sz="0" w:space="0" w:color="auto"/>
        <w:left w:val="none" w:sz="0" w:space="0" w:color="auto"/>
        <w:bottom w:val="none" w:sz="0" w:space="0" w:color="auto"/>
        <w:right w:val="none" w:sz="0" w:space="0" w:color="auto"/>
      </w:divBdr>
    </w:div>
    <w:div w:id="371004897">
      <w:bodyDiv w:val="1"/>
      <w:marLeft w:val="0"/>
      <w:marRight w:val="0"/>
      <w:marTop w:val="0"/>
      <w:marBottom w:val="0"/>
      <w:divBdr>
        <w:top w:val="none" w:sz="0" w:space="0" w:color="auto"/>
        <w:left w:val="none" w:sz="0" w:space="0" w:color="auto"/>
        <w:bottom w:val="none" w:sz="0" w:space="0" w:color="auto"/>
        <w:right w:val="none" w:sz="0" w:space="0" w:color="auto"/>
      </w:divBdr>
    </w:div>
    <w:div w:id="375394251">
      <w:bodyDiv w:val="1"/>
      <w:marLeft w:val="0"/>
      <w:marRight w:val="0"/>
      <w:marTop w:val="0"/>
      <w:marBottom w:val="0"/>
      <w:divBdr>
        <w:top w:val="none" w:sz="0" w:space="0" w:color="auto"/>
        <w:left w:val="none" w:sz="0" w:space="0" w:color="auto"/>
        <w:bottom w:val="none" w:sz="0" w:space="0" w:color="auto"/>
        <w:right w:val="none" w:sz="0" w:space="0" w:color="auto"/>
      </w:divBdr>
    </w:div>
    <w:div w:id="379286304">
      <w:bodyDiv w:val="1"/>
      <w:marLeft w:val="0"/>
      <w:marRight w:val="0"/>
      <w:marTop w:val="0"/>
      <w:marBottom w:val="0"/>
      <w:divBdr>
        <w:top w:val="none" w:sz="0" w:space="0" w:color="auto"/>
        <w:left w:val="none" w:sz="0" w:space="0" w:color="auto"/>
        <w:bottom w:val="none" w:sz="0" w:space="0" w:color="auto"/>
        <w:right w:val="none" w:sz="0" w:space="0" w:color="auto"/>
      </w:divBdr>
    </w:div>
    <w:div w:id="387727312">
      <w:bodyDiv w:val="1"/>
      <w:marLeft w:val="0"/>
      <w:marRight w:val="0"/>
      <w:marTop w:val="0"/>
      <w:marBottom w:val="0"/>
      <w:divBdr>
        <w:top w:val="none" w:sz="0" w:space="0" w:color="auto"/>
        <w:left w:val="none" w:sz="0" w:space="0" w:color="auto"/>
        <w:bottom w:val="none" w:sz="0" w:space="0" w:color="auto"/>
        <w:right w:val="none" w:sz="0" w:space="0" w:color="auto"/>
      </w:divBdr>
    </w:div>
    <w:div w:id="427504642">
      <w:bodyDiv w:val="1"/>
      <w:marLeft w:val="0"/>
      <w:marRight w:val="0"/>
      <w:marTop w:val="0"/>
      <w:marBottom w:val="0"/>
      <w:divBdr>
        <w:top w:val="none" w:sz="0" w:space="0" w:color="auto"/>
        <w:left w:val="none" w:sz="0" w:space="0" w:color="auto"/>
        <w:bottom w:val="none" w:sz="0" w:space="0" w:color="auto"/>
        <w:right w:val="none" w:sz="0" w:space="0" w:color="auto"/>
      </w:divBdr>
    </w:div>
    <w:div w:id="493422479">
      <w:bodyDiv w:val="1"/>
      <w:marLeft w:val="0"/>
      <w:marRight w:val="0"/>
      <w:marTop w:val="0"/>
      <w:marBottom w:val="0"/>
      <w:divBdr>
        <w:top w:val="none" w:sz="0" w:space="0" w:color="auto"/>
        <w:left w:val="none" w:sz="0" w:space="0" w:color="auto"/>
        <w:bottom w:val="none" w:sz="0" w:space="0" w:color="auto"/>
        <w:right w:val="none" w:sz="0" w:space="0" w:color="auto"/>
      </w:divBdr>
    </w:div>
    <w:div w:id="495532339">
      <w:bodyDiv w:val="1"/>
      <w:marLeft w:val="0"/>
      <w:marRight w:val="0"/>
      <w:marTop w:val="0"/>
      <w:marBottom w:val="0"/>
      <w:divBdr>
        <w:top w:val="none" w:sz="0" w:space="0" w:color="auto"/>
        <w:left w:val="none" w:sz="0" w:space="0" w:color="auto"/>
        <w:bottom w:val="none" w:sz="0" w:space="0" w:color="auto"/>
        <w:right w:val="none" w:sz="0" w:space="0" w:color="auto"/>
      </w:divBdr>
    </w:div>
    <w:div w:id="520238430">
      <w:bodyDiv w:val="1"/>
      <w:marLeft w:val="0"/>
      <w:marRight w:val="0"/>
      <w:marTop w:val="0"/>
      <w:marBottom w:val="0"/>
      <w:divBdr>
        <w:top w:val="none" w:sz="0" w:space="0" w:color="auto"/>
        <w:left w:val="none" w:sz="0" w:space="0" w:color="auto"/>
        <w:bottom w:val="none" w:sz="0" w:space="0" w:color="auto"/>
        <w:right w:val="none" w:sz="0" w:space="0" w:color="auto"/>
      </w:divBdr>
    </w:div>
    <w:div w:id="535629593">
      <w:bodyDiv w:val="1"/>
      <w:marLeft w:val="0"/>
      <w:marRight w:val="0"/>
      <w:marTop w:val="0"/>
      <w:marBottom w:val="0"/>
      <w:divBdr>
        <w:top w:val="none" w:sz="0" w:space="0" w:color="auto"/>
        <w:left w:val="none" w:sz="0" w:space="0" w:color="auto"/>
        <w:bottom w:val="none" w:sz="0" w:space="0" w:color="auto"/>
        <w:right w:val="none" w:sz="0" w:space="0" w:color="auto"/>
      </w:divBdr>
    </w:div>
    <w:div w:id="575631732">
      <w:bodyDiv w:val="1"/>
      <w:marLeft w:val="0"/>
      <w:marRight w:val="0"/>
      <w:marTop w:val="0"/>
      <w:marBottom w:val="0"/>
      <w:divBdr>
        <w:top w:val="none" w:sz="0" w:space="0" w:color="auto"/>
        <w:left w:val="none" w:sz="0" w:space="0" w:color="auto"/>
        <w:bottom w:val="none" w:sz="0" w:space="0" w:color="auto"/>
        <w:right w:val="none" w:sz="0" w:space="0" w:color="auto"/>
      </w:divBdr>
    </w:div>
    <w:div w:id="588737759">
      <w:bodyDiv w:val="1"/>
      <w:marLeft w:val="0"/>
      <w:marRight w:val="0"/>
      <w:marTop w:val="0"/>
      <w:marBottom w:val="0"/>
      <w:divBdr>
        <w:top w:val="none" w:sz="0" w:space="0" w:color="auto"/>
        <w:left w:val="none" w:sz="0" w:space="0" w:color="auto"/>
        <w:bottom w:val="none" w:sz="0" w:space="0" w:color="auto"/>
        <w:right w:val="none" w:sz="0" w:space="0" w:color="auto"/>
      </w:divBdr>
    </w:div>
    <w:div w:id="601492304">
      <w:bodyDiv w:val="1"/>
      <w:marLeft w:val="0"/>
      <w:marRight w:val="0"/>
      <w:marTop w:val="0"/>
      <w:marBottom w:val="0"/>
      <w:divBdr>
        <w:top w:val="none" w:sz="0" w:space="0" w:color="auto"/>
        <w:left w:val="none" w:sz="0" w:space="0" w:color="auto"/>
        <w:bottom w:val="none" w:sz="0" w:space="0" w:color="auto"/>
        <w:right w:val="none" w:sz="0" w:space="0" w:color="auto"/>
      </w:divBdr>
    </w:div>
    <w:div w:id="604963776">
      <w:bodyDiv w:val="1"/>
      <w:marLeft w:val="0"/>
      <w:marRight w:val="0"/>
      <w:marTop w:val="0"/>
      <w:marBottom w:val="0"/>
      <w:divBdr>
        <w:top w:val="none" w:sz="0" w:space="0" w:color="auto"/>
        <w:left w:val="none" w:sz="0" w:space="0" w:color="auto"/>
        <w:bottom w:val="none" w:sz="0" w:space="0" w:color="auto"/>
        <w:right w:val="none" w:sz="0" w:space="0" w:color="auto"/>
      </w:divBdr>
    </w:div>
    <w:div w:id="615870601">
      <w:bodyDiv w:val="1"/>
      <w:marLeft w:val="0"/>
      <w:marRight w:val="0"/>
      <w:marTop w:val="0"/>
      <w:marBottom w:val="0"/>
      <w:divBdr>
        <w:top w:val="none" w:sz="0" w:space="0" w:color="auto"/>
        <w:left w:val="none" w:sz="0" w:space="0" w:color="auto"/>
        <w:bottom w:val="none" w:sz="0" w:space="0" w:color="auto"/>
        <w:right w:val="none" w:sz="0" w:space="0" w:color="auto"/>
      </w:divBdr>
    </w:div>
    <w:div w:id="656618190">
      <w:bodyDiv w:val="1"/>
      <w:marLeft w:val="0"/>
      <w:marRight w:val="0"/>
      <w:marTop w:val="0"/>
      <w:marBottom w:val="0"/>
      <w:divBdr>
        <w:top w:val="none" w:sz="0" w:space="0" w:color="auto"/>
        <w:left w:val="none" w:sz="0" w:space="0" w:color="auto"/>
        <w:bottom w:val="none" w:sz="0" w:space="0" w:color="auto"/>
        <w:right w:val="none" w:sz="0" w:space="0" w:color="auto"/>
      </w:divBdr>
    </w:div>
    <w:div w:id="657610028">
      <w:bodyDiv w:val="1"/>
      <w:marLeft w:val="0"/>
      <w:marRight w:val="0"/>
      <w:marTop w:val="0"/>
      <w:marBottom w:val="0"/>
      <w:divBdr>
        <w:top w:val="none" w:sz="0" w:space="0" w:color="auto"/>
        <w:left w:val="none" w:sz="0" w:space="0" w:color="auto"/>
        <w:bottom w:val="none" w:sz="0" w:space="0" w:color="auto"/>
        <w:right w:val="none" w:sz="0" w:space="0" w:color="auto"/>
      </w:divBdr>
    </w:div>
    <w:div w:id="667825370">
      <w:bodyDiv w:val="1"/>
      <w:marLeft w:val="0"/>
      <w:marRight w:val="0"/>
      <w:marTop w:val="0"/>
      <w:marBottom w:val="0"/>
      <w:divBdr>
        <w:top w:val="none" w:sz="0" w:space="0" w:color="auto"/>
        <w:left w:val="none" w:sz="0" w:space="0" w:color="auto"/>
        <w:bottom w:val="none" w:sz="0" w:space="0" w:color="auto"/>
        <w:right w:val="none" w:sz="0" w:space="0" w:color="auto"/>
      </w:divBdr>
    </w:div>
    <w:div w:id="683169412">
      <w:bodyDiv w:val="1"/>
      <w:marLeft w:val="0"/>
      <w:marRight w:val="0"/>
      <w:marTop w:val="0"/>
      <w:marBottom w:val="0"/>
      <w:divBdr>
        <w:top w:val="none" w:sz="0" w:space="0" w:color="auto"/>
        <w:left w:val="none" w:sz="0" w:space="0" w:color="auto"/>
        <w:bottom w:val="none" w:sz="0" w:space="0" w:color="auto"/>
        <w:right w:val="none" w:sz="0" w:space="0" w:color="auto"/>
      </w:divBdr>
    </w:div>
    <w:div w:id="695086116">
      <w:bodyDiv w:val="1"/>
      <w:marLeft w:val="0"/>
      <w:marRight w:val="0"/>
      <w:marTop w:val="0"/>
      <w:marBottom w:val="0"/>
      <w:divBdr>
        <w:top w:val="none" w:sz="0" w:space="0" w:color="auto"/>
        <w:left w:val="none" w:sz="0" w:space="0" w:color="auto"/>
        <w:bottom w:val="none" w:sz="0" w:space="0" w:color="auto"/>
        <w:right w:val="none" w:sz="0" w:space="0" w:color="auto"/>
      </w:divBdr>
    </w:div>
    <w:div w:id="702949289">
      <w:bodyDiv w:val="1"/>
      <w:marLeft w:val="0"/>
      <w:marRight w:val="0"/>
      <w:marTop w:val="0"/>
      <w:marBottom w:val="0"/>
      <w:divBdr>
        <w:top w:val="none" w:sz="0" w:space="0" w:color="auto"/>
        <w:left w:val="none" w:sz="0" w:space="0" w:color="auto"/>
        <w:bottom w:val="none" w:sz="0" w:space="0" w:color="auto"/>
        <w:right w:val="none" w:sz="0" w:space="0" w:color="auto"/>
      </w:divBdr>
    </w:div>
    <w:div w:id="709377317">
      <w:bodyDiv w:val="1"/>
      <w:marLeft w:val="0"/>
      <w:marRight w:val="0"/>
      <w:marTop w:val="0"/>
      <w:marBottom w:val="0"/>
      <w:divBdr>
        <w:top w:val="none" w:sz="0" w:space="0" w:color="auto"/>
        <w:left w:val="none" w:sz="0" w:space="0" w:color="auto"/>
        <w:bottom w:val="none" w:sz="0" w:space="0" w:color="auto"/>
        <w:right w:val="none" w:sz="0" w:space="0" w:color="auto"/>
      </w:divBdr>
    </w:div>
    <w:div w:id="710492464">
      <w:bodyDiv w:val="1"/>
      <w:marLeft w:val="0"/>
      <w:marRight w:val="0"/>
      <w:marTop w:val="0"/>
      <w:marBottom w:val="0"/>
      <w:divBdr>
        <w:top w:val="none" w:sz="0" w:space="0" w:color="auto"/>
        <w:left w:val="none" w:sz="0" w:space="0" w:color="auto"/>
        <w:bottom w:val="none" w:sz="0" w:space="0" w:color="auto"/>
        <w:right w:val="none" w:sz="0" w:space="0" w:color="auto"/>
      </w:divBdr>
    </w:div>
    <w:div w:id="748162888">
      <w:bodyDiv w:val="1"/>
      <w:marLeft w:val="0"/>
      <w:marRight w:val="0"/>
      <w:marTop w:val="0"/>
      <w:marBottom w:val="0"/>
      <w:divBdr>
        <w:top w:val="none" w:sz="0" w:space="0" w:color="auto"/>
        <w:left w:val="none" w:sz="0" w:space="0" w:color="auto"/>
        <w:bottom w:val="none" w:sz="0" w:space="0" w:color="auto"/>
        <w:right w:val="none" w:sz="0" w:space="0" w:color="auto"/>
      </w:divBdr>
    </w:div>
    <w:div w:id="757478561">
      <w:bodyDiv w:val="1"/>
      <w:marLeft w:val="0"/>
      <w:marRight w:val="0"/>
      <w:marTop w:val="0"/>
      <w:marBottom w:val="0"/>
      <w:divBdr>
        <w:top w:val="none" w:sz="0" w:space="0" w:color="auto"/>
        <w:left w:val="none" w:sz="0" w:space="0" w:color="auto"/>
        <w:bottom w:val="none" w:sz="0" w:space="0" w:color="auto"/>
        <w:right w:val="none" w:sz="0" w:space="0" w:color="auto"/>
      </w:divBdr>
    </w:div>
    <w:div w:id="762720643">
      <w:bodyDiv w:val="1"/>
      <w:marLeft w:val="0"/>
      <w:marRight w:val="0"/>
      <w:marTop w:val="0"/>
      <w:marBottom w:val="0"/>
      <w:divBdr>
        <w:top w:val="none" w:sz="0" w:space="0" w:color="auto"/>
        <w:left w:val="none" w:sz="0" w:space="0" w:color="auto"/>
        <w:bottom w:val="none" w:sz="0" w:space="0" w:color="auto"/>
        <w:right w:val="none" w:sz="0" w:space="0" w:color="auto"/>
      </w:divBdr>
    </w:div>
    <w:div w:id="765660593">
      <w:bodyDiv w:val="1"/>
      <w:marLeft w:val="0"/>
      <w:marRight w:val="0"/>
      <w:marTop w:val="0"/>
      <w:marBottom w:val="0"/>
      <w:divBdr>
        <w:top w:val="none" w:sz="0" w:space="0" w:color="auto"/>
        <w:left w:val="none" w:sz="0" w:space="0" w:color="auto"/>
        <w:bottom w:val="none" w:sz="0" w:space="0" w:color="auto"/>
        <w:right w:val="none" w:sz="0" w:space="0" w:color="auto"/>
      </w:divBdr>
    </w:div>
    <w:div w:id="780225896">
      <w:bodyDiv w:val="1"/>
      <w:marLeft w:val="0"/>
      <w:marRight w:val="0"/>
      <w:marTop w:val="0"/>
      <w:marBottom w:val="0"/>
      <w:divBdr>
        <w:top w:val="none" w:sz="0" w:space="0" w:color="auto"/>
        <w:left w:val="none" w:sz="0" w:space="0" w:color="auto"/>
        <w:bottom w:val="none" w:sz="0" w:space="0" w:color="auto"/>
        <w:right w:val="none" w:sz="0" w:space="0" w:color="auto"/>
      </w:divBdr>
    </w:div>
    <w:div w:id="805437488">
      <w:bodyDiv w:val="1"/>
      <w:marLeft w:val="0"/>
      <w:marRight w:val="0"/>
      <w:marTop w:val="0"/>
      <w:marBottom w:val="0"/>
      <w:divBdr>
        <w:top w:val="none" w:sz="0" w:space="0" w:color="auto"/>
        <w:left w:val="none" w:sz="0" w:space="0" w:color="auto"/>
        <w:bottom w:val="none" w:sz="0" w:space="0" w:color="auto"/>
        <w:right w:val="none" w:sz="0" w:space="0" w:color="auto"/>
      </w:divBdr>
    </w:div>
    <w:div w:id="824930340">
      <w:bodyDiv w:val="1"/>
      <w:marLeft w:val="0"/>
      <w:marRight w:val="0"/>
      <w:marTop w:val="0"/>
      <w:marBottom w:val="0"/>
      <w:divBdr>
        <w:top w:val="none" w:sz="0" w:space="0" w:color="auto"/>
        <w:left w:val="none" w:sz="0" w:space="0" w:color="auto"/>
        <w:bottom w:val="none" w:sz="0" w:space="0" w:color="auto"/>
        <w:right w:val="none" w:sz="0" w:space="0" w:color="auto"/>
      </w:divBdr>
    </w:div>
    <w:div w:id="833691464">
      <w:bodyDiv w:val="1"/>
      <w:marLeft w:val="0"/>
      <w:marRight w:val="0"/>
      <w:marTop w:val="0"/>
      <w:marBottom w:val="0"/>
      <w:divBdr>
        <w:top w:val="none" w:sz="0" w:space="0" w:color="auto"/>
        <w:left w:val="none" w:sz="0" w:space="0" w:color="auto"/>
        <w:bottom w:val="none" w:sz="0" w:space="0" w:color="auto"/>
        <w:right w:val="none" w:sz="0" w:space="0" w:color="auto"/>
      </w:divBdr>
    </w:div>
    <w:div w:id="878398224">
      <w:bodyDiv w:val="1"/>
      <w:marLeft w:val="0"/>
      <w:marRight w:val="0"/>
      <w:marTop w:val="0"/>
      <w:marBottom w:val="0"/>
      <w:divBdr>
        <w:top w:val="none" w:sz="0" w:space="0" w:color="auto"/>
        <w:left w:val="none" w:sz="0" w:space="0" w:color="auto"/>
        <w:bottom w:val="none" w:sz="0" w:space="0" w:color="auto"/>
        <w:right w:val="none" w:sz="0" w:space="0" w:color="auto"/>
      </w:divBdr>
    </w:div>
    <w:div w:id="884833908">
      <w:bodyDiv w:val="1"/>
      <w:marLeft w:val="0"/>
      <w:marRight w:val="0"/>
      <w:marTop w:val="0"/>
      <w:marBottom w:val="0"/>
      <w:divBdr>
        <w:top w:val="none" w:sz="0" w:space="0" w:color="auto"/>
        <w:left w:val="none" w:sz="0" w:space="0" w:color="auto"/>
        <w:bottom w:val="none" w:sz="0" w:space="0" w:color="auto"/>
        <w:right w:val="none" w:sz="0" w:space="0" w:color="auto"/>
      </w:divBdr>
    </w:div>
    <w:div w:id="929968781">
      <w:bodyDiv w:val="1"/>
      <w:marLeft w:val="0"/>
      <w:marRight w:val="0"/>
      <w:marTop w:val="0"/>
      <w:marBottom w:val="0"/>
      <w:divBdr>
        <w:top w:val="none" w:sz="0" w:space="0" w:color="auto"/>
        <w:left w:val="none" w:sz="0" w:space="0" w:color="auto"/>
        <w:bottom w:val="none" w:sz="0" w:space="0" w:color="auto"/>
        <w:right w:val="none" w:sz="0" w:space="0" w:color="auto"/>
      </w:divBdr>
    </w:div>
    <w:div w:id="948900640">
      <w:bodyDiv w:val="1"/>
      <w:marLeft w:val="0"/>
      <w:marRight w:val="0"/>
      <w:marTop w:val="0"/>
      <w:marBottom w:val="0"/>
      <w:divBdr>
        <w:top w:val="none" w:sz="0" w:space="0" w:color="auto"/>
        <w:left w:val="none" w:sz="0" w:space="0" w:color="auto"/>
        <w:bottom w:val="none" w:sz="0" w:space="0" w:color="auto"/>
        <w:right w:val="none" w:sz="0" w:space="0" w:color="auto"/>
      </w:divBdr>
    </w:div>
    <w:div w:id="950359626">
      <w:bodyDiv w:val="1"/>
      <w:marLeft w:val="0"/>
      <w:marRight w:val="0"/>
      <w:marTop w:val="0"/>
      <w:marBottom w:val="0"/>
      <w:divBdr>
        <w:top w:val="none" w:sz="0" w:space="0" w:color="auto"/>
        <w:left w:val="none" w:sz="0" w:space="0" w:color="auto"/>
        <w:bottom w:val="none" w:sz="0" w:space="0" w:color="auto"/>
        <w:right w:val="none" w:sz="0" w:space="0" w:color="auto"/>
      </w:divBdr>
    </w:div>
    <w:div w:id="951086229">
      <w:bodyDiv w:val="1"/>
      <w:marLeft w:val="0"/>
      <w:marRight w:val="0"/>
      <w:marTop w:val="0"/>
      <w:marBottom w:val="0"/>
      <w:divBdr>
        <w:top w:val="none" w:sz="0" w:space="0" w:color="auto"/>
        <w:left w:val="none" w:sz="0" w:space="0" w:color="auto"/>
        <w:bottom w:val="none" w:sz="0" w:space="0" w:color="auto"/>
        <w:right w:val="none" w:sz="0" w:space="0" w:color="auto"/>
      </w:divBdr>
    </w:div>
    <w:div w:id="964122957">
      <w:bodyDiv w:val="1"/>
      <w:marLeft w:val="0"/>
      <w:marRight w:val="0"/>
      <w:marTop w:val="0"/>
      <w:marBottom w:val="0"/>
      <w:divBdr>
        <w:top w:val="none" w:sz="0" w:space="0" w:color="auto"/>
        <w:left w:val="none" w:sz="0" w:space="0" w:color="auto"/>
        <w:bottom w:val="none" w:sz="0" w:space="0" w:color="auto"/>
        <w:right w:val="none" w:sz="0" w:space="0" w:color="auto"/>
      </w:divBdr>
    </w:div>
    <w:div w:id="965816519">
      <w:bodyDiv w:val="1"/>
      <w:marLeft w:val="0"/>
      <w:marRight w:val="0"/>
      <w:marTop w:val="0"/>
      <w:marBottom w:val="0"/>
      <w:divBdr>
        <w:top w:val="none" w:sz="0" w:space="0" w:color="auto"/>
        <w:left w:val="none" w:sz="0" w:space="0" w:color="auto"/>
        <w:bottom w:val="none" w:sz="0" w:space="0" w:color="auto"/>
        <w:right w:val="none" w:sz="0" w:space="0" w:color="auto"/>
      </w:divBdr>
    </w:div>
    <w:div w:id="977959689">
      <w:bodyDiv w:val="1"/>
      <w:marLeft w:val="0"/>
      <w:marRight w:val="0"/>
      <w:marTop w:val="0"/>
      <w:marBottom w:val="0"/>
      <w:divBdr>
        <w:top w:val="none" w:sz="0" w:space="0" w:color="auto"/>
        <w:left w:val="none" w:sz="0" w:space="0" w:color="auto"/>
        <w:bottom w:val="none" w:sz="0" w:space="0" w:color="auto"/>
        <w:right w:val="none" w:sz="0" w:space="0" w:color="auto"/>
      </w:divBdr>
    </w:div>
    <w:div w:id="993803656">
      <w:bodyDiv w:val="1"/>
      <w:marLeft w:val="0"/>
      <w:marRight w:val="0"/>
      <w:marTop w:val="0"/>
      <w:marBottom w:val="0"/>
      <w:divBdr>
        <w:top w:val="none" w:sz="0" w:space="0" w:color="auto"/>
        <w:left w:val="none" w:sz="0" w:space="0" w:color="auto"/>
        <w:bottom w:val="none" w:sz="0" w:space="0" w:color="auto"/>
        <w:right w:val="none" w:sz="0" w:space="0" w:color="auto"/>
      </w:divBdr>
    </w:div>
    <w:div w:id="1013192882">
      <w:bodyDiv w:val="1"/>
      <w:marLeft w:val="0"/>
      <w:marRight w:val="0"/>
      <w:marTop w:val="0"/>
      <w:marBottom w:val="0"/>
      <w:divBdr>
        <w:top w:val="none" w:sz="0" w:space="0" w:color="auto"/>
        <w:left w:val="none" w:sz="0" w:space="0" w:color="auto"/>
        <w:bottom w:val="none" w:sz="0" w:space="0" w:color="auto"/>
        <w:right w:val="none" w:sz="0" w:space="0" w:color="auto"/>
      </w:divBdr>
    </w:div>
    <w:div w:id="1028023188">
      <w:bodyDiv w:val="1"/>
      <w:marLeft w:val="0"/>
      <w:marRight w:val="0"/>
      <w:marTop w:val="0"/>
      <w:marBottom w:val="0"/>
      <w:divBdr>
        <w:top w:val="none" w:sz="0" w:space="0" w:color="auto"/>
        <w:left w:val="none" w:sz="0" w:space="0" w:color="auto"/>
        <w:bottom w:val="none" w:sz="0" w:space="0" w:color="auto"/>
        <w:right w:val="none" w:sz="0" w:space="0" w:color="auto"/>
      </w:divBdr>
    </w:div>
    <w:div w:id="1098450020">
      <w:bodyDiv w:val="1"/>
      <w:marLeft w:val="0"/>
      <w:marRight w:val="0"/>
      <w:marTop w:val="0"/>
      <w:marBottom w:val="0"/>
      <w:divBdr>
        <w:top w:val="none" w:sz="0" w:space="0" w:color="auto"/>
        <w:left w:val="none" w:sz="0" w:space="0" w:color="auto"/>
        <w:bottom w:val="none" w:sz="0" w:space="0" w:color="auto"/>
        <w:right w:val="none" w:sz="0" w:space="0" w:color="auto"/>
      </w:divBdr>
    </w:div>
    <w:div w:id="1126700687">
      <w:bodyDiv w:val="1"/>
      <w:marLeft w:val="0"/>
      <w:marRight w:val="0"/>
      <w:marTop w:val="0"/>
      <w:marBottom w:val="0"/>
      <w:divBdr>
        <w:top w:val="none" w:sz="0" w:space="0" w:color="auto"/>
        <w:left w:val="none" w:sz="0" w:space="0" w:color="auto"/>
        <w:bottom w:val="none" w:sz="0" w:space="0" w:color="auto"/>
        <w:right w:val="none" w:sz="0" w:space="0" w:color="auto"/>
      </w:divBdr>
    </w:div>
    <w:div w:id="1143497724">
      <w:bodyDiv w:val="1"/>
      <w:marLeft w:val="0"/>
      <w:marRight w:val="0"/>
      <w:marTop w:val="0"/>
      <w:marBottom w:val="0"/>
      <w:divBdr>
        <w:top w:val="none" w:sz="0" w:space="0" w:color="auto"/>
        <w:left w:val="none" w:sz="0" w:space="0" w:color="auto"/>
        <w:bottom w:val="none" w:sz="0" w:space="0" w:color="auto"/>
        <w:right w:val="none" w:sz="0" w:space="0" w:color="auto"/>
      </w:divBdr>
    </w:div>
    <w:div w:id="1155101093">
      <w:bodyDiv w:val="1"/>
      <w:marLeft w:val="0"/>
      <w:marRight w:val="0"/>
      <w:marTop w:val="0"/>
      <w:marBottom w:val="0"/>
      <w:divBdr>
        <w:top w:val="none" w:sz="0" w:space="0" w:color="auto"/>
        <w:left w:val="none" w:sz="0" w:space="0" w:color="auto"/>
        <w:bottom w:val="none" w:sz="0" w:space="0" w:color="auto"/>
        <w:right w:val="none" w:sz="0" w:space="0" w:color="auto"/>
      </w:divBdr>
    </w:div>
    <w:div w:id="1200627097">
      <w:bodyDiv w:val="1"/>
      <w:marLeft w:val="0"/>
      <w:marRight w:val="0"/>
      <w:marTop w:val="0"/>
      <w:marBottom w:val="0"/>
      <w:divBdr>
        <w:top w:val="none" w:sz="0" w:space="0" w:color="auto"/>
        <w:left w:val="none" w:sz="0" w:space="0" w:color="auto"/>
        <w:bottom w:val="none" w:sz="0" w:space="0" w:color="auto"/>
        <w:right w:val="none" w:sz="0" w:space="0" w:color="auto"/>
      </w:divBdr>
    </w:div>
    <w:div w:id="1206673179">
      <w:bodyDiv w:val="1"/>
      <w:marLeft w:val="0"/>
      <w:marRight w:val="0"/>
      <w:marTop w:val="0"/>
      <w:marBottom w:val="0"/>
      <w:divBdr>
        <w:top w:val="none" w:sz="0" w:space="0" w:color="auto"/>
        <w:left w:val="none" w:sz="0" w:space="0" w:color="auto"/>
        <w:bottom w:val="none" w:sz="0" w:space="0" w:color="auto"/>
        <w:right w:val="none" w:sz="0" w:space="0" w:color="auto"/>
      </w:divBdr>
    </w:div>
    <w:div w:id="1214539819">
      <w:bodyDiv w:val="1"/>
      <w:marLeft w:val="0"/>
      <w:marRight w:val="0"/>
      <w:marTop w:val="0"/>
      <w:marBottom w:val="0"/>
      <w:divBdr>
        <w:top w:val="none" w:sz="0" w:space="0" w:color="auto"/>
        <w:left w:val="none" w:sz="0" w:space="0" w:color="auto"/>
        <w:bottom w:val="none" w:sz="0" w:space="0" w:color="auto"/>
        <w:right w:val="none" w:sz="0" w:space="0" w:color="auto"/>
      </w:divBdr>
    </w:div>
    <w:div w:id="1236278215">
      <w:bodyDiv w:val="1"/>
      <w:marLeft w:val="0"/>
      <w:marRight w:val="0"/>
      <w:marTop w:val="0"/>
      <w:marBottom w:val="0"/>
      <w:divBdr>
        <w:top w:val="none" w:sz="0" w:space="0" w:color="auto"/>
        <w:left w:val="none" w:sz="0" w:space="0" w:color="auto"/>
        <w:bottom w:val="none" w:sz="0" w:space="0" w:color="auto"/>
        <w:right w:val="none" w:sz="0" w:space="0" w:color="auto"/>
      </w:divBdr>
    </w:div>
    <w:div w:id="1246190352">
      <w:bodyDiv w:val="1"/>
      <w:marLeft w:val="0"/>
      <w:marRight w:val="0"/>
      <w:marTop w:val="0"/>
      <w:marBottom w:val="0"/>
      <w:divBdr>
        <w:top w:val="none" w:sz="0" w:space="0" w:color="auto"/>
        <w:left w:val="none" w:sz="0" w:space="0" w:color="auto"/>
        <w:bottom w:val="none" w:sz="0" w:space="0" w:color="auto"/>
        <w:right w:val="none" w:sz="0" w:space="0" w:color="auto"/>
      </w:divBdr>
    </w:div>
    <w:div w:id="1258710023">
      <w:bodyDiv w:val="1"/>
      <w:marLeft w:val="0"/>
      <w:marRight w:val="0"/>
      <w:marTop w:val="0"/>
      <w:marBottom w:val="0"/>
      <w:divBdr>
        <w:top w:val="none" w:sz="0" w:space="0" w:color="auto"/>
        <w:left w:val="none" w:sz="0" w:space="0" w:color="auto"/>
        <w:bottom w:val="none" w:sz="0" w:space="0" w:color="auto"/>
        <w:right w:val="none" w:sz="0" w:space="0" w:color="auto"/>
      </w:divBdr>
    </w:div>
    <w:div w:id="1282371917">
      <w:bodyDiv w:val="1"/>
      <w:marLeft w:val="0"/>
      <w:marRight w:val="0"/>
      <w:marTop w:val="0"/>
      <w:marBottom w:val="0"/>
      <w:divBdr>
        <w:top w:val="none" w:sz="0" w:space="0" w:color="auto"/>
        <w:left w:val="none" w:sz="0" w:space="0" w:color="auto"/>
        <w:bottom w:val="none" w:sz="0" w:space="0" w:color="auto"/>
        <w:right w:val="none" w:sz="0" w:space="0" w:color="auto"/>
      </w:divBdr>
    </w:div>
    <w:div w:id="1301615165">
      <w:bodyDiv w:val="1"/>
      <w:marLeft w:val="0"/>
      <w:marRight w:val="0"/>
      <w:marTop w:val="0"/>
      <w:marBottom w:val="0"/>
      <w:divBdr>
        <w:top w:val="none" w:sz="0" w:space="0" w:color="auto"/>
        <w:left w:val="none" w:sz="0" w:space="0" w:color="auto"/>
        <w:bottom w:val="none" w:sz="0" w:space="0" w:color="auto"/>
        <w:right w:val="none" w:sz="0" w:space="0" w:color="auto"/>
      </w:divBdr>
    </w:div>
    <w:div w:id="1315529218">
      <w:bodyDiv w:val="1"/>
      <w:marLeft w:val="0"/>
      <w:marRight w:val="0"/>
      <w:marTop w:val="0"/>
      <w:marBottom w:val="0"/>
      <w:divBdr>
        <w:top w:val="none" w:sz="0" w:space="0" w:color="auto"/>
        <w:left w:val="none" w:sz="0" w:space="0" w:color="auto"/>
        <w:bottom w:val="none" w:sz="0" w:space="0" w:color="auto"/>
        <w:right w:val="none" w:sz="0" w:space="0" w:color="auto"/>
      </w:divBdr>
    </w:div>
    <w:div w:id="1320890602">
      <w:bodyDiv w:val="1"/>
      <w:marLeft w:val="0"/>
      <w:marRight w:val="0"/>
      <w:marTop w:val="0"/>
      <w:marBottom w:val="0"/>
      <w:divBdr>
        <w:top w:val="none" w:sz="0" w:space="0" w:color="auto"/>
        <w:left w:val="none" w:sz="0" w:space="0" w:color="auto"/>
        <w:bottom w:val="none" w:sz="0" w:space="0" w:color="auto"/>
        <w:right w:val="none" w:sz="0" w:space="0" w:color="auto"/>
      </w:divBdr>
    </w:div>
    <w:div w:id="1378430709">
      <w:bodyDiv w:val="1"/>
      <w:marLeft w:val="0"/>
      <w:marRight w:val="0"/>
      <w:marTop w:val="0"/>
      <w:marBottom w:val="0"/>
      <w:divBdr>
        <w:top w:val="none" w:sz="0" w:space="0" w:color="auto"/>
        <w:left w:val="none" w:sz="0" w:space="0" w:color="auto"/>
        <w:bottom w:val="none" w:sz="0" w:space="0" w:color="auto"/>
        <w:right w:val="none" w:sz="0" w:space="0" w:color="auto"/>
      </w:divBdr>
    </w:div>
    <w:div w:id="1408768230">
      <w:bodyDiv w:val="1"/>
      <w:marLeft w:val="0"/>
      <w:marRight w:val="0"/>
      <w:marTop w:val="0"/>
      <w:marBottom w:val="0"/>
      <w:divBdr>
        <w:top w:val="none" w:sz="0" w:space="0" w:color="auto"/>
        <w:left w:val="none" w:sz="0" w:space="0" w:color="auto"/>
        <w:bottom w:val="none" w:sz="0" w:space="0" w:color="auto"/>
        <w:right w:val="none" w:sz="0" w:space="0" w:color="auto"/>
      </w:divBdr>
    </w:div>
    <w:div w:id="1421634235">
      <w:bodyDiv w:val="1"/>
      <w:marLeft w:val="0"/>
      <w:marRight w:val="0"/>
      <w:marTop w:val="0"/>
      <w:marBottom w:val="0"/>
      <w:divBdr>
        <w:top w:val="none" w:sz="0" w:space="0" w:color="auto"/>
        <w:left w:val="none" w:sz="0" w:space="0" w:color="auto"/>
        <w:bottom w:val="none" w:sz="0" w:space="0" w:color="auto"/>
        <w:right w:val="none" w:sz="0" w:space="0" w:color="auto"/>
      </w:divBdr>
    </w:div>
    <w:div w:id="1431510499">
      <w:bodyDiv w:val="1"/>
      <w:marLeft w:val="0"/>
      <w:marRight w:val="0"/>
      <w:marTop w:val="0"/>
      <w:marBottom w:val="0"/>
      <w:divBdr>
        <w:top w:val="none" w:sz="0" w:space="0" w:color="auto"/>
        <w:left w:val="none" w:sz="0" w:space="0" w:color="auto"/>
        <w:bottom w:val="none" w:sz="0" w:space="0" w:color="auto"/>
        <w:right w:val="none" w:sz="0" w:space="0" w:color="auto"/>
      </w:divBdr>
    </w:div>
    <w:div w:id="1431928500">
      <w:bodyDiv w:val="1"/>
      <w:marLeft w:val="0"/>
      <w:marRight w:val="0"/>
      <w:marTop w:val="0"/>
      <w:marBottom w:val="0"/>
      <w:divBdr>
        <w:top w:val="none" w:sz="0" w:space="0" w:color="auto"/>
        <w:left w:val="none" w:sz="0" w:space="0" w:color="auto"/>
        <w:bottom w:val="none" w:sz="0" w:space="0" w:color="auto"/>
        <w:right w:val="none" w:sz="0" w:space="0" w:color="auto"/>
      </w:divBdr>
    </w:div>
    <w:div w:id="1436175506">
      <w:bodyDiv w:val="1"/>
      <w:marLeft w:val="0"/>
      <w:marRight w:val="0"/>
      <w:marTop w:val="0"/>
      <w:marBottom w:val="0"/>
      <w:divBdr>
        <w:top w:val="none" w:sz="0" w:space="0" w:color="auto"/>
        <w:left w:val="none" w:sz="0" w:space="0" w:color="auto"/>
        <w:bottom w:val="none" w:sz="0" w:space="0" w:color="auto"/>
        <w:right w:val="none" w:sz="0" w:space="0" w:color="auto"/>
      </w:divBdr>
    </w:div>
    <w:div w:id="1443500848">
      <w:bodyDiv w:val="1"/>
      <w:marLeft w:val="0"/>
      <w:marRight w:val="0"/>
      <w:marTop w:val="0"/>
      <w:marBottom w:val="0"/>
      <w:divBdr>
        <w:top w:val="none" w:sz="0" w:space="0" w:color="auto"/>
        <w:left w:val="none" w:sz="0" w:space="0" w:color="auto"/>
        <w:bottom w:val="none" w:sz="0" w:space="0" w:color="auto"/>
        <w:right w:val="none" w:sz="0" w:space="0" w:color="auto"/>
      </w:divBdr>
    </w:div>
    <w:div w:id="1517426060">
      <w:bodyDiv w:val="1"/>
      <w:marLeft w:val="0"/>
      <w:marRight w:val="0"/>
      <w:marTop w:val="0"/>
      <w:marBottom w:val="0"/>
      <w:divBdr>
        <w:top w:val="none" w:sz="0" w:space="0" w:color="auto"/>
        <w:left w:val="none" w:sz="0" w:space="0" w:color="auto"/>
        <w:bottom w:val="none" w:sz="0" w:space="0" w:color="auto"/>
        <w:right w:val="none" w:sz="0" w:space="0" w:color="auto"/>
      </w:divBdr>
    </w:div>
    <w:div w:id="1526476199">
      <w:bodyDiv w:val="1"/>
      <w:marLeft w:val="0"/>
      <w:marRight w:val="0"/>
      <w:marTop w:val="0"/>
      <w:marBottom w:val="0"/>
      <w:divBdr>
        <w:top w:val="none" w:sz="0" w:space="0" w:color="auto"/>
        <w:left w:val="none" w:sz="0" w:space="0" w:color="auto"/>
        <w:bottom w:val="none" w:sz="0" w:space="0" w:color="auto"/>
        <w:right w:val="none" w:sz="0" w:space="0" w:color="auto"/>
      </w:divBdr>
    </w:div>
    <w:div w:id="1535147832">
      <w:bodyDiv w:val="1"/>
      <w:marLeft w:val="0"/>
      <w:marRight w:val="0"/>
      <w:marTop w:val="0"/>
      <w:marBottom w:val="0"/>
      <w:divBdr>
        <w:top w:val="none" w:sz="0" w:space="0" w:color="auto"/>
        <w:left w:val="none" w:sz="0" w:space="0" w:color="auto"/>
        <w:bottom w:val="none" w:sz="0" w:space="0" w:color="auto"/>
        <w:right w:val="none" w:sz="0" w:space="0" w:color="auto"/>
      </w:divBdr>
    </w:div>
    <w:div w:id="1571502519">
      <w:bodyDiv w:val="1"/>
      <w:marLeft w:val="0"/>
      <w:marRight w:val="0"/>
      <w:marTop w:val="0"/>
      <w:marBottom w:val="0"/>
      <w:divBdr>
        <w:top w:val="none" w:sz="0" w:space="0" w:color="auto"/>
        <w:left w:val="none" w:sz="0" w:space="0" w:color="auto"/>
        <w:bottom w:val="none" w:sz="0" w:space="0" w:color="auto"/>
        <w:right w:val="none" w:sz="0" w:space="0" w:color="auto"/>
      </w:divBdr>
    </w:div>
    <w:div w:id="1573420766">
      <w:bodyDiv w:val="1"/>
      <w:marLeft w:val="0"/>
      <w:marRight w:val="0"/>
      <w:marTop w:val="0"/>
      <w:marBottom w:val="0"/>
      <w:divBdr>
        <w:top w:val="none" w:sz="0" w:space="0" w:color="auto"/>
        <w:left w:val="none" w:sz="0" w:space="0" w:color="auto"/>
        <w:bottom w:val="none" w:sz="0" w:space="0" w:color="auto"/>
        <w:right w:val="none" w:sz="0" w:space="0" w:color="auto"/>
      </w:divBdr>
    </w:div>
    <w:div w:id="1575124247">
      <w:bodyDiv w:val="1"/>
      <w:marLeft w:val="0"/>
      <w:marRight w:val="0"/>
      <w:marTop w:val="0"/>
      <w:marBottom w:val="0"/>
      <w:divBdr>
        <w:top w:val="none" w:sz="0" w:space="0" w:color="auto"/>
        <w:left w:val="none" w:sz="0" w:space="0" w:color="auto"/>
        <w:bottom w:val="none" w:sz="0" w:space="0" w:color="auto"/>
        <w:right w:val="none" w:sz="0" w:space="0" w:color="auto"/>
      </w:divBdr>
    </w:div>
    <w:div w:id="1582104629">
      <w:bodyDiv w:val="1"/>
      <w:marLeft w:val="0"/>
      <w:marRight w:val="0"/>
      <w:marTop w:val="0"/>
      <w:marBottom w:val="0"/>
      <w:divBdr>
        <w:top w:val="none" w:sz="0" w:space="0" w:color="auto"/>
        <w:left w:val="none" w:sz="0" w:space="0" w:color="auto"/>
        <w:bottom w:val="none" w:sz="0" w:space="0" w:color="auto"/>
        <w:right w:val="none" w:sz="0" w:space="0" w:color="auto"/>
      </w:divBdr>
    </w:div>
    <w:div w:id="1603146694">
      <w:bodyDiv w:val="1"/>
      <w:marLeft w:val="0"/>
      <w:marRight w:val="0"/>
      <w:marTop w:val="0"/>
      <w:marBottom w:val="0"/>
      <w:divBdr>
        <w:top w:val="none" w:sz="0" w:space="0" w:color="auto"/>
        <w:left w:val="none" w:sz="0" w:space="0" w:color="auto"/>
        <w:bottom w:val="none" w:sz="0" w:space="0" w:color="auto"/>
        <w:right w:val="none" w:sz="0" w:space="0" w:color="auto"/>
      </w:divBdr>
    </w:div>
    <w:div w:id="1637178540">
      <w:bodyDiv w:val="1"/>
      <w:marLeft w:val="0"/>
      <w:marRight w:val="0"/>
      <w:marTop w:val="0"/>
      <w:marBottom w:val="0"/>
      <w:divBdr>
        <w:top w:val="none" w:sz="0" w:space="0" w:color="auto"/>
        <w:left w:val="none" w:sz="0" w:space="0" w:color="auto"/>
        <w:bottom w:val="none" w:sz="0" w:space="0" w:color="auto"/>
        <w:right w:val="none" w:sz="0" w:space="0" w:color="auto"/>
      </w:divBdr>
    </w:div>
    <w:div w:id="1659650322">
      <w:bodyDiv w:val="1"/>
      <w:marLeft w:val="0"/>
      <w:marRight w:val="0"/>
      <w:marTop w:val="0"/>
      <w:marBottom w:val="0"/>
      <w:divBdr>
        <w:top w:val="none" w:sz="0" w:space="0" w:color="auto"/>
        <w:left w:val="none" w:sz="0" w:space="0" w:color="auto"/>
        <w:bottom w:val="none" w:sz="0" w:space="0" w:color="auto"/>
        <w:right w:val="none" w:sz="0" w:space="0" w:color="auto"/>
      </w:divBdr>
    </w:div>
    <w:div w:id="1664429454">
      <w:bodyDiv w:val="1"/>
      <w:marLeft w:val="0"/>
      <w:marRight w:val="0"/>
      <w:marTop w:val="0"/>
      <w:marBottom w:val="0"/>
      <w:divBdr>
        <w:top w:val="none" w:sz="0" w:space="0" w:color="auto"/>
        <w:left w:val="none" w:sz="0" w:space="0" w:color="auto"/>
        <w:bottom w:val="none" w:sz="0" w:space="0" w:color="auto"/>
        <w:right w:val="none" w:sz="0" w:space="0" w:color="auto"/>
      </w:divBdr>
    </w:div>
    <w:div w:id="1719351329">
      <w:bodyDiv w:val="1"/>
      <w:marLeft w:val="0"/>
      <w:marRight w:val="0"/>
      <w:marTop w:val="0"/>
      <w:marBottom w:val="0"/>
      <w:divBdr>
        <w:top w:val="none" w:sz="0" w:space="0" w:color="auto"/>
        <w:left w:val="none" w:sz="0" w:space="0" w:color="auto"/>
        <w:bottom w:val="none" w:sz="0" w:space="0" w:color="auto"/>
        <w:right w:val="none" w:sz="0" w:space="0" w:color="auto"/>
      </w:divBdr>
    </w:div>
    <w:div w:id="1738016926">
      <w:bodyDiv w:val="1"/>
      <w:marLeft w:val="0"/>
      <w:marRight w:val="0"/>
      <w:marTop w:val="0"/>
      <w:marBottom w:val="0"/>
      <w:divBdr>
        <w:top w:val="none" w:sz="0" w:space="0" w:color="auto"/>
        <w:left w:val="none" w:sz="0" w:space="0" w:color="auto"/>
        <w:bottom w:val="none" w:sz="0" w:space="0" w:color="auto"/>
        <w:right w:val="none" w:sz="0" w:space="0" w:color="auto"/>
      </w:divBdr>
    </w:div>
    <w:div w:id="1746565548">
      <w:bodyDiv w:val="1"/>
      <w:marLeft w:val="0"/>
      <w:marRight w:val="0"/>
      <w:marTop w:val="0"/>
      <w:marBottom w:val="0"/>
      <w:divBdr>
        <w:top w:val="none" w:sz="0" w:space="0" w:color="auto"/>
        <w:left w:val="none" w:sz="0" w:space="0" w:color="auto"/>
        <w:bottom w:val="none" w:sz="0" w:space="0" w:color="auto"/>
        <w:right w:val="none" w:sz="0" w:space="0" w:color="auto"/>
      </w:divBdr>
    </w:div>
    <w:div w:id="1759907270">
      <w:bodyDiv w:val="1"/>
      <w:marLeft w:val="0"/>
      <w:marRight w:val="0"/>
      <w:marTop w:val="0"/>
      <w:marBottom w:val="0"/>
      <w:divBdr>
        <w:top w:val="none" w:sz="0" w:space="0" w:color="auto"/>
        <w:left w:val="none" w:sz="0" w:space="0" w:color="auto"/>
        <w:bottom w:val="none" w:sz="0" w:space="0" w:color="auto"/>
        <w:right w:val="none" w:sz="0" w:space="0" w:color="auto"/>
      </w:divBdr>
    </w:div>
    <w:div w:id="1763917987">
      <w:bodyDiv w:val="1"/>
      <w:marLeft w:val="0"/>
      <w:marRight w:val="0"/>
      <w:marTop w:val="0"/>
      <w:marBottom w:val="0"/>
      <w:divBdr>
        <w:top w:val="none" w:sz="0" w:space="0" w:color="auto"/>
        <w:left w:val="none" w:sz="0" w:space="0" w:color="auto"/>
        <w:bottom w:val="none" w:sz="0" w:space="0" w:color="auto"/>
        <w:right w:val="none" w:sz="0" w:space="0" w:color="auto"/>
      </w:divBdr>
    </w:div>
    <w:div w:id="1770589117">
      <w:bodyDiv w:val="1"/>
      <w:marLeft w:val="0"/>
      <w:marRight w:val="0"/>
      <w:marTop w:val="0"/>
      <w:marBottom w:val="0"/>
      <w:divBdr>
        <w:top w:val="none" w:sz="0" w:space="0" w:color="auto"/>
        <w:left w:val="none" w:sz="0" w:space="0" w:color="auto"/>
        <w:bottom w:val="none" w:sz="0" w:space="0" w:color="auto"/>
        <w:right w:val="none" w:sz="0" w:space="0" w:color="auto"/>
      </w:divBdr>
    </w:div>
    <w:div w:id="1773937277">
      <w:bodyDiv w:val="1"/>
      <w:marLeft w:val="0"/>
      <w:marRight w:val="0"/>
      <w:marTop w:val="0"/>
      <w:marBottom w:val="0"/>
      <w:divBdr>
        <w:top w:val="none" w:sz="0" w:space="0" w:color="auto"/>
        <w:left w:val="none" w:sz="0" w:space="0" w:color="auto"/>
        <w:bottom w:val="none" w:sz="0" w:space="0" w:color="auto"/>
        <w:right w:val="none" w:sz="0" w:space="0" w:color="auto"/>
      </w:divBdr>
    </w:div>
    <w:div w:id="1780879101">
      <w:bodyDiv w:val="1"/>
      <w:marLeft w:val="0"/>
      <w:marRight w:val="0"/>
      <w:marTop w:val="0"/>
      <w:marBottom w:val="0"/>
      <w:divBdr>
        <w:top w:val="none" w:sz="0" w:space="0" w:color="auto"/>
        <w:left w:val="none" w:sz="0" w:space="0" w:color="auto"/>
        <w:bottom w:val="none" w:sz="0" w:space="0" w:color="auto"/>
        <w:right w:val="none" w:sz="0" w:space="0" w:color="auto"/>
      </w:divBdr>
    </w:div>
    <w:div w:id="1811440214">
      <w:bodyDiv w:val="1"/>
      <w:marLeft w:val="0"/>
      <w:marRight w:val="0"/>
      <w:marTop w:val="0"/>
      <w:marBottom w:val="0"/>
      <w:divBdr>
        <w:top w:val="none" w:sz="0" w:space="0" w:color="auto"/>
        <w:left w:val="none" w:sz="0" w:space="0" w:color="auto"/>
        <w:bottom w:val="none" w:sz="0" w:space="0" w:color="auto"/>
        <w:right w:val="none" w:sz="0" w:space="0" w:color="auto"/>
      </w:divBdr>
    </w:div>
    <w:div w:id="1814441906">
      <w:bodyDiv w:val="1"/>
      <w:marLeft w:val="0"/>
      <w:marRight w:val="0"/>
      <w:marTop w:val="0"/>
      <w:marBottom w:val="0"/>
      <w:divBdr>
        <w:top w:val="none" w:sz="0" w:space="0" w:color="auto"/>
        <w:left w:val="none" w:sz="0" w:space="0" w:color="auto"/>
        <w:bottom w:val="none" w:sz="0" w:space="0" w:color="auto"/>
        <w:right w:val="none" w:sz="0" w:space="0" w:color="auto"/>
      </w:divBdr>
    </w:div>
    <w:div w:id="1835409344">
      <w:bodyDiv w:val="1"/>
      <w:marLeft w:val="0"/>
      <w:marRight w:val="0"/>
      <w:marTop w:val="0"/>
      <w:marBottom w:val="0"/>
      <w:divBdr>
        <w:top w:val="none" w:sz="0" w:space="0" w:color="auto"/>
        <w:left w:val="none" w:sz="0" w:space="0" w:color="auto"/>
        <w:bottom w:val="none" w:sz="0" w:space="0" w:color="auto"/>
        <w:right w:val="none" w:sz="0" w:space="0" w:color="auto"/>
      </w:divBdr>
    </w:div>
    <w:div w:id="1844316385">
      <w:bodyDiv w:val="1"/>
      <w:marLeft w:val="0"/>
      <w:marRight w:val="0"/>
      <w:marTop w:val="0"/>
      <w:marBottom w:val="0"/>
      <w:divBdr>
        <w:top w:val="none" w:sz="0" w:space="0" w:color="auto"/>
        <w:left w:val="none" w:sz="0" w:space="0" w:color="auto"/>
        <w:bottom w:val="none" w:sz="0" w:space="0" w:color="auto"/>
        <w:right w:val="none" w:sz="0" w:space="0" w:color="auto"/>
      </w:divBdr>
    </w:div>
    <w:div w:id="1867057660">
      <w:bodyDiv w:val="1"/>
      <w:marLeft w:val="0"/>
      <w:marRight w:val="0"/>
      <w:marTop w:val="0"/>
      <w:marBottom w:val="0"/>
      <w:divBdr>
        <w:top w:val="none" w:sz="0" w:space="0" w:color="auto"/>
        <w:left w:val="none" w:sz="0" w:space="0" w:color="auto"/>
        <w:bottom w:val="none" w:sz="0" w:space="0" w:color="auto"/>
        <w:right w:val="none" w:sz="0" w:space="0" w:color="auto"/>
      </w:divBdr>
    </w:div>
    <w:div w:id="1881285614">
      <w:bodyDiv w:val="1"/>
      <w:marLeft w:val="0"/>
      <w:marRight w:val="0"/>
      <w:marTop w:val="0"/>
      <w:marBottom w:val="0"/>
      <w:divBdr>
        <w:top w:val="none" w:sz="0" w:space="0" w:color="auto"/>
        <w:left w:val="none" w:sz="0" w:space="0" w:color="auto"/>
        <w:bottom w:val="none" w:sz="0" w:space="0" w:color="auto"/>
        <w:right w:val="none" w:sz="0" w:space="0" w:color="auto"/>
      </w:divBdr>
    </w:div>
    <w:div w:id="1882016322">
      <w:bodyDiv w:val="1"/>
      <w:marLeft w:val="0"/>
      <w:marRight w:val="0"/>
      <w:marTop w:val="0"/>
      <w:marBottom w:val="0"/>
      <w:divBdr>
        <w:top w:val="none" w:sz="0" w:space="0" w:color="auto"/>
        <w:left w:val="none" w:sz="0" w:space="0" w:color="auto"/>
        <w:bottom w:val="none" w:sz="0" w:space="0" w:color="auto"/>
        <w:right w:val="none" w:sz="0" w:space="0" w:color="auto"/>
      </w:divBdr>
    </w:div>
    <w:div w:id="1894848604">
      <w:bodyDiv w:val="1"/>
      <w:marLeft w:val="0"/>
      <w:marRight w:val="0"/>
      <w:marTop w:val="0"/>
      <w:marBottom w:val="0"/>
      <w:divBdr>
        <w:top w:val="none" w:sz="0" w:space="0" w:color="auto"/>
        <w:left w:val="none" w:sz="0" w:space="0" w:color="auto"/>
        <w:bottom w:val="none" w:sz="0" w:space="0" w:color="auto"/>
        <w:right w:val="none" w:sz="0" w:space="0" w:color="auto"/>
      </w:divBdr>
    </w:div>
    <w:div w:id="1897693094">
      <w:bodyDiv w:val="1"/>
      <w:marLeft w:val="0"/>
      <w:marRight w:val="0"/>
      <w:marTop w:val="0"/>
      <w:marBottom w:val="0"/>
      <w:divBdr>
        <w:top w:val="none" w:sz="0" w:space="0" w:color="auto"/>
        <w:left w:val="none" w:sz="0" w:space="0" w:color="auto"/>
        <w:bottom w:val="none" w:sz="0" w:space="0" w:color="auto"/>
        <w:right w:val="none" w:sz="0" w:space="0" w:color="auto"/>
      </w:divBdr>
    </w:div>
    <w:div w:id="1918242781">
      <w:bodyDiv w:val="1"/>
      <w:marLeft w:val="0"/>
      <w:marRight w:val="0"/>
      <w:marTop w:val="0"/>
      <w:marBottom w:val="0"/>
      <w:divBdr>
        <w:top w:val="none" w:sz="0" w:space="0" w:color="auto"/>
        <w:left w:val="none" w:sz="0" w:space="0" w:color="auto"/>
        <w:bottom w:val="none" w:sz="0" w:space="0" w:color="auto"/>
        <w:right w:val="none" w:sz="0" w:space="0" w:color="auto"/>
      </w:divBdr>
    </w:div>
    <w:div w:id="1933199971">
      <w:bodyDiv w:val="1"/>
      <w:marLeft w:val="0"/>
      <w:marRight w:val="0"/>
      <w:marTop w:val="0"/>
      <w:marBottom w:val="0"/>
      <w:divBdr>
        <w:top w:val="none" w:sz="0" w:space="0" w:color="auto"/>
        <w:left w:val="none" w:sz="0" w:space="0" w:color="auto"/>
        <w:bottom w:val="none" w:sz="0" w:space="0" w:color="auto"/>
        <w:right w:val="none" w:sz="0" w:space="0" w:color="auto"/>
      </w:divBdr>
    </w:div>
    <w:div w:id="1941329335">
      <w:bodyDiv w:val="1"/>
      <w:marLeft w:val="0"/>
      <w:marRight w:val="0"/>
      <w:marTop w:val="0"/>
      <w:marBottom w:val="0"/>
      <w:divBdr>
        <w:top w:val="none" w:sz="0" w:space="0" w:color="auto"/>
        <w:left w:val="none" w:sz="0" w:space="0" w:color="auto"/>
        <w:bottom w:val="none" w:sz="0" w:space="0" w:color="auto"/>
        <w:right w:val="none" w:sz="0" w:space="0" w:color="auto"/>
      </w:divBdr>
    </w:div>
    <w:div w:id="1946495408">
      <w:bodyDiv w:val="1"/>
      <w:marLeft w:val="0"/>
      <w:marRight w:val="0"/>
      <w:marTop w:val="0"/>
      <w:marBottom w:val="0"/>
      <w:divBdr>
        <w:top w:val="none" w:sz="0" w:space="0" w:color="auto"/>
        <w:left w:val="none" w:sz="0" w:space="0" w:color="auto"/>
        <w:bottom w:val="none" w:sz="0" w:space="0" w:color="auto"/>
        <w:right w:val="none" w:sz="0" w:space="0" w:color="auto"/>
      </w:divBdr>
    </w:div>
    <w:div w:id="1952542629">
      <w:bodyDiv w:val="1"/>
      <w:marLeft w:val="0"/>
      <w:marRight w:val="0"/>
      <w:marTop w:val="0"/>
      <w:marBottom w:val="0"/>
      <w:divBdr>
        <w:top w:val="none" w:sz="0" w:space="0" w:color="auto"/>
        <w:left w:val="none" w:sz="0" w:space="0" w:color="auto"/>
        <w:bottom w:val="none" w:sz="0" w:space="0" w:color="auto"/>
        <w:right w:val="none" w:sz="0" w:space="0" w:color="auto"/>
      </w:divBdr>
    </w:div>
    <w:div w:id="1999848220">
      <w:bodyDiv w:val="1"/>
      <w:marLeft w:val="0"/>
      <w:marRight w:val="0"/>
      <w:marTop w:val="0"/>
      <w:marBottom w:val="0"/>
      <w:divBdr>
        <w:top w:val="none" w:sz="0" w:space="0" w:color="auto"/>
        <w:left w:val="none" w:sz="0" w:space="0" w:color="auto"/>
        <w:bottom w:val="none" w:sz="0" w:space="0" w:color="auto"/>
        <w:right w:val="none" w:sz="0" w:space="0" w:color="auto"/>
      </w:divBdr>
    </w:div>
    <w:div w:id="2026906780">
      <w:bodyDiv w:val="1"/>
      <w:marLeft w:val="0"/>
      <w:marRight w:val="0"/>
      <w:marTop w:val="0"/>
      <w:marBottom w:val="0"/>
      <w:divBdr>
        <w:top w:val="none" w:sz="0" w:space="0" w:color="auto"/>
        <w:left w:val="none" w:sz="0" w:space="0" w:color="auto"/>
        <w:bottom w:val="none" w:sz="0" w:space="0" w:color="auto"/>
        <w:right w:val="none" w:sz="0" w:space="0" w:color="auto"/>
      </w:divBdr>
    </w:div>
    <w:div w:id="2029795894">
      <w:bodyDiv w:val="1"/>
      <w:marLeft w:val="0"/>
      <w:marRight w:val="0"/>
      <w:marTop w:val="0"/>
      <w:marBottom w:val="0"/>
      <w:divBdr>
        <w:top w:val="none" w:sz="0" w:space="0" w:color="auto"/>
        <w:left w:val="none" w:sz="0" w:space="0" w:color="auto"/>
        <w:bottom w:val="none" w:sz="0" w:space="0" w:color="auto"/>
        <w:right w:val="none" w:sz="0" w:space="0" w:color="auto"/>
      </w:divBdr>
    </w:div>
    <w:div w:id="2046638005">
      <w:bodyDiv w:val="1"/>
      <w:marLeft w:val="0"/>
      <w:marRight w:val="0"/>
      <w:marTop w:val="0"/>
      <w:marBottom w:val="0"/>
      <w:divBdr>
        <w:top w:val="none" w:sz="0" w:space="0" w:color="auto"/>
        <w:left w:val="none" w:sz="0" w:space="0" w:color="auto"/>
        <w:bottom w:val="none" w:sz="0" w:space="0" w:color="auto"/>
        <w:right w:val="none" w:sz="0" w:space="0" w:color="auto"/>
      </w:divBdr>
    </w:div>
    <w:div w:id="2067022511">
      <w:bodyDiv w:val="1"/>
      <w:marLeft w:val="0"/>
      <w:marRight w:val="0"/>
      <w:marTop w:val="0"/>
      <w:marBottom w:val="0"/>
      <w:divBdr>
        <w:top w:val="none" w:sz="0" w:space="0" w:color="auto"/>
        <w:left w:val="none" w:sz="0" w:space="0" w:color="auto"/>
        <w:bottom w:val="none" w:sz="0" w:space="0" w:color="auto"/>
        <w:right w:val="none" w:sz="0" w:space="0" w:color="auto"/>
      </w:divBdr>
    </w:div>
    <w:div w:id="2083133816">
      <w:bodyDiv w:val="1"/>
      <w:marLeft w:val="0"/>
      <w:marRight w:val="0"/>
      <w:marTop w:val="0"/>
      <w:marBottom w:val="0"/>
      <w:divBdr>
        <w:top w:val="none" w:sz="0" w:space="0" w:color="auto"/>
        <w:left w:val="none" w:sz="0" w:space="0" w:color="auto"/>
        <w:bottom w:val="none" w:sz="0" w:space="0" w:color="auto"/>
        <w:right w:val="none" w:sz="0" w:space="0" w:color="auto"/>
      </w:divBdr>
    </w:div>
    <w:div w:id="210013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ommissioner@gwent.police.uk"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C9A68-D46B-4DF2-BA4A-AA4B92683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5937</Words>
  <Characters>33005</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Appendix A</vt:lpstr>
    </vt:vector>
  </TitlesOfParts>
  <Company>Heddlu Gwent Police</Company>
  <LinksUpToDate>false</LinksUpToDate>
  <CharactersWithSpaces>38865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subject/>
  <dc:creator>GWENT</dc:creator>
  <cp:keywords/>
  <dc:description>Original Content Created Date - 02/12/2020 11:24:00</dc:description>
  <cp:lastModifiedBy>Warren, Nicola</cp:lastModifiedBy>
  <cp:revision>7</cp:revision>
  <cp:lastPrinted>2019-11-28T09:06:00Z</cp:lastPrinted>
  <dcterms:created xsi:type="dcterms:W3CDTF">2023-11-24T15:02:00Z</dcterms:created>
  <dcterms:modified xsi:type="dcterms:W3CDTF">2024-01-04T11:26:00Z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cea45822-ba32-4d3f-af41-9f88933ac1aa</vt:lpwstr>
  </property>
  <property fmtid="{D5CDD505-2E9C-101B-9397-08002B2CF9AE}" pid="3" name="heddluIL">
    <vt:lpwstr>NOT PROTECTIVELY MARKED</vt:lpwstr>
  </property>
  <property fmtid="{D5CDD505-2E9C-101B-9397-08002B2CF9AE}" pid="4" name="heddluVNV">
    <vt:lpwstr>No Visual Mark</vt:lpwstr>
  </property>
  <property fmtid="{D5CDD505-2E9C-101B-9397-08002B2CF9AE}" pid="5" name="Protective Marking Classification">
    <vt:lpwstr>OFFICIAL - NO MARKING SWYDDOGOL-DIM ANGEN MARC</vt:lpwstr>
  </property>
  <property fmtid="{D5CDD505-2E9C-101B-9397-08002B2CF9AE}" pid="6" name="Additional Descriptor">
    <vt:lpwstr/>
  </property>
  <property fmtid="{D5CDD505-2E9C-101B-9397-08002B2CF9AE}" pid="7" name="Impact Level">
    <vt:i4>0</vt:i4>
  </property>
  <property fmtid="{D5CDD505-2E9C-101B-9397-08002B2CF9AE}" pid="8" name="MSIP_Label_f2acd28b-79a3-4a0f-b0ff-4b75658b1549_Enabled">
    <vt:lpwstr>True</vt:lpwstr>
  </property>
  <property fmtid="{D5CDD505-2E9C-101B-9397-08002B2CF9AE}" pid="9" name="MSIP_Label_f2acd28b-79a3-4a0f-b0ff-4b75658b1549_SiteId">
    <vt:lpwstr>e46c8472-ef5d-4b63-bc74-4a60db42c371</vt:lpwstr>
  </property>
  <property fmtid="{D5CDD505-2E9C-101B-9397-08002B2CF9AE}" pid="10" name="MSIP_Label_f2acd28b-79a3-4a0f-b0ff-4b75658b1549_SetDate">
    <vt:lpwstr>2020-11-16T14:07:04.2444980Z</vt:lpwstr>
  </property>
  <property fmtid="{D5CDD505-2E9C-101B-9397-08002B2CF9AE}" pid="11" name="MSIP_Label_f2acd28b-79a3-4a0f-b0ff-4b75658b1549_Name">
    <vt:lpwstr>OFFICIAL</vt:lpwstr>
  </property>
  <property fmtid="{D5CDD505-2E9C-101B-9397-08002B2CF9AE}" pid="12" name="MSIP_Label_f2acd28b-79a3-4a0f-b0ff-4b75658b1549_ActionId">
    <vt:lpwstr>0bc03f7d-63ec-45ff-820f-7fc484c6aa5b</vt:lpwstr>
  </property>
  <property fmtid="{D5CDD505-2E9C-101B-9397-08002B2CF9AE}" pid="13" name="MSIP_Label_f2acd28b-79a3-4a0f-b0ff-4b75658b1549_Extended_MSFT_Method">
    <vt:lpwstr>Automatic</vt:lpwstr>
  </property>
  <property fmtid="{D5CDD505-2E9C-101B-9397-08002B2CF9AE}" pid="14" name="Sensitivity">
    <vt:lpwstr>OFFICIAL</vt:lpwstr>
  </property>
</Properties>
</file>