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29A7D6F3" w14:textId="77777777" w:rsidTr="00933DD9">
        <w:tc>
          <w:tcPr>
            <w:tcW w:w="9242" w:type="dxa"/>
            <w:gridSpan w:val="2"/>
            <w:shd w:val="clear" w:color="auto" w:fill="auto"/>
          </w:tcPr>
          <w:p w14:paraId="13E09459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27393162" w14:textId="77777777" w:rsidTr="00D37B81">
        <w:tc>
          <w:tcPr>
            <w:tcW w:w="2093" w:type="dxa"/>
            <w:shd w:val="clear" w:color="auto" w:fill="auto"/>
          </w:tcPr>
          <w:p w14:paraId="1DEBC5A3" w14:textId="77777777" w:rsidR="00C64CBE" w:rsidRDefault="00C64CBE" w:rsidP="00C64CB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PCCG-2023-040</w:t>
            </w:r>
          </w:p>
          <w:p w14:paraId="26EE0018" w14:textId="74B07521" w:rsidR="00320095" w:rsidRPr="00D9700B" w:rsidRDefault="00320095" w:rsidP="00786E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9" w:type="dxa"/>
            <w:shd w:val="clear" w:color="auto" w:fill="auto"/>
          </w:tcPr>
          <w:p w14:paraId="13866E1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1CDCE44F" w14:textId="77777777" w:rsidTr="00D37B81">
        <w:tc>
          <w:tcPr>
            <w:tcW w:w="2093" w:type="dxa"/>
            <w:shd w:val="clear" w:color="auto" w:fill="auto"/>
          </w:tcPr>
          <w:p w14:paraId="582840B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1B47643B" w14:textId="01EAD589" w:rsidR="00320095" w:rsidRPr="00933DD9" w:rsidRDefault="009016D9" w:rsidP="00901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Domestic Violence Advocate (IDVA) Service</w:t>
            </w:r>
            <w:r w:rsidR="00D37B81">
              <w:rPr>
                <w:rFonts w:ascii="Arial" w:hAnsi="Arial" w:cs="Arial"/>
                <w:sz w:val="24"/>
                <w:szCs w:val="24"/>
              </w:rPr>
              <w:t xml:space="preserve"> Funding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A023C">
              <w:rPr>
                <w:rFonts w:ascii="Arial" w:hAnsi="Arial" w:cs="Arial"/>
                <w:sz w:val="24"/>
                <w:szCs w:val="24"/>
              </w:rPr>
              <w:t>4</w:t>
            </w:r>
            <w:r w:rsidR="0009747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A02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20095" w:rsidRPr="00933DD9" w14:paraId="08252CC1" w14:textId="77777777" w:rsidTr="00D37B81">
        <w:tc>
          <w:tcPr>
            <w:tcW w:w="2093" w:type="dxa"/>
            <w:shd w:val="clear" w:color="auto" w:fill="auto"/>
          </w:tcPr>
          <w:p w14:paraId="612F590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0765EF1" w14:textId="1F62E4F0" w:rsidR="00320095" w:rsidRPr="00933DD9" w:rsidRDefault="00D37B81" w:rsidP="00901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the decision to provide grant funding to </w:t>
            </w:r>
            <w:r w:rsidR="009016D9">
              <w:rPr>
                <w:rFonts w:ascii="Arial" w:hAnsi="Arial" w:cs="Arial"/>
                <w:sz w:val="24"/>
                <w:szCs w:val="24"/>
              </w:rPr>
              <w:t xml:space="preserve">Newport City Council to contribute to </w:t>
            </w:r>
            <w:r w:rsidR="00CA498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016D9">
              <w:rPr>
                <w:rFonts w:ascii="Arial" w:hAnsi="Arial" w:cs="Arial"/>
                <w:sz w:val="24"/>
                <w:szCs w:val="24"/>
              </w:rPr>
              <w:t>provision of the IDVA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financial </w:t>
            </w:r>
            <w:r w:rsidR="00787656">
              <w:rPr>
                <w:rFonts w:ascii="Arial" w:hAnsi="Arial" w:cs="Arial"/>
                <w:sz w:val="24"/>
                <w:szCs w:val="24"/>
              </w:rPr>
              <w:t>year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6D9">
              <w:rPr>
                <w:rFonts w:ascii="Arial" w:hAnsi="Arial" w:cs="Arial"/>
                <w:sz w:val="24"/>
                <w:szCs w:val="24"/>
              </w:rPr>
              <w:t>202</w:t>
            </w:r>
            <w:r w:rsidR="00BA023C">
              <w:rPr>
                <w:rFonts w:ascii="Arial" w:hAnsi="Arial" w:cs="Arial"/>
                <w:sz w:val="24"/>
                <w:szCs w:val="24"/>
              </w:rPr>
              <w:t>4</w:t>
            </w:r>
            <w:r w:rsidR="009016D9">
              <w:rPr>
                <w:rFonts w:ascii="Arial" w:hAnsi="Arial" w:cs="Arial"/>
                <w:sz w:val="24"/>
                <w:szCs w:val="24"/>
              </w:rPr>
              <w:t>/2</w:t>
            </w:r>
            <w:r w:rsidR="002431E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5329C7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51AA3FFA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817"/>
        <w:gridCol w:w="8425"/>
      </w:tblGrid>
      <w:tr w:rsidR="00D8752E" w:rsidRPr="00933DD9" w14:paraId="01292E68" w14:textId="77777777" w:rsidTr="00B726E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B652820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FFFC" w14:textId="77777777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Police Reform and Social Responsibility Act 2011 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CA498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  <w:r w:rsidR="00336A42">
              <w:rPr>
                <w:rFonts w:ascii="Arial" w:hAnsi="Arial" w:cs="Arial"/>
                <w:sz w:val="24"/>
                <w:szCs w:val="24"/>
              </w:rPr>
              <w:t xml:space="preserve">  This provision was further supplemented by virtue of the Anti-Social Behaviour, Crime and Policing Act 2014 which provided specific arrangements for the provision of funding for victims.</w:t>
            </w:r>
          </w:p>
        </w:tc>
      </w:tr>
      <w:tr w:rsidR="00C01E9A" w:rsidRPr="00933DD9" w14:paraId="61779964" w14:textId="77777777" w:rsidTr="00B726E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3E606AD" w14:textId="77777777" w:rsidR="00C01E9A" w:rsidRPr="00933DD9" w:rsidRDefault="00C01E9A" w:rsidP="00D875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95BC" w14:textId="4E5A29A0" w:rsidR="00451F82" w:rsidRDefault="00C01E9A" w:rsidP="00C01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order to fulfil on my commitment to victims of crime</w:t>
            </w:r>
            <w:r w:rsidR="00CA498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 have considered the requirements under the Act</w:t>
            </w:r>
            <w:r w:rsidR="0081648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04C7">
              <w:rPr>
                <w:rFonts w:ascii="Arial" w:hAnsi="Arial" w:cs="Arial"/>
                <w:sz w:val="24"/>
                <w:szCs w:val="24"/>
              </w:rPr>
              <w:t>as well as the requirements of the Police and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have allocated an amount of £156,363 to contribute to the </w:t>
            </w:r>
            <w:r w:rsidR="009D5666">
              <w:rPr>
                <w:rFonts w:ascii="Arial" w:hAnsi="Arial" w:cs="Arial"/>
                <w:sz w:val="24"/>
                <w:szCs w:val="24"/>
              </w:rPr>
              <w:t xml:space="preserve">delivery of the </w:t>
            </w:r>
            <w:r w:rsidR="00A2641D">
              <w:rPr>
                <w:rFonts w:ascii="Arial" w:hAnsi="Arial" w:cs="Arial"/>
                <w:sz w:val="24"/>
                <w:szCs w:val="24"/>
              </w:rPr>
              <w:t xml:space="preserve">high-risk Independent </w:t>
            </w:r>
            <w:r w:rsidR="009D5666">
              <w:rPr>
                <w:rFonts w:ascii="Arial" w:hAnsi="Arial" w:cs="Arial"/>
                <w:sz w:val="24"/>
                <w:szCs w:val="24"/>
              </w:rPr>
              <w:t>D</w:t>
            </w:r>
            <w:r w:rsidR="00A2641D">
              <w:rPr>
                <w:rFonts w:ascii="Arial" w:hAnsi="Arial" w:cs="Arial"/>
                <w:sz w:val="24"/>
                <w:szCs w:val="24"/>
              </w:rPr>
              <w:t xml:space="preserve">omestic </w:t>
            </w:r>
            <w:r w:rsidR="009D5666">
              <w:rPr>
                <w:rFonts w:ascii="Arial" w:hAnsi="Arial" w:cs="Arial"/>
                <w:sz w:val="24"/>
                <w:szCs w:val="24"/>
              </w:rPr>
              <w:t>V</w:t>
            </w:r>
            <w:r w:rsidR="00A2641D">
              <w:rPr>
                <w:rFonts w:ascii="Arial" w:hAnsi="Arial" w:cs="Arial"/>
                <w:sz w:val="24"/>
                <w:szCs w:val="24"/>
              </w:rPr>
              <w:t xml:space="preserve">iolence </w:t>
            </w:r>
            <w:r w:rsidR="009D5666">
              <w:rPr>
                <w:rFonts w:ascii="Arial" w:hAnsi="Arial" w:cs="Arial"/>
                <w:sz w:val="24"/>
                <w:szCs w:val="24"/>
              </w:rPr>
              <w:t>A</w:t>
            </w:r>
            <w:r w:rsidR="00A2641D">
              <w:rPr>
                <w:rFonts w:ascii="Arial" w:hAnsi="Arial" w:cs="Arial"/>
                <w:sz w:val="24"/>
                <w:szCs w:val="24"/>
              </w:rPr>
              <w:t>dvocate</w:t>
            </w:r>
            <w:r w:rsidR="009D5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48B">
              <w:rPr>
                <w:rFonts w:ascii="Arial" w:hAnsi="Arial" w:cs="Arial"/>
                <w:sz w:val="24"/>
                <w:szCs w:val="24"/>
              </w:rPr>
              <w:t xml:space="preserve">(IDVA) </w:t>
            </w:r>
            <w:r w:rsidR="009D5666">
              <w:rPr>
                <w:rFonts w:ascii="Arial" w:hAnsi="Arial" w:cs="Arial"/>
                <w:sz w:val="24"/>
                <w:szCs w:val="24"/>
              </w:rPr>
              <w:t>service in 202</w:t>
            </w:r>
            <w:r w:rsidR="002431ED">
              <w:rPr>
                <w:rFonts w:ascii="Arial" w:hAnsi="Arial" w:cs="Arial"/>
                <w:sz w:val="24"/>
                <w:szCs w:val="24"/>
              </w:rPr>
              <w:t>4</w:t>
            </w:r>
            <w:r w:rsidR="00CA498A">
              <w:rPr>
                <w:rFonts w:ascii="Arial" w:hAnsi="Arial" w:cs="Arial"/>
                <w:sz w:val="24"/>
                <w:szCs w:val="24"/>
              </w:rPr>
              <w:t>/</w:t>
            </w:r>
            <w:r w:rsidR="009D5666">
              <w:rPr>
                <w:rFonts w:ascii="Arial" w:hAnsi="Arial" w:cs="Arial"/>
                <w:sz w:val="24"/>
                <w:szCs w:val="24"/>
              </w:rPr>
              <w:t>2</w:t>
            </w:r>
            <w:r w:rsidR="002431ED">
              <w:rPr>
                <w:rFonts w:ascii="Arial" w:hAnsi="Arial" w:cs="Arial"/>
                <w:sz w:val="24"/>
                <w:szCs w:val="24"/>
              </w:rPr>
              <w:t>5</w:t>
            </w:r>
            <w:r w:rsidR="009D5666">
              <w:rPr>
                <w:rFonts w:ascii="Arial" w:hAnsi="Arial" w:cs="Arial"/>
                <w:sz w:val="24"/>
                <w:szCs w:val="24"/>
              </w:rPr>
              <w:t>.</w:t>
            </w:r>
            <w:r w:rsidR="001E6875">
              <w:rPr>
                <w:rFonts w:ascii="Arial" w:hAnsi="Arial" w:cs="Arial"/>
                <w:sz w:val="24"/>
                <w:szCs w:val="24"/>
              </w:rPr>
              <w:t xml:space="preserve"> This is allocated with the intention of working with Newport City Council to </w:t>
            </w:r>
            <w:r w:rsidR="00451F82">
              <w:rPr>
                <w:rFonts w:ascii="Arial" w:hAnsi="Arial" w:cs="Arial"/>
                <w:sz w:val="24"/>
                <w:szCs w:val="24"/>
              </w:rPr>
              <w:t>commission</w:t>
            </w:r>
            <w:r w:rsidR="001E6875">
              <w:rPr>
                <w:rFonts w:ascii="Arial" w:hAnsi="Arial" w:cs="Arial"/>
                <w:sz w:val="24"/>
                <w:szCs w:val="24"/>
              </w:rPr>
              <w:t xml:space="preserve"> longer term and more sustainable arrangements for the IDVA service.</w:t>
            </w:r>
            <w:r w:rsidR="00451F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9AEBD9" w14:textId="472BCF41" w:rsidR="00C01E9A" w:rsidRDefault="00BA023C" w:rsidP="00C01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51F82">
              <w:rPr>
                <w:rFonts w:ascii="Arial" w:hAnsi="Arial" w:cs="Arial"/>
                <w:sz w:val="24"/>
                <w:szCs w:val="24"/>
              </w:rPr>
              <w:t xml:space="preserve"> commissioning exercise</w:t>
            </w:r>
            <w:r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="00451F82">
              <w:rPr>
                <w:rFonts w:ascii="Arial" w:hAnsi="Arial" w:cs="Arial"/>
                <w:sz w:val="24"/>
                <w:szCs w:val="24"/>
              </w:rPr>
              <w:t xml:space="preserve"> be completed within the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51F82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51F82">
              <w:rPr>
                <w:rFonts w:ascii="Arial" w:hAnsi="Arial" w:cs="Arial"/>
                <w:sz w:val="24"/>
                <w:szCs w:val="24"/>
              </w:rPr>
              <w:t xml:space="preserve"> financial year and </w:t>
            </w: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451F82">
              <w:rPr>
                <w:rFonts w:ascii="Arial" w:hAnsi="Arial" w:cs="Arial"/>
                <w:sz w:val="24"/>
                <w:szCs w:val="24"/>
              </w:rPr>
              <w:t>the IDVA service transfers to a new provider mid</w:t>
            </w:r>
            <w:r w:rsidR="00753EA5">
              <w:rPr>
                <w:rFonts w:ascii="Arial" w:hAnsi="Arial" w:cs="Arial"/>
                <w:sz w:val="24"/>
                <w:szCs w:val="24"/>
              </w:rPr>
              <w:t>-</w:t>
            </w:r>
            <w:r w:rsidR="00451F82">
              <w:rPr>
                <w:rFonts w:ascii="Arial" w:hAnsi="Arial" w:cs="Arial"/>
                <w:sz w:val="24"/>
                <w:szCs w:val="24"/>
              </w:rPr>
              <w:t xml:space="preserve">year, a pro-rata funding allocation will be transferred to the new provider </w:t>
            </w:r>
            <w:r w:rsidR="00312D4E">
              <w:rPr>
                <w:rFonts w:ascii="Arial" w:hAnsi="Arial" w:cs="Arial"/>
                <w:sz w:val="24"/>
                <w:szCs w:val="24"/>
              </w:rPr>
              <w:t>from</w:t>
            </w:r>
            <w:r w:rsidR="00451F82">
              <w:rPr>
                <w:rFonts w:ascii="Arial" w:hAnsi="Arial" w:cs="Arial"/>
                <w:sz w:val="24"/>
                <w:szCs w:val="24"/>
              </w:rPr>
              <w:t xml:space="preserve"> this £156,363 allocated amount.</w:t>
            </w:r>
          </w:p>
          <w:p w14:paraId="5A8548DB" w14:textId="097E0085" w:rsidR="00451F82" w:rsidRPr="00957874" w:rsidRDefault="00451F82" w:rsidP="00C01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IDVA service will also receive £</w:t>
            </w:r>
            <w:r w:rsidR="001D3ED5">
              <w:rPr>
                <w:rFonts w:ascii="Arial" w:hAnsi="Arial" w:cs="Arial"/>
                <w:sz w:val="24"/>
                <w:szCs w:val="24"/>
              </w:rPr>
              <w:t>178,760</w:t>
            </w:r>
            <w:r w:rsidR="00753EA5">
              <w:rPr>
                <w:rFonts w:ascii="Arial" w:hAnsi="Arial" w:cs="Arial"/>
                <w:sz w:val="24"/>
                <w:szCs w:val="24"/>
              </w:rPr>
              <w:t xml:space="preserve"> from the Ministry of Justice Victims Services Grant, this funding was awarded to the OPCC by the MOJ for the purpose of funding 4 additional IDVAs. As with the PCC’s core funding this funding will be provided to the organisation providing the IDVA service in Gwent</w:t>
            </w:r>
            <w:r w:rsidR="00F76906">
              <w:rPr>
                <w:rFonts w:ascii="Arial" w:hAnsi="Arial" w:cs="Arial"/>
                <w:sz w:val="24"/>
                <w:szCs w:val="24"/>
              </w:rPr>
              <w:t>.</w:t>
            </w:r>
            <w:r w:rsidR="00753E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31ED">
              <w:rPr>
                <w:rFonts w:ascii="Arial" w:hAnsi="Arial" w:cs="Arial"/>
                <w:sz w:val="24"/>
                <w:szCs w:val="24"/>
              </w:rPr>
              <w:t>If</w:t>
            </w:r>
            <w:r w:rsidR="00753EA5">
              <w:rPr>
                <w:rFonts w:ascii="Arial" w:hAnsi="Arial" w:cs="Arial"/>
                <w:sz w:val="24"/>
                <w:szCs w:val="24"/>
              </w:rPr>
              <w:t xml:space="preserve"> this change</w:t>
            </w:r>
            <w:r w:rsidR="002431ED">
              <w:rPr>
                <w:rFonts w:ascii="Arial" w:hAnsi="Arial" w:cs="Arial"/>
                <w:sz w:val="24"/>
                <w:szCs w:val="24"/>
              </w:rPr>
              <w:t>s</w:t>
            </w:r>
            <w:r w:rsidR="00753EA5">
              <w:rPr>
                <w:rFonts w:ascii="Arial" w:hAnsi="Arial" w:cs="Arial"/>
                <w:sz w:val="24"/>
                <w:szCs w:val="24"/>
              </w:rPr>
              <w:t xml:space="preserve"> during the financial year the remaining funding shall be awarded to the new organisation when the service transfers.</w:t>
            </w:r>
          </w:p>
          <w:p w14:paraId="7B9E8F21" w14:textId="2D339DE4" w:rsidR="007963DB" w:rsidRDefault="007963DB" w:rsidP="00C01E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B90812" w14:textId="6614F881" w:rsidR="00C01E9A" w:rsidRDefault="004D6A09" w:rsidP="00F12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total amount being awarded for 202</w:t>
            </w:r>
            <w:r w:rsidR="002431E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2431E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72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563D7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97472">
              <w:rPr>
                <w:rFonts w:ascii="Arial" w:hAnsi="Arial" w:cs="Arial"/>
                <w:sz w:val="24"/>
                <w:szCs w:val="24"/>
              </w:rPr>
              <w:t xml:space="preserve">OPCC </w:t>
            </w:r>
            <w:r>
              <w:rPr>
                <w:rFonts w:ascii="Arial" w:hAnsi="Arial" w:cs="Arial"/>
                <w:sz w:val="24"/>
                <w:szCs w:val="24"/>
              </w:rPr>
              <w:t>to deliver the high-risk IDVA service is</w:t>
            </w:r>
            <w:r w:rsidR="00097472">
              <w:rPr>
                <w:rFonts w:ascii="Arial" w:hAnsi="Arial" w:cs="Arial"/>
                <w:sz w:val="24"/>
                <w:szCs w:val="24"/>
              </w:rPr>
              <w:t xml:space="preserve"> therefore </w:t>
            </w:r>
            <w:r w:rsidR="001E0B35">
              <w:rPr>
                <w:rFonts w:ascii="Arial" w:hAnsi="Arial" w:cs="Arial"/>
                <w:sz w:val="24"/>
                <w:szCs w:val="24"/>
              </w:rPr>
              <w:t xml:space="preserve">£335,123. </w:t>
            </w:r>
          </w:p>
        </w:tc>
      </w:tr>
      <w:tr w:rsidR="004D7673" w:rsidRPr="00933DD9" w14:paraId="443EDAC6" w14:textId="77777777" w:rsidTr="00B726E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4447F19" w14:textId="77777777" w:rsidR="004D7673" w:rsidRPr="00933DD9" w:rsidRDefault="004D7673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FE5" w14:textId="77777777" w:rsidR="001D04C7" w:rsidRPr="001D04C7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each award 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>will be set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out in a Grant Agreement</w:t>
            </w:r>
            <w:r w:rsidR="00CA498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53EA778D" w14:textId="70A6E039" w:rsidR="001D04C7" w:rsidRPr="001D04C7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CA498A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projects, and provide reassurance that funding allocated is effectively meeting Policing Priorities in Gwent, as outlined in the Police and </w:t>
            </w:r>
            <w:r w:rsidR="00F76906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CA498A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CA498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64F94160" w14:textId="77777777" w:rsidR="006955C6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Activity;</w:t>
            </w:r>
          </w:p>
          <w:p w14:paraId="494DE1F5" w14:textId="77777777" w:rsidR="006955C6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Outputs;</w:t>
            </w:r>
          </w:p>
          <w:p w14:paraId="4BE244ED" w14:textId="77777777" w:rsidR="006955C6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Outcomes;</w:t>
            </w:r>
          </w:p>
          <w:p w14:paraId="427B1888" w14:textId="77777777" w:rsidR="006955C6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Breakdown of financial expenditure;</w:t>
            </w:r>
          </w:p>
          <w:p w14:paraId="0768EA7C" w14:textId="77777777" w:rsidR="006955C6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Risks; and </w:t>
            </w:r>
          </w:p>
          <w:p w14:paraId="5EF838B0" w14:textId="77777777" w:rsidR="006955C6" w:rsidRDefault="006955C6" w:rsidP="006955C6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Learning. </w:t>
            </w:r>
          </w:p>
          <w:p w14:paraId="73A3A721" w14:textId="77777777" w:rsidR="001D04C7" w:rsidRPr="001D04C7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4F8C1B" w14:textId="77777777" w:rsidR="00E5758D" w:rsidRDefault="00E5758D" w:rsidP="00E575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1D04C7">
              <w:rPr>
                <w:rFonts w:ascii="Arial" w:hAnsi="Arial" w:cs="Arial"/>
                <w:sz w:val="24"/>
                <w:szCs w:val="24"/>
              </w:rPr>
              <w:t>panel recommended additional conditions over and above the standard terms and conditions</w:t>
            </w:r>
            <w:r>
              <w:rPr>
                <w:rFonts w:ascii="Arial" w:hAnsi="Arial" w:cs="Arial"/>
                <w:sz w:val="24"/>
                <w:szCs w:val="24"/>
              </w:rPr>
              <w:t>, (in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 gain assurance and clarity in relation to project deliverables and outcomes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>
              <w:rPr>
                <w:rFonts w:ascii="Arial" w:hAnsi="Arial" w:cs="Arial"/>
                <w:sz w:val="24"/>
                <w:szCs w:val="24"/>
              </w:rPr>
              <w:t>te,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4EBED009" w14:textId="77777777" w:rsidR="00C01E9A" w:rsidRDefault="00C01E9A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FB626" w14:textId="77777777" w:rsidR="00C01E9A" w:rsidRPr="001D04C7" w:rsidRDefault="00C01E9A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Successful applicants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required to accept the terms and conditions of the grant</w:t>
            </w:r>
            <w:r w:rsidR="00CA498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81648B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  <w:p w14:paraId="6C3B9137" w14:textId="77777777" w:rsidR="00F12D58" w:rsidRPr="001D04C7" w:rsidRDefault="00F12D58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5BB812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p w14:paraId="6BB151B8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70"/>
      </w:tblGrid>
      <w:tr w:rsidR="00320095" w:rsidRPr="00933DD9" w14:paraId="6219FB55" w14:textId="77777777" w:rsidTr="00933DD9">
        <w:tc>
          <w:tcPr>
            <w:tcW w:w="9242" w:type="dxa"/>
            <w:gridSpan w:val="2"/>
            <w:shd w:val="clear" w:color="auto" w:fill="auto"/>
          </w:tcPr>
          <w:p w14:paraId="0C98EF1E" w14:textId="77777777" w:rsidR="00320095" w:rsidRPr="00933DD9" w:rsidRDefault="008A1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Jeff Cuthbert</w:t>
            </w:r>
            <w:r w:rsidR="00265130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65130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3BFF37E7" w14:textId="77777777" w:rsidTr="00933DD9">
        <w:tc>
          <w:tcPr>
            <w:tcW w:w="9242" w:type="dxa"/>
            <w:gridSpan w:val="2"/>
            <w:shd w:val="clear" w:color="auto" w:fill="auto"/>
          </w:tcPr>
          <w:p w14:paraId="19CBD6E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42BEF9EC" w14:textId="77777777" w:rsidTr="00933DD9">
        <w:tc>
          <w:tcPr>
            <w:tcW w:w="4621" w:type="dxa"/>
            <w:shd w:val="clear" w:color="auto" w:fill="auto"/>
          </w:tcPr>
          <w:p w14:paraId="49105B4E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138B96A1" w14:textId="7397B94B" w:rsidR="00782173" w:rsidRPr="00933DD9" w:rsidRDefault="0001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AC7453" wp14:editId="58F75437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4E959E10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D1E696A" w14:textId="1A40CDE8" w:rsidR="000163FC" w:rsidRPr="00933DD9" w:rsidRDefault="0001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22.03.2024</w:t>
            </w:r>
          </w:p>
        </w:tc>
      </w:tr>
    </w:tbl>
    <w:p w14:paraId="3386BAA9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481"/>
      </w:tblGrid>
      <w:tr w:rsidR="00320095" w:rsidRPr="00933DD9" w14:paraId="1BD55898" w14:textId="77777777" w:rsidTr="00F27A6F">
        <w:tc>
          <w:tcPr>
            <w:tcW w:w="3652" w:type="dxa"/>
            <w:shd w:val="clear" w:color="auto" w:fill="auto"/>
          </w:tcPr>
          <w:p w14:paraId="52B3BCC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545D56BC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FCD6FA3" w14:textId="77777777" w:rsidTr="00F27A6F">
        <w:tc>
          <w:tcPr>
            <w:tcW w:w="3652" w:type="dxa"/>
            <w:shd w:val="clear" w:color="auto" w:fill="auto"/>
          </w:tcPr>
          <w:p w14:paraId="62B4811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5590" w:type="dxa"/>
            <w:shd w:val="clear" w:color="auto" w:fill="auto"/>
          </w:tcPr>
          <w:p w14:paraId="41C8CF81" w14:textId="363160FF" w:rsidR="00320095" w:rsidRPr="00933DD9" w:rsidRDefault="002431ED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 Morris</w:t>
            </w:r>
          </w:p>
        </w:tc>
      </w:tr>
      <w:tr w:rsidR="00320095" w:rsidRPr="00933DD9" w14:paraId="365309D5" w14:textId="77777777" w:rsidTr="00F27A6F">
        <w:tc>
          <w:tcPr>
            <w:tcW w:w="3652" w:type="dxa"/>
            <w:shd w:val="clear" w:color="auto" w:fill="auto"/>
          </w:tcPr>
          <w:p w14:paraId="1740B00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27AD16DE" w14:textId="3135B3D5" w:rsidR="00320095" w:rsidRPr="00933DD9" w:rsidRDefault="00C64CBE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Temp. </w:t>
            </w:r>
            <w:r w:rsidR="00CC7516"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75DB6F8D" w14:textId="77777777" w:rsidTr="00F27A6F">
        <w:tc>
          <w:tcPr>
            <w:tcW w:w="3652" w:type="dxa"/>
            <w:shd w:val="clear" w:color="auto" w:fill="auto"/>
          </w:tcPr>
          <w:p w14:paraId="2AACF94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48E4353E" w14:textId="77777777" w:rsidR="00320095" w:rsidRPr="00933DD9" w:rsidRDefault="00CC7516">
            <w:pPr>
              <w:rPr>
                <w:rFonts w:ascii="Arial" w:hAnsi="Arial" w:cs="Arial"/>
                <w:sz w:val="24"/>
                <w:szCs w:val="24"/>
              </w:rPr>
            </w:pPr>
            <w:r w:rsidRPr="00CC7516">
              <w:rPr>
                <w:rFonts w:ascii="Arial" w:eastAsia="Times New Roman" w:hAnsi="Arial" w:cs="Arial"/>
                <w:noProof/>
                <w:lang w:eastAsia="en-GB"/>
              </w:rPr>
              <w:t>01633 642203</w:t>
            </w:r>
          </w:p>
        </w:tc>
      </w:tr>
      <w:tr w:rsidR="00320095" w:rsidRPr="00933DD9" w14:paraId="32DE39CF" w14:textId="77777777" w:rsidTr="00F27A6F">
        <w:tc>
          <w:tcPr>
            <w:tcW w:w="3652" w:type="dxa"/>
            <w:shd w:val="clear" w:color="auto" w:fill="auto"/>
          </w:tcPr>
          <w:p w14:paraId="7E5360D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5FB80D2C" w14:textId="03FA9711" w:rsidR="00320095" w:rsidRPr="00312D4E" w:rsidRDefault="000163FC" w:rsidP="0032009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/>
            <w:r w:rsidR="007E6653" w:rsidRPr="00312D4E">
              <w:rPr>
                <w:rFonts w:ascii="Arial" w:hAnsi="Arial" w:cs="Arial"/>
                <w:sz w:val="24"/>
                <w:szCs w:val="24"/>
              </w:rPr>
              <w:t>zoe.morris@gwent.police.uk</w:t>
            </w:r>
          </w:p>
        </w:tc>
      </w:tr>
      <w:tr w:rsidR="00320095" w:rsidRPr="00933DD9" w14:paraId="44786BC2" w14:textId="77777777" w:rsidTr="00F27A6F">
        <w:tc>
          <w:tcPr>
            <w:tcW w:w="3652" w:type="dxa"/>
            <w:shd w:val="clear" w:color="auto" w:fill="auto"/>
          </w:tcPr>
          <w:p w14:paraId="125C9876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29809247" w14:textId="7849958B" w:rsidR="002A3E1E" w:rsidRPr="00933DD9" w:rsidRDefault="002A3E1E" w:rsidP="001C3B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AD3A2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3225C5BE" w14:textId="77777777" w:rsidR="00DE22AB" w:rsidRDefault="00DE22AB" w:rsidP="002E31B3">
      <w:pPr>
        <w:jc w:val="center"/>
        <w:rPr>
          <w:b/>
          <w:sz w:val="44"/>
          <w:szCs w:val="44"/>
          <w:u w:val="single"/>
        </w:rPr>
      </w:pPr>
    </w:p>
    <w:sectPr w:rsidR="00DE22AB" w:rsidSect="0046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6E31" w14:textId="77777777" w:rsidR="00624A66" w:rsidRDefault="00624A66" w:rsidP="00DE22AB">
      <w:pPr>
        <w:spacing w:after="0" w:line="240" w:lineRule="auto"/>
      </w:pPr>
      <w:r>
        <w:separator/>
      </w:r>
    </w:p>
  </w:endnote>
  <w:endnote w:type="continuationSeparator" w:id="0">
    <w:p w14:paraId="3835552A" w14:textId="77777777" w:rsidR="00624A66" w:rsidRDefault="00624A66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FF30" w14:textId="77777777" w:rsidR="006A1BEB" w:rsidRDefault="006A1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07B8" w14:textId="77777777" w:rsidR="006A1BEB" w:rsidRDefault="006A1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554C" w14:textId="77777777" w:rsidR="006A1BEB" w:rsidRDefault="006A1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E655" w14:textId="77777777" w:rsidR="00624A66" w:rsidRDefault="00624A66" w:rsidP="00DE22AB">
      <w:pPr>
        <w:spacing w:after="0" w:line="240" w:lineRule="auto"/>
      </w:pPr>
      <w:r>
        <w:separator/>
      </w:r>
    </w:p>
  </w:footnote>
  <w:footnote w:type="continuationSeparator" w:id="0">
    <w:p w14:paraId="620F44DC" w14:textId="77777777" w:rsidR="00624A66" w:rsidRDefault="00624A66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3A19" w14:textId="77777777" w:rsidR="006A1BEB" w:rsidRDefault="006A1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E922" w14:textId="77777777" w:rsidR="006A1BEB" w:rsidRDefault="006A1B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10BC" w14:textId="77777777" w:rsidR="006A1BEB" w:rsidRDefault="006A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1B2C"/>
    <w:multiLevelType w:val="hybridMultilevel"/>
    <w:tmpl w:val="4E0A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48746">
    <w:abstractNumId w:val="5"/>
  </w:num>
  <w:num w:numId="2" w16cid:durableId="1760757888">
    <w:abstractNumId w:val="6"/>
  </w:num>
  <w:num w:numId="3" w16cid:durableId="1819415651">
    <w:abstractNumId w:val="4"/>
  </w:num>
  <w:num w:numId="4" w16cid:durableId="505484334">
    <w:abstractNumId w:val="7"/>
  </w:num>
  <w:num w:numId="5" w16cid:durableId="932933261">
    <w:abstractNumId w:val="0"/>
  </w:num>
  <w:num w:numId="6" w16cid:durableId="717166329">
    <w:abstractNumId w:val="1"/>
  </w:num>
  <w:num w:numId="7" w16cid:durableId="1009719209">
    <w:abstractNumId w:val="8"/>
  </w:num>
  <w:num w:numId="8" w16cid:durableId="102458135">
    <w:abstractNumId w:val="9"/>
  </w:num>
  <w:num w:numId="9" w16cid:durableId="1947348767">
    <w:abstractNumId w:val="3"/>
  </w:num>
  <w:num w:numId="10" w16cid:durableId="440297059">
    <w:abstractNumId w:val="3"/>
  </w:num>
  <w:num w:numId="11" w16cid:durableId="168004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163FC"/>
    <w:rsid w:val="00017E08"/>
    <w:rsid w:val="000267FF"/>
    <w:rsid w:val="000362B5"/>
    <w:rsid w:val="0008452F"/>
    <w:rsid w:val="00093560"/>
    <w:rsid w:val="00095178"/>
    <w:rsid w:val="00097472"/>
    <w:rsid w:val="000C2D13"/>
    <w:rsid w:val="000F0BC3"/>
    <w:rsid w:val="000F1872"/>
    <w:rsid w:val="00116A3F"/>
    <w:rsid w:val="00131773"/>
    <w:rsid w:val="001452E1"/>
    <w:rsid w:val="00147B75"/>
    <w:rsid w:val="001512EF"/>
    <w:rsid w:val="00160BFC"/>
    <w:rsid w:val="0016122E"/>
    <w:rsid w:val="00193194"/>
    <w:rsid w:val="001978D9"/>
    <w:rsid w:val="001C1D7B"/>
    <w:rsid w:val="001C3B1F"/>
    <w:rsid w:val="001D04C7"/>
    <w:rsid w:val="001D3ED5"/>
    <w:rsid w:val="001E0B35"/>
    <w:rsid w:val="001E6875"/>
    <w:rsid w:val="00202626"/>
    <w:rsid w:val="00213F43"/>
    <w:rsid w:val="0022477E"/>
    <w:rsid w:val="002431ED"/>
    <w:rsid w:val="0025617B"/>
    <w:rsid w:val="00265130"/>
    <w:rsid w:val="002719B7"/>
    <w:rsid w:val="00277CC5"/>
    <w:rsid w:val="00292481"/>
    <w:rsid w:val="002A0E83"/>
    <w:rsid w:val="002A3E1E"/>
    <w:rsid w:val="002D39E9"/>
    <w:rsid w:val="002E31B3"/>
    <w:rsid w:val="002F62CE"/>
    <w:rsid w:val="00312D4E"/>
    <w:rsid w:val="00320095"/>
    <w:rsid w:val="00336A42"/>
    <w:rsid w:val="00353B5A"/>
    <w:rsid w:val="00365963"/>
    <w:rsid w:val="00365A56"/>
    <w:rsid w:val="0037409A"/>
    <w:rsid w:val="003815B6"/>
    <w:rsid w:val="00390764"/>
    <w:rsid w:val="003B0342"/>
    <w:rsid w:val="003F6D85"/>
    <w:rsid w:val="0041618A"/>
    <w:rsid w:val="004167C3"/>
    <w:rsid w:val="00435672"/>
    <w:rsid w:val="00451F82"/>
    <w:rsid w:val="004678F8"/>
    <w:rsid w:val="00470EE3"/>
    <w:rsid w:val="00482DB5"/>
    <w:rsid w:val="00492886"/>
    <w:rsid w:val="004A5917"/>
    <w:rsid w:val="004A6591"/>
    <w:rsid w:val="004D6A09"/>
    <w:rsid w:val="004D7673"/>
    <w:rsid w:val="004E13DE"/>
    <w:rsid w:val="004F69D1"/>
    <w:rsid w:val="0050391C"/>
    <w:rsid w:val="00523679"/>
    <w:rsid w:val="00563D78"/>
    <w:rsid w:val="00582528"/>
    <w:rsid w:val="005864A8"/>
    <w:rsid w:val="00586D1E"/>
    <w:rsid w:val="005D18A7"/>
    <w:rsid w:val="005D523C"/>
    <w:rsid w:val="005E16C0"/>
    <w:rsid w:val="006102E2"/>
    <w:rsid w:val="006115A5"/>
    <w:rsid w:val="00611D88"/>
    <w:rsid w:val="00621046"/>
    <w:rsid w:val="00621373"/>
    <w:rsid w:val="00624A66"/>
    <w:rsid w:val="0065390A"/>
    <w:rsid w:val="006607EA"/>
    <w:rsid w:val="00672410"/>
    <w:rsid w:val="006955C6"/>
    <w:rsid w:val="006A1BEB"/>
    <w:rsid w:val="006F3A19"/>
    <w:rsid w:val="00703D76"/>
    <w:rsid w:val="00753EA5"/>
    <w:rsid w:val="00762ACB"/>
    <w:rsid w:val="007674CB"/>
    <w:rsid w:val="00782173"/>
    <w:rsid w:val="00786E28"/>
    <w:rsid w:val="00787656"/>
    <w:rsid w:val="007963DB"/>
    <w:rsid w:val="007B53AF"/>
    <w:rsid w:val="007D72AA"/>
    <w:rsid w:val="007E2A05"/>
    <w:rsid w:val="007E6653"/>
    <w:rsid w:val="007F39C1"/>
    <w:rsid w:val="0081648B"/>
    <w:rsid w:val="00823422"/>
    <w:rsid w:val="00844578"/>
    <w:rsid w:val="00870877"/>
    <w:rsid w:val="0087243D"/>
    <w:rsid w:val="0089396D"/>
    <w:rsid w:val="0089513D"/>
    <w:rsid w:val="008A1553"/>
    <w:rsid w:val="008A4DAD"/>
    <w:rsid w:val="008D0129"/>
    <w:rsid w:val="008E53A0"/>
    <w:rsid w:val="009016D9"/>
    <w:rsid w:val="00915C84"/>
    <w:rsid w:val="00923CB9"/>
    <w:rsid w:val="00927A0A"/>
    <w:rsid w:val="00933DD9"/>
    <w:rsid w:val="00960922"/>
    <w:rsid w:val="00985740"/>
    <w:rsid w:val="00987D01"/>
    <w:rsid w:val="009A64DB"/>
    <w:rsid w:val="009D5666"/>
    <w:rsid w:val="009D678F"/>
    <w:rsid w:val="009F3815"/>
    <w:rsid w:val="00A12607"/>
    <w:rsid w:val="00A2641D"/>
    <w:rsid w:val="00A36DF4"/>
    <w:rsid w:val="00A46E2E"/>
    <w:rsid w:val="00A50103"/>
    <w:rsid w:val="00A567D8"/>
    <w:rsid w:val="00A6101D"/>
    <w:rsid w:val="00A645AC"/>
    <w:rsid w:val="00A82E5E"/>
    <w:rsid w:val="00A94261"/>
    <w:rsid w:val="00A963B4"/>
    <w:rsid w:val="00AA5633"/>
    <w:rsid w:val="00AB151E"/>
    <w:rsid w:val="00AF5AF4"/>
    <w:rsid w:val="00B15C10"/>
    <w:rsid w:val="00B23E41"/>
    <w:rsid w:val="00B608C5"/>
    <w:rsid w:val="00B63550"/>
    <w:rsid w:val="00B726EC"/>
    <w:rsid w:val="00B72DBE"/>
    <w:rsid w:val="00BA023C"/>
    <w:rsid w:val="00C01E9A"/>
    <w:rsid w:val="00C419F2"/>
    <w:rsid w:val="00C43D7D"/>
    <w:rsid w:val="00C47F78"/>
    <w:rsid w:val="00C64CBE"/>
    <w:rsid w:val="00C66A8B"/>
    <w:rsid w:val="00CA0069"/>
    <w:rsid w:val="00CA027B"/>
    <w:rsid w:val="00CA498A"/>
    <w:rsid w:val="00CC2479"/>
    <w:rsid w:val="00CC7516"/>
    <w:rsid w:val="00CD1F63"/>
    <w:rsid w:val="00D027CA"/>
    <w:rsid w:val="00D0411B"/>
    <w:rsid w:val="00D268D8"/>
    <w:rsid w:val="00D26BB4"/>
    <w:rsid w:val="00D33208"/>
    <w:rsid w:val="00D37B81"/>
    <w:rsid w:val="00D42A97"/>
    <w:rsid w:val="00D5511E"/>
    <w:rsid w:val="00D57A57"/>
    <w:rsid w:val="00D8752E"/>
    <w:rsid w:val="00D9700B"/>
    <w:rsid w:val="00DE22AB"/>
    <w:rsid w:val="00E10CD0"/>
    <w:rsid w:val="00E34259"/>
    <w:rsid w:val="00E34B94"/>
    <w:rsid w:val="00E37EF5"/>
    <w:rsid w:val="00E512A9"/>
    <w:rsid w:val="00E56EE4"/>
    <w:rsid w:val="00E5758D"/>
    <w:rsid w:val="00E80D4E"/>
    <w:rsid w:val="00E907EC"/>
    <w:rsid w:val="00EC057C"/>
    <w:rsid w:val="00EE02C1"/>
    <w:rsid w:val="00EE23B4"/>
    <w:rsid w:val="00EE4DC7"/>
    <w:rsid w:val="00EF0979"/>
    <w:rsid w:val="00EF6087"/>
    <w:rsid w:val="00F12D58"/>
    <w:rsid w:val="00F27A6F"/>
    <w:rsid w:val="00F33D1A"/>
    <w:rsid w:val="00F35C24"/>
    <w:rsid w:val="00F4741F"/>
    <w:rsid w:val="00F55D34"/>
    <w:rsid w:val="00F66B0D"/>
    <w:rsid w:val="00F703C8"/>
    <w:rsid w:val="00F749D0"/>
    <w:rsid w:val="00F76906"/>
    <w:rsid w:val="00F76D19"/>
    <w:rsid w:val="00F86191"/>
    <w:rsid w:val="00F94BA0"/>
    <w:rsid w:val="00F95045"/>
    <w:rsid w:val="00FB58C6"/>
    <w:rsid w:val="00FC0149"/>
    <w:rsid w:val="00FD2C97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3D4F93A0"/>
  <w15:chartTrackingRefBased/>
  <w15:docId w15:val="{422EC70D-E32A-4C62-8789-E557B47B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customStyle="1" w:styleId="Default">
    <w:name w:val="Default"/>
    <w:rsid w:val="007963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7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644AC-7B2B-4910-AB53-7B3C14A78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89171-D698-4744-B7EE-2C2F0885F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59C98-27EF-4221-A719-7F8DD869BD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14:22:00</dc:description>
  <cp:lastModifiedBy>Warren, Nicola</cp:lastModifiedBy>
  <cp:revision>3</cp:revision>
  <cp:lastPrinted>2012-12-06T11:30:00Z</cp:lastPrinted>
  <dcterms:created xsi:type="dcterms:W3CDTF">2024-03-20T17:41:00Z</dcterms:created>
  <dcterms:modified xsi:type="dcterms:W3CDTF">2024-03-22T14:21:00Z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2022-04-06T13:28:49Z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d8d71599-c825-4583-b1f1-df293734c11e</vt:lpwstr>
  </property>
  <property fmtid="{D5CDD505-2E9C-101B-9397-08002B2CF9AE}" pid="15" name="MSIP_Label_f2acd28b-79a3-4a0f-b0ff-4b75658b1549_ContentBits">
    <vt:lpwstr>0</vt:lpwstr>
  </property>
</Properties>
</file>