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2443"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7B50EDC3" w14:textId="77777777" w:rsidR="008D4516" w:rsidRPr="00D26302" w:rsidRDefault="008D4516" w:rsidP="00D26302">
      <w:pPr>
        <w:jc w:val="center"/>
        <w:rPr>
          <w:rFonts w:ascii="Arial" w:hAnsi="Arial" w:cs="Arial"/>
          <w:b/>
          <w:sz w:val="24"/>
          <w:szCs w:val="24"/>
          <w:u w:val="single"/>
        </w:rPr>
      </w:pPr>
      <w:r>
        <w:rPr>
          <w:rFonts w:ascii="Arial" w:hAnsi="Arial" w:cs="Arial"/>
          <w:b/>
          <w:sz w:val="24"/>
          <w:szCs w:val="24"/>
          <w:u w:val="single"/>
        </w:rPr>
        <w:t>OFFICE OF THE CHIEF CONSTABLE</w:t>
      </w:r>
    </w:p>
    <w:p w14:paraId="6ABE405B" w14:textId="77777777" w:rsidR="00D26302" w:rsidRDefault="00D26302">
      <w:pPr>
        <w:rPr>
          <w:rFonts w:ascii="Arial" w:hAnsi="Arial" w:cs="Arial"/>
          <w:b/>
          <w:sz w:val="24"/>
          <w:szCs w:val="24"/>
        </w:rPr>
      </w:pPr>
      <w:r w:rsidRPr="00D26302">
        <w:rPr>
          <w:rFonts w:ascii="Arial" w:hAnsi="Arial" w:cs="Arial"/>
          <w:b/>
          <w:sz w:val="24"/>
          <w:szCs w:val="24"/>
        </w:rPr>
        <w:t>TITLE:</w:t>
      </w:r>
      <w:r w:rsidR="00BC5418">
        <w:rPr>
          <w:rFonts w:ascii="Arial" w:hAnsi="Arial" w:cs="Arial"/>
          <w:b/>
          <w:sz w:val="24"/>
          <w:szCs w:val="24"/>
        </w:rPr>
        <w:t xml:space="preserve"> </w:t>
      </w:r>
      <w:r w:rsidR="001D465B">
        <w:rPr>
          <w:rFonts w:ascii="Arial" w:hAnsi="Arial" w:cs="Arial"/>
          <w:b/>
          <w:sz w:val="24"/>
          <w:szCs w:val="24"/>
        </w:rPr>
        <w:tab/>
        <w:t>Joint Audit Committee Terms</w:t>
      </w:r>
      <w:r w:rsidR="00EB4AD4">
        <w:rPr>
          <w:rFonts w:ascii="Arial" w:hAnsi="Arial" w:cs="Arial"/>
          <w:b/>
          <w:sz w:val="24"/>
          <w:szCs w:val="24"/>
        </w:rPr>
        <w:t xml:space="preserve"> of Reference</w:t>
      </w:r>
      <w:r w:rsidR="001D465B">
        <w:rPr>
          <w:rFonts w:ascii="Arial" w:hAnsi="Arial" w:cs="Arial"/>
          <w:b/>
          <w:sz w:val="24"/>
          <w:szCs w:val="24"/>
        </w:rPr>
        <w:t xml:space="preserve"> Review</w:t>
      </w:r>
      <w:r w:rsidR="00936558">
        <w:rPr>
          <w:rFonts w:ascii="Arial" w:hAnsi="Arial" w:cs="Arial"/>
          <w:b/>
          <w:sz w:val="24"/>
          <w:szCs w:val="24"/>
        </w:rPr>
        <w:tab/>
      </w:r>
    </w:p>
    <w:p w14:paraId="1FB7E044" w14:textId="7B3578A8" w:rsidR="00BC5418" w:rsidRDefault="00BC5418">
      <w:pPr>
        <w:rPr>
          <w:rFonts w:ascii="Arial" w:hAnsi="Arial" w:cs="Arial"/>
          <w:b/>
          <w:sz w:val="24"/>
          <w:szCs w:val="24"/>
        </w:rPr>
      </w:pPr>
      <w:r>
        <w:rPr>
          <w:rFonts w:ascii="Arial" w:hAnsi="Arial" w:cs="Arial"/>
          <w:b/>
          <w:sz w:val="24"/>
          <w:szCs w:val="24"/>
        </w:rPr>
        <w:t>DATE:</w:t>
      </w:r>
      <w:r w:rsidR="00936558">
        <w:rPr>
          <w:rFonts w:ascii="Arial" w:hAnsi="Arial" w:cs="Arial"/>
          <w:b/>
          <w:sz w:val="24"/>
          <w:szCs w:val="24"/>
        </w:rPr>
        <w:tab/>
      </w:r>
      <w:r w:rsidR="009F5888">
        <w:rPr>
          <w:rFonts w:ascii="Arial" w:hAnsi="Arial" w:cs="Arial"/>
          <w:b/>
          <w:sz w:val="24"/>
          <w:szCs w:val="24"/>
        </w:rPr>
        <w:t>7</w:t>
      </w:r>
      <w:r w:rsidR="009F5888" w:rsidRPr="009F5888">
        <w:rPr>
          <w:rFonts w:ascii="Arial" w:hAnsi="Arial" w:cs="Arial"/>
          <w:b/>
          <w:sz w:val="24"/>
          <w:szCs w:val="24"/>
          <w:vertAlign w:val="superscript"/>
        </w:rPr>
        <w:t>th</w:t>
      </w:r>
      <w:r w:rsidR="009F5888">
        <w:rPr>
          <w:rFonts w:ascii="Arial" w:hAnsi="Arial" w:cs="Arial"/>
          <w:b/>
          <w:sz w:val="24"/>
          <w:szCs w:val="24"/>
        </w:rPr>
        <w:t xml:space="preserve"> December 2023</w:t>
      </w:r>
    </w:p>
    <w:p w14:paraId="6C23582F" w14:textId="77777777" w:rsidR="00BC5418" w:rsidRPr="001D465B" w:rsidRDefault="00BC5418" w:rsidP="00BC5418">
      <w:pPr>
        <w:spacing w:after="0" w:line="240" w:lineRule="auto"/>
        <w:jc w:val="both"/>
        <w:rPr>
          <w:rFonts w:ascii="Arial" w:hAnsi="Arial" w:cs="Arial"/>
          <w:b/>
          <w:i/>
          <w:szCs w:val="24"/>
        </w:rPr>
      </w:pPr>
      <w:r>
        <w:rPr>
          <w:rFonts w:ascii="Arial" w:hAnsi="Arial" w:cs="Arial"/>
          <w:b/>
          <w:sz w:val="24"/>
          <w:szCs w:val="24"/>
        </w:rPr>
        <w:t xml:space="preserve">TIMING: </w:t>
      </w:r>
      <w:r w:rsidR="00936558">
        <w:rPr>
          <w:rFonts w:ascii="Arial" w:hAnsi="Arial" w:cs="Arial"/>
          <w:szCs w:val="24"/>
        </w:rPr>
        <w:tab/>
      </w:r>
      <w:r w:rsidR="001D465B" w:rsidRPr="001D465B">
        <w:rPr>
          <w:rFonts w:ascii="Arial" w:hAnsi="Arial" w:cs="Arial"/>
          <w:b/>
          <w:sz w:val="24"/>
          <w:szCs w:val="24"/>
        </w:rPr>
        <w:t>Routine</w:t>
      </w:r>
    </w:p>
    <w:p w14:paraId="22FAE7DB" w14:textId="77777777" w:rsidR="00BC5418" w:rsidRPr="001D465B" w:rsidRDefault="00BC5418" w:rsidP="00BC5418">
      <w:pPr>
        <w:spacing w:after="0" w:line="240" w:lineRule="auto"/>
        <w:jc w:val="both"/>
        <w:rPr>
          <w:rFonts w:ascii="Arial" w:hAnsi="Arial" w:cs="Arial"/>
          <w:b/>
          <w:i/>
          <w:szCs w:val="24"/>
        </w:rPr>
      </w:pPr>
    </w:p>
    <w:p w14:paraId="0E9D7BE0" w14:textId="77777777" w:rsidR="00BC5418" w:rsidRPr="001D465B" w:rsidRDefault="00BC5418" w:rsidP="00BC5418">
      <w:pPr>
        <w:spacing w:after="0" w:line="240" w:lineRule="auto"/>
        <w:jc w:val="both"/>
        <w:rPr>
          <w:rFonts w:cs="Arial"/>
          <w:b/>
          <w:sz w:val="24"/>
          <w:szCs w:val="24"/>
        </w:rPr>
      </w:pPr>
      <w:r w:rsidRPr="001D465B">
        <w:rPr>
          <w:rFonts w:ascii="Arial" w:hAnsi="Arial" w:cs="Arial"/>
          <w:b/>
          <w:sz w:val="24"/>
          <w:szCs w:val="24"/>
        </w:rPr>
        <w:t>PURPOSE:</w:t>
      </w:r>
      <w:r w:rsidR="00936558" w:rsidRPr="001D465B">
        <w:rPr>
          <w:rFonts w:ascii="Arial" w:hAnsi="Arial" w:cs="Arial"/>
          <w:b/>
          <w:sz w:val="24"/>
          <w:szCs w:val="24"/>
        </w:rPr>
        <w:tab/>
      </w:r>
      <w:r w:rsidR="001D465B" w:rsidRPr="001D465B">
        <w:rPr>
          <w:rFonts w:ascii="Arial" w:hAnsi="Arial" w:cs="Arial"/>
          <w:b/>
          <w:sz w:val="24"/>
          <w:szCs w:val="24"/>
        </w:rPr>
        <w:t xml:space="preserve">For Consideration </w:t>
      </w:r>
    </w:p>
    <w:p w14:paraId="4AA60682" w14:textId="77777777" w:rsidR="00BC5418" w:rsidRDefault="00BC5418" w:rsidP="00BC5418">
      <w:pPr>
        <w:spacing w:after="0" w:line="240" w:lineRule="auto"/>
        <w:jc w:val="both"/>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390"/>
      </w:tblGrid>
      <w:tr w:rsidR="00D26302" w:rsidRPr="00055BFA" w14:paraId="5BB8C166" w14:textId="77777777" w:rsidTr="00055BFA">
        <w:tc>
          <w:tcPr>
            <w:tcW w:w="675" w:type="dxa"/>
            <w:shd w:val="clear" w:color="auto" w:fill="auto"/>
          </w:tcPr>
          <w:p w14:paraId="5E5483AA" w14:textId="77777777" w:rsidR="00D26302" w:rsidRPr="00055BFA" w:rsidRDefault="005C173F"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611" w:type="dxa"/>
            <w:shd w:val="clear" w:color="auto" w:fill="auto"/>
          </w:tcPr>
          <w:p w14:paraId="6B4BF3D0" w14:textId="77777777" w:rsidR="00D26302" w:rsidRPr="00055BFA"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RECOMMENDATION</w:t>
            </w:r>
          </w:p>
          <w:p w14:paraId="5BD55158" w14:textId="77777777" w:rsidR="00936558" w:rsidRDefault="001D465B" w:rsidP="00936558">
            <w:pPr>
              <w:spacing w:after="0"/>
              <w:jc w:val="both"/>
              <w:rPr>
                <w:rFonts w:ascii="Arial" w:hAnsi="Arial" w:cs="Arial"/>
                <w:sz w:val="24"/>
                <w:szCs w:val="24"/>
              </w:rPr>
            </w:pPr>
            <w:r>
              <w:rPr>
                <w:rFonts w:ascii="Arial" w:hAnsi="Arial" w:cs="Arial"/>
                <w:sz w:val="24"/>
                <w:szCs w:val="24"/>
              </w:rPr>
              <w:t>That the Joint Audit Committee (JAC) considers the amendments to the</w:t>
            </w:r>
            <w:r w:rsidR="003040B7">
              <w:rPr>
                <w:rFonts w:ascii="Arial" w:hAnsi="Arial" w:cs="Arial"/>
                <w:sz w:val="24"/>
                <w:szCs w:val="24"/>
              </w:rPr>
              <w:t>ir</w:t>
            </w:r>
            <w:r>
              <w:rPr>
                <w:rFonts w:ascii="Arial" w:hAnsi="Arial" w:cs="Arial"/>
                <w:sz w:val="24"/>
                <w:szCs w:val="24"/>
              </w:rPr>
              <w:t xml:space="preserve"> Terms of Reference (</w:t>
            </w:r>
            <w:proofErr w:type="spellStart"/>
            <w:r>
              <w:rPr>
                <w:rFonts w:ascii="Arial" w:hAnsi="Arial" w:cs="Arial"/>
                <w:sz w:val="24"/>
                <w:szCs w:val="24"/>
              </w:rPr>
              <w:t>ToR</w:t>
            </w:r>
            <w:proofErr w:type="spellEnd"/>
            <w:r>
              <w:rPr>
                <w:rFonts w:ascii="Arial" w:hAnsi="Arial" w:cs="Arial"/>
                <w:sz w:val="24"/>
                <w:szCs w:val="24"/>
              </w:rPr>
              <w:t>) and provides feedback to officers.</w:t>
            </w:r>
          </w:p>
          <w:p w14:paraId="219E94A2" w14:textId="77777777" w:rsidR="001D465B" w:rsidRPr="00BC5418" w:rsidRDefault="001D465B" w:rsidP="00936558">
            <w:pPr>
              <w:spacing w:after="0"/>
              <w:jc w:val="both"/>
              <w:rPr>
                <w:rFonts w:ascii="Arial" w:hAnsi="Arial" w:cs="Arial"/>
                <w:sz w:val="24"/>
                <w:szCs w:val="24"/>
              </w:rPr>
            </w:pPr>
          </w:p>
        </w:tc>
      </w:tr>
      <w:tr w:rsidR="00D26302" w:rsidRPr="00055BFA" w14:paraId="06566826" w14:textId="77777777" w:rsidTr="00055BFA">
        <w:tc>
          <w:tcPr>
            <w:tcW w:w="675" w:type="dxa"/>
            <w:shd w:val="clear" w:color="auto" w:fill="auto"/>
          </w:tcPr>
          <w:p w14:paraId="59E048E2" w14:textId="77777777" w:rsidR="00D26302" w:rsidRPr="00055BFA" w:rsidRDefault="005C173F" w:rsidP="00055BFA">
            <w:pPr>
              <w:spacing w:after="0"/>
              <w:rPr>
                <w:rFonts w:ascii="Arial" w:hAnsi="Arial" w:cs="Arial"/>
                <w:b/>
                <w:sz w:val="24"/>
                <w:szCs w:val="24"/>
              </w:rPr>
            </w:pPr>
            <w:r>
              <w:rPr>
                <w:rFonts w:ascii="Arial" w:hAnsi="Arial" w:cs="Arial"/>
                <w:b/>
                <w:sz w:val="24"/>
                <w:szCs w:val="24"/>
              </w:rPr>
              <w:t>2</w:t>
            </w:r>
            <w:r w:rsidR="00D26302" w:rsidRPr="00055BFA">
              <w:rPr>
                <w:rFonts w:ascii="Arial" w:hAnsi="Arial" w:cs="Arial"/>
                <w:b/>
                <w:sz w:val="24"/>
                <w:szCs w:val="24"/>
              </w:rPr>
              <w:t>.</w:t>
            </w:r>
          </w:p>
        </w:tc>
        <w:tc>
          <w:tcPr>
            <w:tcW w:w="8611" w:type="dxa"/>
            <w:shd w:val="clear" w:color="auto" w:fill="auto"/>
          </w:tcPr>
          <w:p w14:paraId="0C58F659" w14:textId="77777777" w:rsidR="00D26302" w:rsidRPr="00055BFA"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INTRODUCTION &amp; BACKGROUN</w:t>
            </w:r>
            <w:r w:rsidR="009E19DB">
              <w:rPr>
                <w:rFonts w:ascii="Arial" w:hAnsi="Arial" w:cs="Arial"/>
                <w:b/>
                <w:sz w:val="24"/>
                <w:szCs w:val="24"/>
                <w:u w:val="single"/>
              </w:rPr>
              <w:t>D</w:t>
            </w:r>
          </w:p>
          <w:p w14:paraId="4BEF6B8E" w14:textId="178E3256" w:rsidR="001D465B" w:rsidRDefault="00590CC9" w:rsidP="000415D2">
            <w:pPr>
              <w:spacing w:after="0"/>
              <w:jc w:val="both"/>
              <w:rPr>
                <w:rFonts w:ascii="Arial" w:hAnsi="Arial" w:cs="Arial"/>
                <w:sz w:val="24"/>
              </w:rPr>
            </w:pPr>
            <w:r w:rsidRPr="00590CC9">
              <w:rPr>
                <w:rFonts w:ascii="Arial" w:hAnsi="Arial" w:cs="Arial"/>
                <w:sz w:val="24"/>
              </w:rPr>
              <w:t xml:space="preserve">The </w:t>
            </w:r>
            <w:r>
              <w:rPr>
                <w:rFonts w:ascii="Arial" w:hAnsi="Arial" w:cs="Arial"/>
                <w:sz w:val="24"/>
              </w:rPr>
              <w:t>JAC provides independent assurance on the adequacy of the risk management framework, the internal control environment and the integrity of the financial reporting and governance processes to both the Police and Crime Commissioner (PCC) and Chief Constable.</w:t>
            </w:r>
          </w:p>
          <w:p w14:paraId="3AFDFB68" w14:textId="77777777" w:rsidR="009F66DB" w:rsidRDefault="009F66DB" w:rsidP="000415D2">
            <w:pPr>
              <w:spacing w:after="0"/>
              <w:jc w:val="both"/>
              <w:rPr>
                <w:rFonts w:ascii="Arial" w:hAnsi="Arial" w:cs="Arial"/>
                <w:sz w:val="24"/>
              </w:rPr>
            </w:pPr>
          </w:p>
          <w:p w14:paraId="5C50C92E" w14:textId="1DE30CD4" w:rsidR="00FA7E93" w:rsidRDefault="009F66DB" w:rsidP="000415D2">
            <w:pPr>
              <w:spacing w:after="0"/>
              <w:jc w:val="both"/>
              <w:rPr>
                <w:rFonts w:ascii="Arial" w:hAnsi="Arial" w:cs="Arial"/>
                <w:sz w:val="24"/>
              </w:rPr>
            </w:pPr>
            <w:r>
              <w:rPr>
                <w:rFonts w:ascii="Arial" w:hAnsi="Arial" w:cs="Arial"/>
                <w:sz w:val="24"/>
              </w:rPr>
              <w:t xml:space="preserve">In 2013, </w:t>
            </w:r>
            <w:r w:rsidR="00B25969" w:rsidRPr="00B25969">
              <w:rPr>
                <w:rFonts w:ascii="Arial" w:hAnsi="Arial" w:cs="Arial"/>
                <w:sz w:val="24"/>
              </w:rPr>
              <w:t xml:space="preserve">the </w:t>
            </w:r>
            <w:r w:rsidRPr="00B25969">
              <w:rPr>
                <w:rFonts w:ascii="Arial" w:hAnsi="Arial" w:cs="Arial"/>
                <w:sz w:val="24"/>
              </w:rPr>
              <w:t>C</w:t>
            </w:r>
            <w:r w:rsidR="00B25969" w:rsidRPr="00B25969">
              <w:rPr>
                <w:rFonts w:ascii="Arial" w:hAnsi="Arial" w:cs="Arial"/>
                <w:sz w:val="24"/>
              </w:rPr>
              <w:t xml:space="preserve">hartered </w:t>
            </w:r>
            <w:r w:rsidRPr="00B25969">
              <w:rPr>
                <w:rFonts w:ascii="Arial" w:hAnsi="Arial" w:cs="Arial"/>
                <w:sz w:val="24"/>
              </w:rPr>
              <w:t>I</w:t>
            </w:r>
            <w:r w:rsidR="00B25969" w:rsidRPr="00B25969">
              <w:rPr>
                <w:rFonts w:ascii="Arial" w:hAnsi="Arial" w:cs="Arial"/>
                <w:sz w:val="24"/>
              </w:rPr>
              <w:t xml:space="preserve">nstitute of </w:t>
            </w:r>
            <w:r w:rsidRPr="00B25969">
              <w:rPr>
                <w:rFonts w:ascii="Arial" w:hAnsi="Arial" w:cs="Arial"/>
                <w:sz w:val="24"/>
              </w:rPr>
              <w:t>P</w:t>
            </w:r>
            <w:r w:rsidR="00B25969" w:rsidRPr="00B25969">
              <w:rPr>
                <w:rFonts w:ascii="Arial" w:hAnsi="Arial" w:cs="Arial"/>
                <w:sz w:val="24"/>
              </w:rPr>
              <w:t xml:space="preserve">ublic </w:t>
            </w:r>
            <w:r w:rsidRPr="00B25969">
              <w:rPr>
                <w:rFonts w:ascii="Arial" w:hAnsi="Arial" w:cs="Arial"/>
                <w:sz w:val="24"/>
              </w:rPr>
              <w:t>F</w:t>
            </w:r>
            <w:r w:rsidR="00B25969" w:rsidRPr="00B25969">
              <w:rPr>
                <w:rFonts w:ascii="Arial" w:hAnsi="Arial" w:cs="Arial"/>
                <w:sz w:val="24"/>
              </w:rPr>
              <w:t xml:space="preserve">inance &amp; </w:t>
            </w:r>
            <w:r w:rsidRPr="00B25969">
              <w:rPr>
                <w:rFonts w:ascii="Arial" w:hAnsi="Arial" w:cs="Arial"/>
                <w:sz w:val="24"/>
              </w:rPr>
              <w:t>A</w:t>
            </w:r>
            <w:r w:rsidR="00B25969" w:rsidRPr="00B25969">
              <w:rPr>
                <w:rFonts w:ascii="Arial" w:hAnsi="Arial" w:cs="Arial"/>
                <w:sz w:val="24"/>
              </w:rPr>
              <w:t>ccountancy</w:t>
            </w:r>
            <w:r w:rsidR="00B25969">
              <w:rPr>
                <w:rFonts w:ascii="Arial" w:hAnsi="Arial" w:cs="Arial"/>
                <w:sz w:val="24"/>
              </w:rPr>
              <w:t xml:space="preserve"> (CIPFA)</w:t>
            </w:r>
            <w:r>
              <w:rPr>
                <w:rFonts w:ascii="Arial" w:hAnsi="Arial" w:cs="Arial"/>
                <w:sz w:val="24"/>
              </w:rPr>
              <w:t xml:space="preserve"> produced a guidance document for audit committees in local authorities and policing.</w:t>
            </w:r>
            <w:r w:rsidR="00FA7E93">
              <w:rPr>
                <w:rFonts w:ascii="Arial" w:hAnsi="Arial" w:cs="Arial"/>
                <w:sz w:val="24"/>
              </w:rPr>
              <w:t xml:space="preserve">  This was subsequently updated in 2018 with the </w:t>
            </w:r>
            <w:proofErr w:type="spellStart"/>
            <w:r w:rsidR="00FA7E93">
              <w:rPr>
                <w:rFonts w:ascii="Arial" w:hAnsi="Arial" w:cs="Arial"/>
                <w:sz w:val="24"/>
              </w:rPr>
              <w:t>ToRs</w:t>
            </w:r>
            <w:proofErr w:type="spellEnd"/>
            <w:r w:rsidR="00FA7E93">
              <w:rPr>
                <w:rFonts w:ascii="Arial" w:hAnsi="Arial" w:cs="Arial"/>
                <w:sz w:val="24"/>
              </w:rPr>
              <w:t xml:space="preserve"> amended to reflect these changes.  In October 2022</w:t>
            </w:r>
            <w:r w:rsidR="00A24D6D">
              <w:rPr>
                <w:rFonts w:ascii="Arial" w:hAnsi="Arial" w:cs="Arial"/>
                <w:sz w:val="24"/>
              </w:rPr>
              <w:t xml:space="preserve">, a further update to the guidance was released.  This was reviewed and an update provided to the JAC in March 2023 </w:t>
            </w:r>
            <w:r w:rsidR="003C7972">
              <w:rPr>
                <w:rFonts w:ascii="Arial" w:hAnsi="Arial" w:cs="Arial"/>
                <w:sz w:val="24"/>
              </w:rPr>
              <w:t>highlighting</w:t>
            </w:r>
            <w:r w:rsidR="00A24D6D">
              <w:rPr>
                <w:rFonts w:ascii="Arial" w:hAnsi="Arial" w:cs="Arial"/>
                <w:sz w:val="24"/>
              </w:rPr>
              <w:t xml:space="preserve"> concern that the new guidance may curtail the role of the JAC.</w:t>
            </w:r>
          </w:p>
          <w:p w14:paraId="463AA326" w14:textId="5291C44B" w:rsidR="00A24D6D" w:rsidRDefault="00A24D6D" w:rsidP="000415D2">
            <w:pPr>
              <w:spacing w:after="0"/>
              <w:jc w:val="both"/>
              <w:rPr>
                <w:rFonts w:ascii="Arial" w:hAnsi="Arial" w:cs="Arial"/>
                <w:sz w:val="24"/>
              </w:rPr>
            </w:pPr>
          </w:p>
          <w:p w14:paraId="3D2442C5" w14:textId="6342EF1D" w:rsidR="00A24D6D" w:rsidRDefault="00A24D6D" w:rsidP="000415D2">
            <w:pPr>
              <w:spacing w:after="0"/>
              <w:jc w:val="both"/>
              <w:rPr>
                <w:rFonts w:ascii="Arial" w:hAnsi="Arial" w:cs="Arial"/>
                <w:sz w:val="24"/>
              </w:rPr>
            </w:pPr>
            <w:r>
              <w:rPr>
                <w:rFonts w:ascii="Arial" w:hAnsi="Arial" w:cs="Arial"/>
                <w:sz w:val="24"/>
              </w:rPr>
              <w:t xml:space="preserve">Further discussions took place with CIPFA at the </w:t>
            </w:r>
            <w:proofErr w:type="gramStart"/>
            <w:r w:rsidR="00C34CDD">
              <w:rPr>
                <w:rFonts w:ascii="Arial" w:hAnsi="Arial" w:cs="Arial"/>
                <w:sz w:val="24"/>
              </w:rPr>
              <w:t>A</w:t>
            </w:r>
            <w:r>
              <w:rPr>
                <w:rFonts w:ascii="Arial" w:hAnsi="Arial" w:cs="Arial"/>
                <w:sz w:val="24"/>
              </w:rPr>
              <w:t>ll Wales JAC</w:t>
            </w:r>
            <w:proofErr w:type="gramEnd"/>
            <w:r>
              <w:rPr>
                <w:rFonts w:ascii="Arial" w:hAnsi="Arial" w:cs="Arial"/>
                <w:sz w:val="24"/>
              </w:rPr>
              <w:t xml:space="preserve"> training day in April 2023 where it was clarified that </w:t>
            </w:r>
            <w:r w:rsidR="003C7972">
              <w:rPr>
                <w:rFonts w:ascii="Arial" w:hAnsi="Arial" w:cs="Arial"/>
                <w:sz w:val="24"/>
              </w:rPr>
              <w:t>the document</w:t>
            </w:r>
            <w:r>
              <w:rPr>
                <w:rFonts w:ascii="Arial" w:hAnsi="Arial" w:cs="Arial"/>
                <w:sz w:val="24"/>
              </w:rPr>
              <w:t xml:space="preserve"> was guidance and that we were able to amend their suggested </w:t>
            </w:r>
            <w:proofErr w:type="spellStart"/>
            <w:r>
              <w:rPr>
                <w:rFonts w:ascii="Arial" w:hAnsi="Arial" w:cs="Arial"/>
                <w:sz w:val="24"/>
              </w:rPr>
              <w:t>ToRs</w:t>
            </w:r>
            <w:proofErr w:type="spellEnd"/>
            <w:r>
              <w:rPr>
                <w:rFonts w:ascii="Arial" w:hAnsi="Arial" w:cs="Arial"/>
                <w:sz w:val="24"/>
              </w:rPr>
              <w:t xml:space="preserve">.  </w:t>
            </w:r>
            <w:r w:rsidR="009D1FBB">
              <w:rPr>
                <w:rFonts w:ascii="Arial" w:hAnsi="Arial" w:cs="Arial"/>
                <w:sz w:val="24"/>
              </w:rPr>
              <w:t>Consultation</w:t>
            </w:r>
            <w:r>
              <w:rPr>
                <w:rFonts w:ascii="Arial" w:hAnsi="Arial" w:cs="Arial"/>
                <w:sz w:val="24"/>
              </w:rPr>
              <w:t xml:space="preserve"> has taken place with the Chief Finance Officer (CFO) and</w:t>
            </w:r>
            <w:r w:rsidR="009D1FBB">
              <w:rPr>
                <w:rFonts w:ascii="Arial" w:hAnsi="Arial" w:cs="Arial"/>
                <w:sz w:val="24"/>
              </w:rPr>
              <w:t xml:space="preserve"> the Assistant Chief Officer, Resources and</w:t>
            </w:r>
            <w:r>
              <w:rPr>
                <w:rFonts w:ascii="Arial" w:hAnsi="Arial" w:cs="Arial"/>
                <w:sz w:val="24"/>
              </w:rPr>
              <w:t xml:space="preserve"> the </w:t>
            </w:r>
            <w:proofErr w:type="spellStart"/>
            <w:r>
              <w:rPr>
                <w:rFonts w:ascii="Arial" w:hAnsi="Arial" w:cs="Arial"/>
                <w:sz w:val="24"/>
              </w:rPr>
              <w:t>ToR</w:t>
            </w:r>
            <w:proofErr w:type="spellEnd"/>
            <w:r>
              <w:rPr>
                <w:rFonts w:ascii="Arial" w:hAnsi="Arial" w:cs="Arial"/>
                <w:sz w:val="24"/>
              </w:rPr>
              <w:t xml:space="preserve"> amended for the consideration of the JAC.</w:t>
            </w:r>
          </w:p>
          <w:p w14:paraId="4378A4C8" w14:textId="77777777" w:rsidR="001D465B" w:rsidRPr="00936558" w:rsidRDefault="001D465B" w:rsidP="00B25969">
            <w:pPr>
              <w:spacing w:after="0"/>
              <w:jc w:val="both"/>
              <w:rPr>
                <w:rFonts w:ascii="Arial" w:hAnsi="Arial" w:cs="Arial"/>
              </w:rPr>
            </w:pPr>
          </w:p>
        </w:tc>
      </w:tr>
      <w:tr w:rsidR="00D26302" w:rsidRPr="00055BFA" w14:paraId="424534B1" w14:textId="77777777" w:rsidTr="00055BFA">
        <w:tc>
          <w:tcPr>
            <w:tcW w:w="675" w:type="dxa"/>
            <w:shd w:val="clear" w:color="auto" w:fill="auto"/>
          </w:tcPr>
          <w:p w14:paraId="3BE624F7" w14:textId="77777777" w:rsidR="00D26302" w:rsidRPr="00055BFA" w:rsidRDefault="005C173F" w:rsidP="00055BFA">
            <w:pPr>
              <w:spacing w:after="0"/>
              <w:rPr>
                <w:rFonts w:ascii="Arial" w:hAnsi="Arial" w:cs="Arial"/>
                <w:b/>
                <w:sz w:val="24"/>
                <w:szCs w:val="24"/>
              </w:rPr>
            </w:pPr>
            <w:r>
              <w:rPr>
                <w:rFonts w:ascii="Arial" w:hAnsi="Arial" w:cs="Arial"/>
                <w:b/>
                <w:sz w:val="24"/>
                <w:szCs w:val="24"/>
              </w:rPr>
              <w:t>3</w:t>
            </w:r>
            <w:r w:rsidR="00D26302" w:rsidRPr="00055BFA">
              <w:rPr>
                <w:rFonts w:ascii="Arial" w:hAnsi="Arial" w:cs="Arial"/>
                <w:b/>
                <w:sz w:val="24"/>
                <w:szCs w:val="24"/>
              </w:rPr>
              <w:t>.</w:t>
            </w:r>
          </w:p>
        </w:tc>
        <w:tc>
          <w:tcPr>
            <w:tcW w:w="8611" w:type="dxa"/>
            <w:shd w:val="clear" w:color="auto" w:fill="auto"/>
          </w:tcPr>
          <w:p w14:paraId="0724E330" w14:textId="77777777"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ISSUES FOR CONSIDERATION</w:t>
            </w:r>
          </w:p>
          <w:p w14:paraId="2D2C588B" w14:textId="54943212" w:rsidR="00795EA7" w:rsidRDefault="00A24D6D" w:rsidP="00B25969">
            <w:pPr>
              <w:spacing w:after="0"/>
              <w:jc w:val="both"/>
              <w:rPr>
                <w:rFonts w:ascii="Arial" w:hAnsi="Arial" w:cs="Arial"/>
                <w:sz w:val="24"/>
              </w:rPr>
            </w:pPr>
            <w:r>
              <w:rPr>
                <w:rFonts w:ascii="Arial" w:hAnsi="Arial" w:cs="Arial"/>
                <w:sz w:val="24"/>
              </w:rPr>
              <w:t xml:space="preserve">The proposed </w:t>
            </w:r>
            <w:proofErr w:type="spellStart"/>
            <w:r>
              <w:rPr>
                <w:rFonts w:ascii="Arial" w:hAnsi="Arial" w:cs="Arial"/>
                <w:sz w:val="24"/>
              </w:rPr>
              <w:t>ToR</w:t>
            </w:r>
            <w:proofErr w:type="spellEnd"/>
            <w:r>
              <w:rPr>
                <w:rFonts w:ascii="Arial" w:hAnsi="Arial" w:cs="Arial"/>
                <w:sz w:val="24"/>
              </w:rPr>
              <w:t xml:space="preserve"> is contained at appendix 1, with key areas highlighted below:</w:t>
            </w:r>
          </w:p>
          <w:p w14:paraId="5451D147" w14:textId="33CA6C74" w:rsidR="00A24D6D" w:rsidRDefault="00A24D6D" w:rsidP="00B25969">
            <w:pPr>
              <w:spacing w:after="0"/>
              <w:jc w:val="both"/>
              <w:rPr>
                <w:rFonts w:ascii="Arial" w:hAnsi="Arial" w:cs="Arial"/>
                <w:sz w:val="24"/>
              </w:rPr>
            </w:pPr>
          </w:p>
          <w:p w14:paraId="77AF5B5B" w14:textId="77963626" w:rsidR="004960C0" w:rsidRDefault="004960C0" w:rsidP="00B25969">
            <w:pPr>
              <w:spacing w:after="0"/>
              <w:jc w:val="both"/>
              <w:rPr>
                <w:rFonts w:ascii="Arial" w:hAnsi="Arial" w:cs="Arial"/>
                <w:sz w:val="24"/>
              </w:rPr>
            </w:pPr>
            <w:bookmarkStart w:id="0" w:name="_Hlk151018408"/>
            <w:r w:rsidRPr="004960C0">
              <w:rPr>
                <w:rFonts w:ascii="Arial" w:hAnsi="Arial" w:cs="Arial"/>
                <w:b/>
                <w:bCs/>
                <w:sz w:val="24"/>
              </w:rPr>
              <w:t>Internal Audit</w:t>
            </w:r>
            <w:r w:rsidR="00BE49F2">
              <w:rPr>
                <w:rFonts w:ascii="Arial" w:hAnsi="Arial" w:cs="Arial"/>
                <w:sz w:val="24"/>
              </w:rPr>
              <w:t xml:space="preserve"> – to enable </w:t>
            </w:r>
            <w:r w:rsidR="003C7972">
              <w:rPr>
                <w:rFonts w:ascii="Arial" w:hAnsi="Arial" w:cs="Arial"/>
                <w:sz w:val="24"/>
              </w:rPr>
              <w:t xml:space="preserve">the </w:t>
            </w:r>
            <w:r w:rsidR="00BE49F2">
              <w:rPr>
                <w:rFonts w:ascii="Arial" w:hAnsi="Arial" w:cs="Arial"/>
                <w:sz w:val="24"/>
              </w:rPr>
              <w:t xml:space="preserve">JAC to undertake </w:t>
            </w:r>
            <w:r w:rsidR="003C7972">
              <w:rPr>
                <w:rFonts w:ascii="Arial" w:hAnsi="Arial" w:cs="Arial"/>
                <w:sz w:val="24"/>
              </w:rPr>
              <w:t>its</w:t>
            </w:r>
            <w:r w:rsidR="00BE49F2">
              <w:rPr>
                <w:rFonts w:ascii="Arial" w:hAnsi="Arial" w:cs="Arial"/>
                <w:sz w:val="24"/>
              </w:rPr>
              <w:t xml:space="preserve"> role effectively</w:t>
            </w:r>
            <w:r w:rsidR="003C7972">
              <w:rPr>
                <w:rFonts w:ascii="Arial" w:hAnsi="Arial" w:cs="Arial"/>
                <w:sz w:val="24"/>
              </w:rPr>
              <w:t>,</w:t>
            </w:r>
            <w:r w:rsidR="00BE49F2">
              <w:rPr>
                <w:rFonts w:ascii="Arial" w:hAnsi="Arial" w:cs="Arial"/>
                <w:sz w:val="24"/>
              </w:rPr>
              <w:t xml:space="preserve"> it is suggested in the CIPFA guidance that </w:t>
            </w:r>
            <w:r w:rsidR="003C7972">
              <w:rPr>
                <w:rFonts w:ascii="Arial" w:hAnsi="Arial" w:cs="Arial"/>
                <w:sz w:val="24"/>
              </w:rPr>
              <w:t xml:space="preserve">members </w:t>
            </w:r>
            <w:r w:rsidR="00BE49F2">
              <w:rPr>
                <w:rFonts w:ascii="Arial" w:hAnsi="Arial" w:cs="Arial"/>
                <w:sz w:val="24"/>
              </w:rPr>
              <w:t>should be aware of the details of the most recent external assessment and the level of conformance with the standards.  It is therefore proposed that Internal Audit provide their P</w:t>
            </w:r>
            <w:r w:rsidR="003C7972">
              <w:rPr>
                <w:rFonts w:ascii="Arial" w:hAnsi="Arial" w:cs="Arial"/>
                <w:sz w:val="24"/>
              </w:rPr>
              <w:t xml:space="preserve">ublic </w:t>
            </w:r>
            <w:r w:rsidR="00BE49F2">
              <w:rPr>
                <w:rFonts w:ascii="Arial" w:hAnsi="Arial" w:cs="Arial"/>
                <w:sz w:val="24"/>
              </w:rPr>
              <w:t>S</w:t>
            </w:r>
            <w:r w:rsidR="003C7972">
              <w:rPr>
                <w:rFonts w:ascii="Arial" w:hAnsi="Arial" w:cs="Arial"/>
                <w:sz w:val="24"/>
              </w:rPr>
              <w:t xml:space="preserve">ector </w:t>
            </w:r>
            <w:r w:rsidR="00BE49F2">
              <w:rPr>
                <w:rFonts w:ascii="Arial" w:hAnsi="Arial" w:cs="Arial"/>
                <w:sz w:val="24"/>
              </w:rPr>
              <w:t>I</w:t>
            </w:r>
            <w:r w:rsidR="003C7972">
              <w:rPr>
                <w:rFonts w:ascii="Arial" w:hAnsi="Arial" w:cs="Arial"/>
                <w:sz w:val="24"/>
              </w:rPr>
              <w:t xml:space="preserve">nternal </w:t>
            </w:r>
            <w:r w:rsidR="00BE49F2">
              <w:rPr>
                <w:rFonts w:ascii="Arial" w:hAnsi="Arial" w:cs="Arial"/>
                <w:sz w:val="24"/>
              </w:rPr>
              <w:t>A</w:t>
            </w:r>
            <w:r w:rsidR="003C7972">
              <w:rPr>
                <w:rFonts w:ascii="Arial" w:hAnsi="Arial" w:cs="Arial"/>
                <w:sz w:val="24"/>
              </w:rPr>
              <w:t xml:space="preserve">udit </w:t>
            </w:r>
            <w:r w:rsidR="00BE49F2">
              <w:rPr>
                <w:rFonts w:ascii="Arial" w:hAnsi="Arial" w:cs="Arial"/>
                <w:sz w:val="24"/>
              </w:rPr>
              <w:t>S</w:t>
            </w:r>
            <w:r w:rsidR="003C7972">
              <w:rPr>
                <w:rFonts w:ascii="Arial" w:hAnsi="Arial" w:cs="Arial"/>
                <w:sz w:val="24"/>
              </w:rPr>
              <w:t>tandards (PSIAS)</w:t>
            </w:r>
            <w:r w:rsidR="00BE49F2">
              <w:rPr>
                <w:rFonts w:ascii="Arial" w:hAnsi="Arial" w:cs="Arial"/>
                <w:sz w:val="24"/>
              </w:rPr>
              <w:t xml:space="preserve"> report, at least once every 5 years, including its overall conclusion and any recommendations.  The JAC should also then be sighted on and monitor the implementation of any improvement plan </w:t>
            </w:r>
            <w:proofErr w:type="gramStart"/>
            <w:r w:rsidR="00BE49F2">
              <w:rPr>
                <w:rFonts w:ascii="Arial" w:hAnsi="Arial" w:cs="Arial"/>
                <w:sz w:val="24"/>
              </w:rPr>
              <w:t>as a result of</w:t>
            </w:r>
            <w:proofErr w:type="gramEnd"/>
            <w:r w:rsidR="00BE49F2">
              <w:rPr>
                <w:rFonts w:ascii="Arial" w:hAnsi="Arial" w:cs="Arial"/>
                <w:sz w:val="24"/>
              </w:rPr>
              <w:t xml:space="preserve"> the external assessment.</w:t>
            </w:r>
          </w:p>
          <w:bookmarkEnd w:id="0"/>
          <w:p w14:paraId="7911DF65" w14:textId="5068CA6A" w:rsidR="00BE49F2" w:rsidRDefault="00BE49F2" w:rsidP="00B25969">
            <w:pPr>
              <w:spacing w:after="0"/>
              <w:jc w:val="both"/>
              <w:rPr>
                <w:rFonts w:ascii="Arial" w:hAnsi="Arial" w:cs="Arial"/>
                <w:sz w:val="24"/>
              </w:rPr>
            </w:pPr>
            <w:r w:rsidRPr="00DF64BD">
              <w:rPr>
                <w:rFonts w:ascii="Arial" w:hAnsi="Arial" w:cs="Arial"/>
                <w:b/>
                <w:bCs/>
                <w:sz w:val="24"/>
              </w:rPr>
              <w:lastRenderedPageBreak/>
              <w:t>Governance, Risk and Control</w:t>
            </w:r>
            <w:r>
              <w:rPr>
                <w:rFonts w:ascii="Arial" w:hAnsi="Arial" w:cs="Arial"/>
                <w:sz w:val="24"/>
              </w:rPr>
              <w:t xml:space="preserve"> – this heading will be separated into ‘Governance’, ‘Risk’ and ‘Fraud and Corruption’ with the following areas included underneath the ‘Fraud and Corruption’ heading:</w:t>
            </w:r>
          </w:p>
          <w:p w14:paraId="5F2A1C8C" w14:textId="6D96111B" w:rsidR="00BE49F2" w:rsidRDefault="00BE49F2" w:rsidP="00B25969">
            <w:pPr>
              <w:spacing w:after="0"/>
              <w:jc w:val="both"/>
              <w:rPr>
                <w:rFonts w:ascii="Arial" w:hAnsi="Arial" w:cs="Arial"/>
                <w:sz w:val="24"/>
              </w:rPr>
            </w:pPr>
          </w:p>
          <w:p w14:paraId="311B2861" w14:textId="34F57148" w:rsidR="00BE49F2" w:rsidRDefault="00BE49F2" w:rsidP="00BE49F2">
            <w:pPr>
              <w:pStyle w:val="ListParagraph"/>
              <w:numPr>
                <w:ilvl w:val="0"/>
                <w:numId w:val="6"/>
              </w:numPr>
              <w:jc w:val="both"/>
              <w:rPr>
                <w:rFonts w:ascii="Arial" w:hAnsi="Arial" w:cs="Arial"/>
                <w:sz w:val="24"/>
              </w:rPr>
            </w:pPr>
            <w:r>
              <w:rPr>
                <w:rFonts w:ascii="Arial" w:hAnsi="Arial" w:cs="Arial"/>
                <w:sz w:val="24"/>
              </w:rPr>
              <w:t>Reviewing the fraud risk profile and estimate of fraud losses or potential harm to the organisation and its local community.</w:t>
            </w:r>
          </w:p>
          <w:p w14:paraId="47079FD6" w14:textId="06DE558D" w:rsidR="00BE49F2" w:rsidRDefault="00BE49F2" w:rsidP="00BE49F2">
            <w:pPr>
              <w:pStyle w:val="ListParagraph"/>
              <w:numPr>
                <w:ilvl w:val="0"/>
                <w:numId w:val="6"/>
              </w:numPr>
              <w:jc w:val="both"/>
              <w:rPr>
                <w:rFonts w:ascii="Arial" w:hAnsi="Arial" w:cs="Arial"/>
                <w:sz w:val="24"/>
              </w:rPr>
            </w:pPr>
            <w:r>
              <w:rPr>
                <w:rFonts w:ascii="Arial" w:hAnsi="Arial" w:cs="Arial"/>
                <w:sz w:val="24"/>
              </w:rPr>
              <w:t>Reviewing the annual counter fraud plan of activity and resources, seeking assurance that it is in line with the strategy and fraud risk profile.</w:t>
            </w:r>
          </w:p>
          <w:p w14:paraId="1A84A60A" w14:textId="0DB66A72" w:rsidR="00BE49F2" w:rsidRDefault="00BE49F2" w:rsidP="00BE49F2">
            <w:pPr>
              <w:pStyle w:val="ListParagraph"/>
              <w:numPr>
                <w:ilvl w:val="0"/>
                <w:numId w:val="6"/>
              </w:numPr>
              <w:jc w:val="both"/>
              <w:rPr>
                <w:rFonts w:ascii="Arial" w:hAnsi="Arial" w:cs="Arial"/>
                <w:sz w:val="24"/>
              </w:rPr>
            </w:pPr>
            <w:r>
              <w:rPr>
                <w:rFonts w:ascii="Arial" w:hAnsi="Arial" w:cs="Arial"/>
                <w:sz w:val="24"/>
              </w:rPr>
              <w:t>Monitor the overall performance of the counter fraud function.</w:t>
            </w:r>
          </w:p>
          <w:p w14:paraId="2A1E3D54" w14:textId="54AB97CA" w:rsidR="00BE49F2" w:rsidRPr="00BE49F2" w:rsidRDefault="00BE49F2" w:rsidP="00BE49F2">
            <w:pPr>
              <w:pStyle w:val="ListParagraph"/>
              <w:numPr>
                <w:ilvl w:val="0"/>
                <w:numId w:val="6"/>
              </w:numPr>
              <w:jc w:val="both"/>
              <w:rPr>
                <w:rFonts w:ascii="Arial" w:hAnsi="Arial" w:cs="Arial"/>
                <w:sz w:val="24"/>
              </w:rPr>
            </w:pPr>
            <w:r>
              <w:rPr>
                <w:rFonts w:ascii="Arial" w:hAnsi="Arial" w:cs="Arial"/>
                <w:sz w:val="24"/>
              </w:rPr>
              <w:t>Oversee any major areas of fraud identified and monitor actions places to address control weaknesses.</w:t>
            </w:r>
          </w:p>
          <w:p w14:paraId="4003B440" w14:textId="4AF4F2AF" w:rsidR="00BE49F2" w:rsidRDefault="00BE49F2" w:rsidP="00B25969">
            <w:pPr>
              <w:spacing w:after="0"/>
              <w:jc w:val="both"/>
              <w:rPr>
                <w:rFonts w:ascii="Arial" w:hAnsi="Arial" w:cs="Arial"/>
                <w:sz w:val="24"/>
              </w:rPr>
            </w:pPr>
          </w:p>
          <w:p w14:paraId="04D226EF" w14:textId="33646047" w:rsidR="004C3FFB" w:rsidRPr="004C3FFB" w:rsidRDefault="004C3FFB" w:rsidP="004C3FFB">
            <w:pPr>
              <w:spacing w:after="0"/>
              <w:jc w:val="both"/>
              <w:rPr>
                <w:rFonts w:ascii="Arial" w:hAnsi="Arial" w:cs="Arial"/>
                <w:color w:val="000000"/>
              </w:rPr>
            </w:pPr>
            <w:r w:rsidRPr="004C3FFB">
              <w:rPr>
                <w:rFonts w:ascii="Arial" w:hAnsi="Arial" w:cs="Arial"/>
                <w:b/>
                <w:bCs/>
                <w:sz w:val="24"/>
              </w:rPr>
              <w:t>Governance</w:t>
            </w:r>
            <w:r>
              <w:rPr>
                <w:rFonts w:ascii="Arial" w:hAnsi="Arial" w:cs="Arial"/>
                <w:sz w:val="24"/>
              </w:rPr>
              <w:t xml:space="preserve"> – amend the requirement for the JAC to </w:t>
            </w:r>
            <w:r w:rsidRPr="004C3FFB">
              <w:rPr>
                <w:rFonts w:ascii="Arial" w:hAnsi="Arial" w:cs="Arial"/>
                <w:i/>
                <w:iCs/>
                <w:sz w:val="24"/>
              </w:rPr>
              <w:t xml:space="preserve">‘Review </w:t>
            </w:r>
            <w:r w:rsidRPr="004C3FFB">
              <w:rPr>
                <w:rFonts w:ascii="Arial" w:hAnsi="Arial" w:cs="Arial"/>
                <w:i/>
                <w:iCs/>
                <w:sz w:val="24"/>
                <w:szCs w:val="24"/>
              </w:rPr>
              <w:t>the</w:t>
            </w:r>
            <w:r w:rsidRPr="004C3FFB">
              <w:rPr>
                <w:rFonts w:ascii="Arial" w:hAnsi="Arial" w:cs="Arial"/>
                <w:i/>
                <w:iCs/>
                <w:color w:val="000000"/>
                <w:sz w:val="24"/>
                <w:szCs w:val="24"/>
              </w:rPr>
              <w:t xml:space="preserve"> governance and assurance arrangements for significant partnerships or collaborations</w:t>
            </w:r>
            <w:r>
              <w:rPr>
                <w:rFonts w:ascii="Arial" w:hAnsi="Arial" w:cs="Arial"/>
                <w:i/>
                <w:iCs/>
                <w:color w:val="000000"/>
                <w:sz w:val="24"/>
                <w:szCs w:val="24"/>
              </w:rPr>
              <w:t>.</w:t>
            </w:r>
            <w:r w:rsidRPr="004C3FFB">
              <w:rPr>
                <w:rFonts w:ascii="Arial" w:hAnsi="Arial" w:cs="Arial"/>
                <w:i/>
                <w:iCs/>
                <w:color w:val="000000"/>
                <w:sz w:val="24"/>
                <w:szCs w:val="24"/>
              </w:rPr>
              <w:t>’</w:t>
            </w:r>
            <w:r>
              <w:rPr>
                <w:rFonts w:ascii="Arial" w:hAnsi="Arial" w:cs="Arial"/>
                <w:color w:val="000000"/>
                <w:sz w:val="24"/>
                <w:szCs w:val="24"/>
              </w:rPr>
              <w:t xml:space="preserve">  The role of the JAC is to seek assurance that partnership or collaborative arrangements are satisfactorily established and operating effectively.  </w:t>
            </w:r>
            <w:r w:rsidR="003A43DB">
              <w:rPr>
                <w:rFonts w:ascii="Arial" w:hAnsi="Arial" w:cs="Arial"/>
                <w:color w:val="000000"/>
                <w:sz w:val="24"/>
                <w:szCs w:val="24"/>
              </w:rPr>
              <w:t xml:space="preserve">It is therefore proposed that the wording is amended to read </w:t>
            </w:r>
            <w:bookmarkStart w:id="1" w:name="_Hlk148018166"/>
            <w:r w:rsidR="003A43DB" w:rsidRPr="00546CF6">
              <w:rPr>
                <w:rFonts w:ascii="Arial" w:hAnsi="Arial" w:cs="Arial"/>
                <w:i/>
                <w:iCs/>
                <w:color w:val="000000"/>
                <w:sz w:val="24"/>
                <w:szCs w:val="24"/>
              </w:rPr>
              <w:t>‘Consider assurances on whether arrangements are satisfactorily established and operat</w:t>
            </w:r>
            <w:r w:rsidR="00AE13CA">
              <w:rPr>
                <w:rFonts w:ascii="Arial" w:hAnsi="Arial" w:cs="Arial"/>
                <w:i/>
                <w:iCs/>
                <w:color w:val="000000"/>
                <w:sz w:val="24"/>
                <w:szCs w:val="24"/>
              </w:rPr>
              <w:t>e</w:t>
            </w:r>
            <w:r w:rsidR="003A43DB" w:rsidRPr="00546CF6">
              <w:rPr>
                <w:rFonts w:ascii="Arial" w:hAnsi="Arial" w:cs="Arial"/>
                <w:i/>
                <w:iCs/>
                <w:color w:val="000000"/>
                <w:sz w:val="24"/>
                <w:szCs w:val="24"/>
              </w:rPr>
              <w:t xml:space="preserve"> effectively for significant partnerships or collaborations.’</w:t>
            </w:r>
            <w:bookmarkEnd w:id="1"/>
          </w:p>
          <w:p w14:paraId="6DE4FD31" w14:textId="77777777" w:rsidR="004C3FFB" w:rsidRPr="004C3FFB" w:rsidRDefault="004C3FFB" w:rsidP="00B25969">
            <w:pPr>
              <w:spacing w:after="0"/>
              <w:jc w:val="both"/>
              <w:rPr>
                <w:rFonts w:ascii="Arial" w:hAnsi="Arial" w:cs="Arial"/>
                <w:sz w:val="24"/>
              </w:rPr>
            </w:pPr>
          </w:p>
          <w:p w14:paraId="79BFDAC7" w14:textId="28FB4334" w:rsidR="00A24D6D" w:rsidRDefault="00E14438" w:rsidP="00B25969">
            <w:pPr>
              <w:spacing w:after="0"/>
              <w:jc w:val="both"/>
              <w:rPr>
                <w:rFonts w:ascii="Arial" w:hAnsi="Arial" w:cs="Arial"/>
                <w:sz w:val="24"/>
              </w:rPr>
            </w:pPr>
            <w:r w:rsidRPr="00682255">
              <w:rPr>
                <w:rFonts w:ascii="Arial" w:hAnsi="Arial" w:cs="Arial"/>
                <w:b/>
                <w:bCs/>
                <w:sz w:val="24"/>
              </w:rPr>
              <w:t>Appointment of Chair</w:t>
            </w:r>
            <w:r>
              <w:rPr>
                <w:rFonts w:ascii="Arial" w:hAnsi="Arial" w:cs="Arial"/>
                <w:sz w:val="24"/>
              </w:rPr>
              <w:t xml:space="preserve"> – currently the Chair is appointed from one of the 5 members of the JAC.  This will remain an option going forward but we also want to provide the opportunity for future appointments to be undertaken as a separate recruitment process if the need was to arise.  If a Chair was to be appointed from within current membership, there would be no limit on the time t</w:t>
            </w:r>
            <w:r w:rsidR="00890F6D">
              <w:rPr>
                <w:rFonts w:ascii="Arial" w:hAnsi="Arial" w:cs="Arial"/>
                <w:sz w:val="24"/>
              </w:rPr>
              <w:t xml:space="preserve">hey could </w:t>
            </w:r>
            <w:r>
              <w:rPr>
                <w:rFonts w:ascii="Arial" w:hAnsi="Arial" w:cs="Arial"/>
                <w:sz w:val="24"/>
              </w:rPr>
              <w:t>serve as Chair</w:t>
            </w:r>
            <w:r w:rsidR="005F07A3">
              <w:rPr>
                <w:rFonts w:ascii="Arial" w:hAnsi="Arial" w:cs="Arial"/>
                <w:sz w:val="24"/>
              </w:rPr>
              <w:t>, subject to annual re-election supported by a majority of members</w:t>
            </w:r>
            <w:r>
              <w:rPr>
                <w:rFonts w:ascii="Arial" w:hAnsi="Arial" w:cs="Arial"/>
                <w:sz w:val="24"/>
              </w:rPr>
              <w:t xml:space="preserve">.  If an external recruitment process was undertaken to fill the role of Chair, an initial appointment would run for 5 years with the option available for a further </w:t>
            </w:r>
            <w:proofErr w:type="gramStart"/>
            <w:r>
              <w:rPr>
                <w:rFonts w:ascii="Arial" w:hAnsi="Arial" w:cs="Arial"/>
                <w:sz w:val="24"/>
              </w:rPr>
              <w:t>5</w:t>
            </w:r>
            <w:r w:rsidR="00682255">
              <w:rPr>
                <w:rFonts w:ascii="Arial" w:hAnsi="Arial" w:cs="Arial"/>
                <w:sz w:val="24"/>
              </w:rPr>
              <w:t xml:space="preserve"> </w:t>
            </w:r>
            <w:r>
              <w:rPr>
                <w:rFonts w:ascii="Arial" w:hAnsi="Arial" w:cs="Arial"/>
                <w:sz w:val="24"/>
              </w:rPr>
              <w:t>year</w:t>
            </w:r>
            <w:proofErr w:type="gramEnd"/>
            <w:r>
              <w:rPr>
                <w:rFonts w:ascii="Arial" w:hAnsi="Arial" w:cs="Arial"/>
                <w:sz w:val="24"/>
              </w:rPr>
              <w:t xml:space="preserve"> appointment as long as performance reviews </w:t>
            </w:r>
            <w:r w:rsidR="00890F6D">
              <w:rPr>
                <w:rFonts w:ascii="Arial" w:hAnsi="Arial" w:cs="Arial"/>
                <w:sz w:val="24"/>
              </w:rPr>
              <w:t>were</w:t>
            </w:r>
            <w:r>
              <w:rPr>
                <w:rFonts w:ascii="Arial" w:hAnsi="Arial" w:cs="Arial"/>
                <w:sz w:val="24"/>
              </w:rPr>
              <w:t xml:space="preserve"> satisfactory.  This is in line with the appointment of other JAC members.</w:t>
            </w:r>
          </w:p>
          <w:p w14:paraId="76D4ED70" w14:textId="59F5DDAA" w:rsidR="00DF64BD" w:rsidRDefault="00DF64BD" w:rsidP="00B25969">
            <w:pPr>
              <w:spacing w:after="0"/>
              <w:jc w:val="both"/>
              <w:rPr>
                <w:rFonts w:ascii="Arial" w:hAnsi="Arial" w:cs="Arial"/>
                <w:sz w:val="24"/>
              </w:rPr>
            </w:pPr>
          </w:p>
          <w:p w14:paraId="4845A2F7" w14:textId="09329178" w:rsidR="005F07A3" w:rsidRDefault="005F07A3" w:rsidP="00B25969">
            <w:pPr>
              <w:spacing w:after="0"/>
              <w:jc w:val="both"/>
              <w:rPr>
                <w:rFonts w:ascii="Arial" w:hAnsi="Arial" w:cs="Arial"/>
                <w:sz w:val="24"/>
              </w:rPr>
            </w:pPr>
            <w:r w:rsidRPr="00BD2957">
              <w:rPr>
                <w:rFonts w:ascii="Arial" w:hAnsi="Arial" w:cs="Arial"/>
                <w:b/>
                <w:bCs/>
                <w:sz w:val="24"/>
              </w:rPr>
              <w:t>Payments to the Chair</w:t>
            </w:r>
            <w:r>
              <w:rPr>
                <w:rFonts w:ascii="Arial" w:hAnsi="Arial" w:cs="Arial"/>
                <w:sz w:val="24"/>
              </w:rPr>
              <w:t xml:space="preserve"> – </w:t>
            </w:r>
            <w:proofErr w:type="gramStart"/>
            <w:r>
              <w:rPr>
                <w:rFonts w:ascii="Arial" w:hAnsi="Arial" w:cs="Arial"/>
                <w:sz w:val="24"/>
              </w:rPr>
              <w:t>in order to</w:t>
            </w:r>
            <w:proofErr w:type="gramEnd"/>
            <w:r>
              <w:rPr>
                <w:rFonts w:ascii="Arial" w:hAnsi="Arial" w:cs="Arial"/>
                <w:sz w:val="24"/>
              </w:rPr>
              <w:t xml:space="preserve"> recognise the additional work undertaken by the Chair of the JAC, payments will be increased to £268 for meetings of 4 hours</w:t>
            </w:r>
            <w:r w:rsidR="00A30991">
              <w:rPr>
                <w:rFonts w:ascii="Arial" w:hAnsi="Arial" w:cs="Arial"/>
                <w:sz w:val="24"/>
              </w:rPr>
              <w:t xml:space="preserve"> and over</w:t>
            </w:r>
            <w:r>
              <w:rPr>
                <w:rFonts w:ascii="Arial" w:hAnsi="Arial" w:cs="Arial"/>
                <w:sz w:val="24"/>
              </w:rPr>
              <w:t xml:space="preserve"> and £134 for meetings </w:t>
            </w:r>
            <w:r w:rsidR="00A30991">
              <w:rPr>
                <w:rFonts w:ascii="Arial" w:hAnsi="Arial" w:cs="Arial"/>
                <w:sz w:val="24"/>
              </w:rPr>
              <w:t xml:space="preserve">under </w:t>
            </w:r>
            <w:r>
              <w:rPr>
                <w:rFonts w:ascii="Arial" w:hAnsi="Arial" w:cs="Arial"/>
                <w:sz w:val="24"/>
              </w:rPr>
              <w:t xml:space="preserve">4 hours.  This is </w:t>
            </w:r>
            <w:r w:rsidR="00AE13CA">
              <w:rPr>
                <w:rFonts w:ascii="Arial" w:hAnsi="Arial" w:cs="Arial"/>
                <w:sz w:val="24"/>
              </w:rPr>
              <w:t>in line</w:t>
            </w:r>
            <w:r>
              <w:rPr>
                <w:rFonts w:ascii="Arial" w:hAnsi="Arial" w:cs="Arial"/>
                <w:sz w:val="24"/>
              </w:rPr>
              <w:t xml:space="preserve"> with the amounts confirmed in the Independent Remuneration Panel for Wales </w:t>
            </w:r>
            <w:r w:rsidR="00A30991">
              <w:rPr>
                <w:rFonts w:ascii="Arial" w:hAnsi="Arial" w:cs="Arial"/>
                <w:sz w:val="24"/>
              </w:rPr>
              <w:t>A</w:t>
            </w:r>
            <w:r>
              <w:rPr>
                <w:rFonts w:ascii="Arial" w:hAnsi="Arial" w:cs="Arial"/>
                <w:sz w:val="24"/>
              </w:rPr>
              <w:t xml:space="preserve">nnual </w:t>
            </w:r>
            <w:r w:rsidR="00A30991">
              <w:rPr>
                <w:rFonts w:ascii="Arial" w:hAnsi="Arial" w:cs="Arial"/>
                <w:sz w:val="24"/>
              </w:rPr>
              <w:t>R</w:t>
            </w:r>
            <w:r>
              <w:rPr>
                <w:rFonts w:ascii="Arial" w:hAnsi="Arial" w:cs="Arial"/>
                <w:sz w:val="24"/>
              </w:rPr>
              <w:t>eport 2022-23.  Payments to other JAC remembers will remain as already stated.</w:t>
            </w:r>
            <w:r w:rsidR="00FC052C">
              <w:rPr>
                <w:rFonts w:ascii="Arial" w:hAnsi="Arial" w:cs="Arial"/>
                <w:sz w:val="24"/>
              </w:rPr>
              <w:t xml:space="preserve">  Payments made</w:t>
            </w:r>
            <w:r w:rsidR="00890F6D">
              <w:rPr>
                <w:rFonts w:ascii="Arial" w:hAnsi="Arial" w:cs="Arial"/>
                <w:sz w:val="24"/>
              </w:rPr>
              <w:t xml:space="preserve"> to the Chair</w:t>
            </w:r>
            <w:r w:rsidR="00FC052C">
              <w:rPr>
                <w:rFonts w:ascii="Arial" w:hAnsi="Arial" w:cs="Arial"/>
                <w:sz w:val="24"/>
              </w:rPr>
              <w:t xml:space="preserve"> for preparation time will </w:t>
            </w:r>
            <w:r w:rsidR="00012B6F">
              <w:rPr>
                <w:rFonts w:ascii="Arial" w:hAnsi="Arial" w:cs="Arial"/>
                <w:sz w:val="24"/>
              </w:rPr>
              <w:t>be paid at the rate for meetings 4 hours and under</w:t>
            </w:r>
            <w:r w:rsidR="00FC052C">
              <w:rPr>
                <w:rFonts w:ascii="Arial" w:hAnsi="Arial" w:cs="Arial"/>
                <w:sz w:val="24"/>
              </w:rPr>
              <w:t>.</w:t>
            </w:r>
          </w:p>
          <w:p w14:paraId="7950269A" w14:textId="77777777" w:rsidR="00012B6F" w:rsidRDefault="00012B6F" w:rsidP="00B25969">
            <w:pPr>
              <w:spacing w:after="0"/>
              <w:jc w:val="both"/>
              <w:rPr>
                <w:rFonts w:ascii="Arial" w:hAnsi="Arial" w:cs="Arial"/>
                <w:sz w:val="24"/>
              </w:rPr>
            </w:pPr>
          </w:p>
          <w:p w14:paraId="2EB97EC4" w14:textId="3A4FEDFB" w:rsidR="00A30991" w:rsidRPr="00B859F6" w:rsidRDefault="00012B6F" w:rsidP="00012B6F">
            <w:pPr>
              <w:spacing w:after="0"/>
              <w:jc w:val="both"/>
              <w:rPr>
                <w:rFonts w:ascii="Arial" w:eastAsia="Times New Roman" w:hAnsi="Arial" w:cs="Arial"/>
                <w:sz w:val="24"/>
                <w:szCs w:val="24"/>
                <w:lang w:eastAsia="en-GB"/>
              </w:rPr>
            </w:pPr>
            <w:r w:rsidRPr="00B859F6">
              <w:rPr>
                <w:rFonts w:ascii="Arial" w:hAnsi="Arial" w:cs="Arial"/>
                <w:b/>
                <w:bCs/>
                <w:sz w:val="24"/>
                <w:szCs w:val="24"/>
              </w:rPr>
              <w:t>Payments to JAC Members (excluding the Chair)</w:t>
            </w:r>
            <w:r w:rsidRPr="00B859F6">
              <w:rPr>
                <w:rFonts w:ascii="Arial" w:hAnsi="Arial" w:cs="Arial"/>
                <w:sz w:val="24"/>
                <w:szCs w:val="24"/>
              </w:rPr>
              <w:t xml:space="preserve"> – JAC members are currently paid at the fee rate set by the Home Office</w:t>
            </w:r>
            <w:r w:rsidRPr="00B859F6">
              <w:rPr>
                <w:rFonts w:ascii="Arial" w:eastAsia="Times New Roman" w:hAnsi="Arial" w:cs="Arial"/>
                <w:sz w:val="24"/>
                <w:szCs w:val="24"/>
                <w:lang w:eastAsia="en-GB"/>
              </w:rPr>
              <w:t xml:space="preserve"> for </w:t>
            </w:r>
            <w:r w:rsidR="0009063F" w:rsidRPr="00B859F6">
              <w:rPr>
                <w:rFonts w:ascii="Arial" w:eastAsia="Times New Roman" w:hAnsi="Arial" w:cs="Arial"/>
                <w:sz w:val="24"/>
                <w:szCs w:val="24"/>
                <w:lang w:eastAsia="en-GB"/>
              </w:rPr>
              <w:t xml:space="preserve">Independent Members of </w:t>
            </w:r>
            <w:r w:rsidRPr="00B859F6">
              <w:rPr>
                <w:rFonts w:ascii="Arial" w:eastAsia="Times New Roman" w:hAnsi="Arial" w:cs="Arial"/>
                <w:sz w:val="24"/>
                <w:szCs w:val="24"/>
                <w:lang w:eastAsia="en-GB"/>
              </w:rPr>
              <w:t>Police Appeals Tribuna</w:t>
            </w:r>
            <w:r w:rsidR="0009063F" w:rsidRPr="00B859F6">
              <w:rPr>
                <w:rFonts w:ascii="Arial" w:eastAsia="Times New Roman" w:hAnsi="Arial" w:cs="Arial"/>
                <w:sz w:val="24"/>
                <w:szCs w:val="24"/>
                <w:lang w:eastAsia="en-GB"/>
              </w:rPr>
              <w:t>ls.</w:t>
            </w:r>
            <w:r w:rsidRPr="00B859F6">
              <w:rPr>
                <w:rFonts w:ascii="Arial" w:eastAsia="Times New Roman" w:hAnsi="Arial" w:cs="Arial"/>
                <w:sz w:val="24"/>
                <w:szCs w:val="24"/>
                <w:lang w:eastAsia="en-GB"/>
              </w:rPr>
              <w:t xml:space="preserve"> </w:t>
            </w:r>
            <w:r w:rsidR="0009063F" w:rsidRPr="00B859F6">
              <w:rPr>
                <w:rFonts w:ascii="Arial" w:eastAsia="Times New Roman" w:hAnsi="Arial" w:cs="Arial"/>
                <w:sz w:val="24"/>
                <w:szCs w:val="24"/>
                <w:lang w:eastAsia="en-GB"/>
              </w:rPr>
              <w:t xml:space="preserve"> </w:t>
            </w:r>
            <w:r w:rsidRPr="00B859F6">
              <w:rPr>
                <w:rFonts w:ascii="Arial" w:eastAsia="Times New Roman" w:hAnsi="Arial" w:cs="Arial"/>
                <w:sz w:val="24"/>
                <w:szCs w:val="24"/>
                <w:lang w:eastAsia="en-GB"/>
              </w:rPr>
              <w:t>The amounts (unchanged since April 2007) are £211.50 for meetings of more than 4 hours and £104.50 for meetings of 4 hours or less.</w:t>
            </w:r>
            <w:r w:rsidR="00A30991" w:rsidRPr="00B859F6">
              <w:rPr>
                <w:rFonts w:ascii="Arial" w:eastAsia="Times New Roman" w:hAnsi="Arial" w:cs="Arial"/>
                <w:sz w:val="24"/>
                <w:szCs w:val="24"/>
                <w:lang w:eastAsia="en-GB"/>
              </w:rPr>
              <w:t xml:space="preserve">  Due to changes in the Police Misconduct Process and the</w:t>
            </w:r>
            <w:r w:rsidR="0009063F" w:rsidRPr="00B859F6">
              <w:rPr>
                <w:rFonts w:ascii="Arial" w:eastAsia="Times New Roman" w:hAnsi="Arial" w:cs="Arial"/>
                <w:sz w:val="24"/>
                <w:szCs w:val="24"/>
                <w:lang w:eastAsia="en-GB"/>
              </w:rPr>
              <w:t xml:space="preserve"> requirements of the role no longer aligning with those of a JAC member</w:t>
            </w:r>
            <w:r w:rsidR="0007592B" w:rsidRPr="00B859F6">
              <w:rPr>
                <w:rFonts w:ascii="Arial" w:eastAsia="Times New Roman" w:hAnsi="Arial" w:cs="Arial"/>
                <w:sz w:val="24"/>
                <w:szCs w:val="24"/>
                <w:lang w:eastAsia="en-GB"/>
              </w:rPr>
              <w:t xml:space="preserve">, </w:t>
            </w:r>
            <w:r w:rsidR="0009063F" w:rsidRPr="00B859F6">
              <w:rPr>
                <w:rFonts w:ascii="Arial" w:eastAsia="Times New Roman" w:hAnsi="Arial" w:cs="Arial"/>
                <w:sz w:val="24"/>
                <w:szCs w:val="24"/>
                <w:lang w:eastAsia="en-GB"/>
              </w:rPr>
              <w:t>along with the</w:t>
            </w:r>
            <w:r w:rsidR="00A30991" w:rsidRPr="00B859F6">
              <w:rPr>
                <w:rFonts w:ascii="Arial" w:eastAsia="Times New Roman" w:hAnsi="Arial" w:cs="Arial"/>
                <w:sz w:val="24"/>
                <w:szCs w:val="24"/>
                <w:lang w:eastAsia="en-GB"/>
              </w:rPr>
              <w:t xml:space="preserve"> Chair’s fee being brought in line with the Independent Remuneration </w:t>
            </w:r>
            <w:r w:rsidR="00A30991" w:rsidRPr="00B859F6">
              <w:rPr>
                <w:rFonts w:ascii="Arial" w:eastAsia="Times New Roman" w:hAnsi="Arial" w:cs="Arial"/>
                <w:sz w:val="24"/>
                <w:szCs w:val="24"/>
                <w:lang w:eastAsia="en-GB"/>
              </w:rPr>
              <w:lastRenderedPageBreak/>
              <w:t xml:space="preserve">Panel for Wales guidance, JAC members will also revert to the payments set out in the Independent Remuneration Panel for Wales guidance as and when </w:t>
            </w:r>
            <w:r w:rsidR="00757B65" w:rsidRPr="00B859F6">
              <w:rPr>
                <w:rFonts w:ascii="Arial" w:eastAsia="Times New Roman" w:hAnsi="Arial" w:cs="Arial"/>
                <w:sz w:val="24"/>
                <w:szCs w:val="24"/>
                <w:lang w:eastAsia="en-GB"/>
              </w:rPr>
              <w:t>fees for both full day and half day meetings</w:t>
            </w:r>
            <w:r w:rsidR="00A30991" w:rsidRPr="00B859F6">
              <w:rPr>
                <w:rFonts w:ascii="Arial" w:eastAsia="Times New Roman" w:hAnsi="Arial" w:cs="Arial"/>
                <w:sz w:val="24"/>
                <w:szCs w:val="24"/>
                <w:lang w:eastAsia="en-GB"/>
              </w:rPr>
              <w:t xml:space="preserve"> become higher than the current </w:t>
            </w:r>
            <w:r w:rsidR="00757B65" w:rsidRPr="00B859F6">
              <w:rPr>
                <w:rFonts w:ascii="Arial" w:eastAsia="Times New Roman" w:hAnsi="Arial" w:cs="Arial"/>
                <w:sz w:val="24"/>
                <w:szCs w:val="24"/>
                <w:lang w:eastAsia="en-GB"/>
              </w:rPr>
              <w:t>fees</w:t>
            </w:r>
            <w:r w:rsidR="00A30991" w:rsidRPr="00B859F6">
              <w:rPr>
                <w:rFonts w:ascii="Arial" w:eastAsia="Times New Roman" w:hAnsi="Arial" w:cs="Arial"/>
                <w:sz w:val="24"/>
                <w:szCs w:val="24"/>
                <w:lang w:eastAsia="en-GB"/>
              </w:rPr>
              <w:t xml:space="preserve"> which are paid.  Rates currently advised by the Independent Remuneration Panel for Wales are £210 for meetings of 4 hours or more and £105 for meetings of under 4 hours.</w:t>
            </w:r>
            <w:r w:rsidR="0009063F" w:rsidRPr="00B859F6">
              <w:rPr>
                <w:rFonts w:ascii="Arial" w:eastAsia="Times New Roman" w:hAnsi="Arial" w:cs="Arial"/>
                <w:sz w:val="24"/>
                <w:szCs w:val="24"/>
                <w:lang w:eastAsia="en-GB"/>
              </w:rPr>
              <w:t xml:space="preserve">  The South Wales JAC also follow the Independent Remuneration Panel for Wales fees for their members.</w:t>
            </w:r>
            <w:r w:rsidR="00A30991" w:rsidRPr="00B859F6">
              <w:rPr>
                <w:rFonts w:ascii="Arial" w:eastAsia="Times New Roman" w:hAnsi="Arial" w:cs="Arial"/>
                <w:sz w:val="24"/>
                <w:szCs w:val="24"/>
                <w:lang w:eastAsia="en-GB"/>
              </w:rPr>
              <w:t xml:space="preserve">  </w:t>
            </w:r>
          </w:p>
          <w:p w14:paraId="60996545" w14:textId="77777777" w:rsidR="00A30991" w:rsidRPr="00B859F6" w:rsidRDefault="00A30991" w:rsidP="00012B6F">
            <w:pPr>
              <w:spacing w:after="0"/>
              <w:jc w:val="both"/>
              <w:rPr>
                <w:rFonts w:ascii="Arial" w:eastAsia="Times New Roman" w:hAnsi="Arial" w:cs="Arial"/>
                <w:sz w:val="24"/>
                <w:szCs w:val="24"/>
                <w:lang w:eastAsia="en-GB"/>
              </w:rPr>
            </w:pPr>
          </w:p>
          <w:p w14:paraId="3B0FB72F" w14:textId="553A8DB8" w:rsidR="00012B6F" w:rsidRPr="00A30991" w:rsidRDefault="00A30991" w:rsidP="00012B6F">
            <w:pPr>
              <w:spacing w:after="0"/>
              <w:jc w:val="both"/>
              <w:rPr>
                <w:rFonts w:ascii="Arial" w:hAnsi="Arial" w:cs="Arial"/>
                <w:sz w:val="24"/>
                <w:szCs w:val="24"/>
              </w:rPr>
            </w:pPr>
            <w:r w:rsidRPr="00B859F6">
              <w:rPr>
                <w:rFonts w:ascii="Arial" w:eastAsia="Times New Roman" w:hAnsi="Arial" w:cs="Arial"/>
                <w:sz w:val="24"/>
                <w:szCs w:val="24"/>
                <w:lang w:eastAsia="en-GB"/>
              </w:rPr>
              <w:t>To confirm</w:t>
            </w:r>
            <w:r w:rsidR="00B10DAA" w:rsidRPr="00B859F6">
              <w:rPr>
                <w:rFonts w:ascii="Arial" w:eastAsia="Times New Roman" w:hAnsi="Arial" w:cs="Arial"/>
                <w:sz w:val="24"/>
                <w:szCs w:val="24"/>
                <w:lang w:eastAsia="en-GB"/>
              </w:rPr>
              <w:t>,</w:t>
            </w:r>
            <w:r w:rsidRPr="00B859F6">
              <w:rPr>
                <w:rFonts w:ascii="Arial" w:eastAsia="Times New Roman" w:hAnsi="Arial" w:cs="Arial"/>
                <w:sz w:val="24"/>
                <w:szCs w:val="24"/>
                <w:lang w:eastAsia="en-GB"/>
              </w:rPr>
              <w:t xml:space="preserve"> the payments for 2024/25 will remain as currently set out in the Terms of Reference</w:t>
            </w:r>
            <w:r w:rsidR="0009063F" w:rsidRPr="00B859F6">
              <w:rPr>
                <w:rFonts w:ascii="Arial" w:eastAsia="Times New Roman" w:hAnsi="Arial" w:cs="Arial"/>
                <w:sz w:val="24"/>
                <w:szCs w:val="24"/>
                <w:lang w:eastAsia="en-GB"/>
              </w:rPr>
              <w:t xml:space="preserve"> and will be reviewed annually along with those of the Chair</w:t>
            </w:r>
            <w:r w:rsidRPr="00B859F6">
              <w:rPr>
                <w:rFonts w:ascii="Arial" w:eastAsia="Times New Roman" w:hAnsi="Arial" w:cs="Arial"/>
                <w:sz w:val="24"/>
                <w:szCs w:val="24"/>
                <w:lang w:eastAsia="en-GB"/>
              </w:rPr>
              <w:t>.</w:t>
            </w:r>
          </w:p>
          <w:p w14:paraId="558AD916" w14:textId="20120522" w:rsidR="005F07A3" w:rsidRDefault="005F07A3" w:rsidP="00B25969">
            <w:pPr>
              <w:spacing w:after="0"/>
              <w:jc w:val="both"/>
              <w:rPr>
                <w:rFonts w:ascii="Arial" w:hAnsi="Arial" w:cs="Arial"/>
                <w:sz w:val="24"/>
              </w:rPr>
            </w:pPr>
          </w:p>
          <w:p w14:paraId="6E5BA451" w14:textId="39EE72CD" w:rsidR="00BD2957" w:rsidRDefault="00BD2957" w:rsidP="00B25969">
            <w:pPr>
              <w:spacing w:after="0"/>
              <w:jc w:val="both"/>
              <w:rPr>
                <w:rFonts w:ascii="Arial" w:hAnsi="Arial" w:cs="Arial"/>
                <w:sz w:val="24"/>
              </w:rPr>
            </w:pPr>
            <w:r w:rsidRPr="00F166FD">
              <w:rPr>
                <w:rFonts w:ascii="Arial" w:hAnsi="Arial" w:cs="Arial"/>
                <w:b/>
                <w:bCs/>
                <w:sz w:val="24"/>
              </w:rPr>
              <w:t xml:space="preserve">Extension of </w:t>
            </w:r>
            <w:r w:rsidR="001A1593">
              <w:rPr>
                <w:rFonts w:ascii="Arial" w:hAnsi="Arial" w:cs="Arial"/>
                <w:b/>
                <w:bCs/>
                <w:sz w:val="24"/>
              </w:rPr>
              <w:t>Tenure</w:t>
            </w:r>
            <w:r>
              <w:rPr>
                <w:rFonts w:ascii="Arial" w:hAnsi="Arial" w:cs="Arial"/>
                <w:sz w:val="24"/>
              </w:rPr>
              <w:t xml:space="preserve"> – provision has been included to allow the extension of any JAC members appointment past the maximum </w:t>
            </w:r>
            <w:proofErr w:type="gramStart"/>
            <w:r>
              <w:rPr>
                <w:rFonts w:ascii="Arial" w:hAnsi="Arial" w:cs="Arial"/>
                <w:sz w:val="24"/>
              </w:rPr>
              <w:t>10 year</w:t>
            </w:r>
            <w:proofErr w:type="gramEnd"/>
            <w:r>
              <w:rPr>
                <w:rFonts w:ascii="Arial" w:hAnsi="Arial" w:cs="Arial"/>
                <w:sz w:val="24"/>
              </w:rPr>
              <w:t xml:space="preserve"> period in exceptional circumstances, for a period of 1 year only.  This decision must be discussed at a JAC meeting and ratified by the PCC and Chief Constable.</w:t>
            </w:r>
            <w:r w:rsidR="00055E8E">
              <w:rPr>
                <w:rFonts w:ascii="Arial" w:hAnsi="Arial" w:cs="Arial"/>
                <w:sz w:val="24"/>
              </w:rPr>
              <w:t xml:space="preserve">  The </w:t>
            </w:r>
            <w:r w:rsidR="00C87E9C">
              <w:rPr>
                <w:rFonts w:ascii="Arial" w:hAnsi="Arial" w:cs="Arial"/>
                <w:sz w:val="24"/>
              </w:rPr>
              <w:t>t</w:t>
            </w:r>
            <w:r w:rsidR="00055E8E">
              <w:rPr>
                <w:rFonts w:ascii="Arial" w:hAnsi="Arial" w:cs="Arial"/>
                <w:sz w:val="24"/>
              </w:rPr>
              <w:t>enure paragraphs have also been re-</w:t>
            </w:r>
            <w:proofErr w:type="gramStart"/>
            <w:r w:rsidR="00055E8E">
              <w:rPr>
                <w:rFonts w:ascii="Arial" w:hAnsi="Arial" w:cs="Arial"/>
                <w:sz w:val="24"/>
              </w:rPr>
              <w:t>worded</w:t>
            </w:r>
            <w:proofErr w:type="gramEnd"/>
            <w:r w:rsidR="00055E8E">
              <w:rPr>
                <w:rFonts w:ascii="Arial" w:hAnsi="Arial" w:cs="Arial"/>
                <w:sz w:val="24"/>
              </w:rPr>
              <w:t xml:space="preserve"> but no key information has changed.</w:t>
            </w:r>
          </w:p>
          <w:p w14:paraId="46839DB0" w14:textId="0E79ADFC" w:rsidR="00055E8E" w:rsidRPr="00B25969" w:rsidRDefault="00055E8E" w:rsidP="00055E8E">
            <w:pPr>
              <w:spacing w:after="0"/>
              <w:jc w:val="both"/>
              <w:rPr>
                <w:rFonts w:ascii="Arial" w:hAnsi="Arial" w:cs="Arial"/>
                <w:sz w:val="24"/>
                <w:szCs w:val="24"/>
              </w:rPr>
            </w:pPr>
          </w:p>
        </w:tc>
      </w:tr>
      <w:tr w:rsidR="00B913D2" w:rsidRPr="00055BFA" w14:paraId="52D7EA8E" w14:textId="77777777" w:rsidTr="00055BFA">
        <w:tc>
          <w:tcPr>
            <w:tcW w:w="675" w:type="dxa"/>
            <w:shd w:val="clear" w:color="auto" w:fill="auto"/>
          </w:tcPr>
          <w:p w14:paraId="74033646" w14:textId="77777777" w:rsidR="00B913D2" w:rsidRPr="00055BFA" w:rsidRDefault="005C173F" w:rsidP="00055BFA">
            <w:pPr>
              <w:spacing w:after="0"/>
              <w:rPr>
                <w:rFonts w:ascii="Arial" w:hAnsi="Arial" w:cs="Arial"/>
                <w:b/>
                <w:sz w:val="24"/>
                <w:szCs w:val="24"/>
              </w:rPr>
            </w:pPr>
            <w:r>
              <w:rPr>
                <w:rFonts w:ascii="Arial" w:hAnsi="Arial" w:cs="Arial"/>
                <w:b/>
                <w:sz w:val="24"/>
                <w:szCs w:val="24"/>
              </w:rPr>
              <w:lastRenderedPageBreak/>
              <w:t>4</w:t>
            </w:r>
            <w:r w:rsidR="00B913D2">
              <w:rPr>
                <w:rFonts w:ascii="Arial" w:hAnsi="Arial" w:cs="Arial"/>
                <w:b/>
                <w:sz w:val="24"/>
                <w:szCs w:val="24"/>
              </w:rPr>
              <w:t>.</w:t>
            </w:r>
          </w:p>
        </w:tc>
        <w:tc>
          <w:tcPr>
            <w:tcW w:w="8611" w:type="dxa"/>
            <w:shd w:val="clear" w:color="auto" w:fill="auto"/>
          </w:tcPr>
          <w:p w14:paraId="3A4622AD" w14:textId="77777777" w:rsidR="00B913D2" w:rsidRDefault="00B913D2" w:rsidP="009E19DB">
            <w:pPr>
              <w:spacing w:after="0"/>
              <w:jc w:val="both"/>
              <w:rPr>
                <w:rFonts w:ascii="Arial" w:hAnsi="Arial" w:cs="Arial"/>
                <w:b/>
                <w:sz w:val="24"/>
                <w:szCs w:val="24"/>
                <w:u w:val="single"/>
              </w:rPr>
            </w:pPr>
            <w:r>
              <w:rPr>
                <w:rFonts w:ascii="Arial" w:hAnsi="Arial" w:cs="Arial"/>
                <w:b/>
                <w:sz w:val="24"/>
                <w:szCs w:val="24"/>
                <w:u w:val="single"/>
              </w:rPr>
              <w:t>NEXT STEPS</w:t>
            </w:r>
          </w:p>
          <w:p w14:paraId="2FAD1B71" w14:textId="0BF93AC7" w:rsidR="00497BFE" w:rsidRDefault="00497BFE" w:rsidP="005813C9">
            <w:pPr>
              <w:spacing w:after="0"/>
              <w:jc w:val="both"/>
              <w:rPr>
                <w:rFonts w:ascii="Arial" w:hAnsi="Arial" w:cs="Arial"/>
                <w:sz w:val="24"/>
              </w:rPr>
            </w:pPr>
            <w:r>
              <w:rPr>
                <w:rFonts w:ascii="Arial" w:hAnsi="Arial" w:cs="Arial"/>
                <w:sz w:val="24"/>
              </w:rPr>
              <w:t>That the JAC</w:t>
            </w:r>
            <w:r w:rsidR="005813C9">
              <w:rPr>
                <w:rFonts w:ascii="Arial" w:hAnsi="Arial" w:cs="Arial"/>
                <w:sz w:val="24"/>
              </w:rPr>
              <w:t xml:space="preserve"> consider the draft amended </w:t>
            </w:r>
            <w:proofErr w:type="spellStart"/>
            <w:r w:rsidR="005813C9">
              <w:rPr>
                <w:rFonts w:ascii="Arial" w:hAnsi="Arial" w:cs="Arial"/>
                <w:sz w:val="24"/>
              </w:rPr>
              <w:t>ToR</w:t>
            </w:r>
            <w:proofErr w:type="spellEnd"/>
            <w:r w:rsidR="005813C9">
              <w:rPr>
                <w:rFonts w:ascii="Arial" w:hAnsi="Arial" w:cs="Arial"/>
                <w:sz w:val="24"/>
              </w:rPr>
              <w:t xml:space="preserve"> and provide feedback for the consideration of officers.  </w:t>
            </w:r>
            <w:r w:rsidR="00FC052C">
              <w:rPr>
                <w:rFonts w:ascii="Arial" w:hAnsi="Arial" w:cs="Arial"/>
                <w:sz w:val="24"/>
              </w:rPr>
              <w:t xml:space="preserve">The </w:t>
            </w:r>
            <w:proofErr w:type="spellStart"/>
            <w:r w:rsidR="00FC052C">
              <w:rPr>
                <w:rFonts w:ascii="Arial" w:hAnsi="Arial" w:cs="Arial"/>
                <w:sz w:val="24"/>
              </w:rPr>
              <w:t>ToR</w:t>
            </w:r>
            <w:proofErr w:type="spellEnd"/>
            <w:r w:rsidR="00FC052C">
              <w:rPr>
                <w:rFonts w:ascii="Arial" w:hAnsi="Arial" w:cs="Arial"/>
                <w:sz w:val="24"/>
              </w:rPr>
              <w:t xml:space="preserve"> will be updated as necessary and finalised.  A final version will be sent to all attendees of the JAC and will also be uploaded to the OPCC website once it has been translated. </w:t>
            </w:r>
          </w:p>
          <w:p w14:paraId="504A70D8" w14:textId="77777777" w:rsidR="005813C9" w:rsidRPr="00B25969" w:rsidRDefault="005813C9" w:rsidP="00FC052C">
            <w:pPr>
              <w:spacing w:after="0"/>
              <w:jc w:val="both"/>
              <w:rPr>
                <w:rFonts w:ascii="Arial" w:hAnsi="Arial" w:cs="Arial"/>
                <w:sz w:val="24"/>
              </w:rPr>
            </w:pPr>
          </w:p>
        </w:tc>
      </w:tr>
      <w:tr w:rsidR="00D26302" w:rsidRPr="00055BFA" w14:paraId="0E85E157" w14:textId="77777777" w:rsidTr="00055BFA">
        <w:tc>
          <w:tcPr>
            <w:tcW w:w="675" w:type="dxa"/>
            <w:shd w:val="clear" w:color="auto" w:fill="auto"/>
          </w:tcPr>
          <w:p w14:paraId="404E2C7E" w14:textId="77777777" w:rsidR="00D26302" w:rsidRPr="00055BFA" w:rsidRDefault="005C173F" w:rsidP="00055BFA">
            <w:pPr>
              <w:spacing w:after="0"/>
              <w:rPr>
                <w:rFonts w:ascii="Arial" w:hAnsi="Arial" w:cs="Arial"/>
                <w:b/>
                <w:sz w:val="24"/>
                <w:szCs w:val="24"/>
              </w:rPr>
            </w:pPr>
            <w:r>
              <w:rPr>
                <w:rFonts w:ascii="Arial" w:hAnsi="Arial" w:cs="Arial"/>
                <w:b/>
                <w:sz w:val="24"/>
                <w:szCs w:val="24"/>
              </w:rPr>
              <w:t>5</w:t>
            </w:r>
            <w:r w:rsidR="00F8795E">
              <w:rPr>
                <w:rFonts w:ascii="Arial" w:hAnsi="Arial" w:cs="Arial"/>
                <w:b/>
                <w:sz w:val="24"/>
                <w:szCs w:val="24"/>
              </w:rPr>
              <w:t>.</w:t>
            </w:r>
          </w:p>
        </w:tc>
        <w:tc>
          <w:tcPr>
            <w:tcW w:w="8611" w:type="dxa"/>
            <w:shd w:val="clear" w:color="auto" w:fill="auto"/>
          </w:tcPr>
          <w:p w14:paraId="120DAEA0" w14:textId="77777777" w:rsidR="00D26302" w:rsidRPr="000415D2" w:rsidRDefault="00F8795E" w:rsidP="00055BFA">
            <w:pPr>
              <w:spacing w:after="0"/>
              <w:rPr>
                <w:rFonts w:ascii="Arial" w:hAnsi="Arial" w:cs="Arial"/>
                <w:b/>
                <w:sz w:val="24"/>
                <w:szCs w:val="24"/>
                <w:u w:val="single"/>
              </w:rPr>
            </w:pPr>
            <w:r w:rsidRPr="000415D2">
              <w:rPr>
                <w:rFonts w:ascii="Arial" w:hAnsi="Arial" w:cs="Arial"/>
                <w:b/>
                <w:sz w:val="24"/>
                <w:szCs w:val="24"/>
                <w:u w:val="single"/>
              </w:rPr>
              <w:t>FINANCIAL CONSIDERATIONS</w:t>
            </w:r>
          </w:p>
          <w:p w14:paraId="31F0E33A" w14:textId="62EC2275" w:rsidR="00F8795E" w:rsidRDefault="00FC052C" w:rsidP="00497BFE">
            <w:pPr>
              <w:spacing w:after="0"/>
              <w:jc w:val="both"/>
              <w:rPr>
                <w:rFonts w:ascii="Arial" w:hAnsi="Arial" w:cs="Arial"/>
                <w:sz w:val="24"/>
                <w:szCs w:val="24"/>
              </w:rPr>
            </w:pPr>
            <w:r>
              <w:rPr>
                <w:rFonts w:ascii="Arial" w:hAnsi="Arial" w:cs="Arial"/>
                <w:sz w:val="24"/>
                <w:szCs w:val="24"/>
              </w:rPr>
              <w:t>If the amendments proposed are accepted, then there will be a slight increase to payments made to the Chair of the JAC.  These will increase from £211.50 to £268 for meetings over 4 hours and from £104.50 to £134 for meetings 4 hours and under.  All other payments will remain the same.</w:t>
            </w:r>
          </w:p>
          <w:p w14:paraId="17F2D49F" w14:textId="59D3A3BD" w:rsidR="00FC052C" w:rsidRDefault="00FC052C" w:rsidP="00497BFE">
            <w:pPr>
              <w:spacing w:after="0"/>
              <w:jc w:val="both"/>
              <w:rPr>
                <w:rFonts w:ascii="Arial" w:hAnsi="Arial" w:cs="Arial"/>
                <w:sz w:val="24"/>
                <w:szCs w:val="24"/>
              </w:rPr>
            </w:pPr>
          </w:p>
          <w:p w14:paraId="273D6A8B" w14:textId="5D6A6D32" w:rsidR="00FC052C" w:rsidRDefault="00C87E9C" w:rsidP="00497BFE">
            <w:pPr>
              <w:spacing w:after="0"/>
              <w:jc w:val="both"/>
              <w:rPr>
                <w:rFonts w:ascii="Arial" w:hAnsi="Arial" w:cs="Arial"/>
                <w:sz w:val="24"/>
                <w:szCs w:val="24"/>
              </w:rPr>
            </w:pPr>
            <w:r>
              <w:rPr>
                <w:rFonts w:ascii="Arial" w:hAnsi="Arial" w:cs="Arial"/>
                <w:sz w:val="24"/>
                <w:szCs w:val="24"/>
              </w:rPr>
              <w:t>R</w:t>
            </w:r>
            <w:r w:rsidR="00FC052C">
              <w:rPr>
                <w:rFonts w:ascii="Arial" w:hAnsi="Arial" w:cs="Arial"/>
                <w:sz w:val="24"/>
                <w:szCs w:val="24"/>
              </w:rPr>
              <w:t>ecruiting a Chair via a separate process to other JAC members</w:t>
            </w:r>
            <w:r>
              <w:rPr>
                <w:rFonts w:ascii="Arial" w:hAnsi="Arial" w:cs="Arial"/>
                <w:sz w:val="24"/>
                <w:szCs w:val="24"/>
              </w:rPr>
              <w:t xml:space="preserve"> </w:t>
            </w:r>
            <w:r w:rsidR="00FC052C">
              <w:rPr>
                <w:rFonts w:ascii="Arial" w:hAnsi="Arial" w:cs="Arial"/>
                <w:sz w:val="24"/>
                <w:szCs w:val="24"/>
              </w:rPr>
              <w:t>will also incur additional cost</w:t>
            </w:r>
            <w:r>
              <w:rPr>
                <w:rFonts w:ascii="Arial" w:hAnsi="Arial" w:cs="Arial"/>
                <w:sz w:val="24"/>
                <w:szCs w:val="24"/>
              </w:rPr>
              <w:t xml:space="preserve"> if this option was</w:t>
            </w:r>
            <w:r w:rsidR="001F2DFA">
              <w:rPr>
                <w:rFonts w:ascii="Arial" w:hAnsi="Arial" w:cs="Arial"/>
                <w:sz w:val="24"/>
                <w:szCs w:val="24"/>
              </w:rPr>
              <w:t xml:space="preserve"> to be</w:t>
            </w:r>
            <w:r>
              <w:rPr>
                <w:rFonts w:ascii="Arial" w:hAnsi="Arial" w:cs="Arial"/>
                <w:sz w:val="24"/>
                <w:szCs w:val="24"/>
              </w:rPr>
              <w:t xml:space="preserve"> utilised.</w:t>
            </w:r>
          </w:p>
          <w:p w14:paraId="0149FD45" w14:textId="77777777" w:rsidR="00497BFE" w:rsidRPr="00497BFE" w:rsidRDefault="00497BFE" w:rsidP="00497BFE">
            <w:pPr>
              <w:spacing w:after="0"/>
              <w:jc w:val="both"/>
              <w:rPr>
                <w:rFonts w:ascii="Arial" w:hAnsi="Arial" w:cs="Arial"/>
                <w:sz w:val="24"/>
                <w:szCs w:val="24"/>
              </w:rPr>
            </w:pPr>
          </w:p>
        </w:tc>
      </w:tr>
      <w:tr w:rsidR="00F8795E" w:rsidRPr="00055BFA" w14:paraId="4BBFE09A" w14:textId="77777777" w:rsidTr="00055BFA">
        <w:tc>
          <w:tcPr>
            <w:tcW w:w="675" w:type="dxa"/>
            <w:shd w:val="clear" w:color="auto" w:fill="auto"/>
          </w:tcPr>
          <w:p w14:paraId="41226C98" w14:textId="77777777" w:rsidR="00F8795E" w:rsidRDefault="005C173F" w:rsidP="00055BFA">
            <w:pPr>
              <w:spacing w:after="0"/>
              <w:rPr>
                <w:rFonts w:ascii="Arial" w:hAnsi="Arial" w:cs="Arial"/>
                <w:b/>
                <w:sz w:val="24"/>
                <w:szCs w:val="24"/>
              </w:rPr>
            </w:pPr>
            <w:r>
              <w:rPr>
                <w:rFonts w:ascii="Arial" w:hAnsi="Arial" w:cs="Arial"/>
                <w:b/>
                <w:sz w:val="24"/>
                <w:szCs w:val="24"/>
              </w:rPr>
              <w:t>6</w:t>
            </w:r>
            <w:r w:rsidR="00F8795E">
              <w:rPr>
                <w:rFonts w:ascii="Arial" w:hAnsi="Arial" w:cs="Arial"/>
                <w:b/>
                <w:sz w:val="24"/>
                <w:szCs w:val="24"/>
              </w:rPr>
              <w:t>.</w:t>
            </w:r>
          </w:p>
        </w:tc>
        <w:tc>
          <w:tcPr>
            <w:tcW w:w="8611" w:type="dxa"/>
            <w:shd w:val="clear" w:color="auto" w:fill="auto"/>
          </w:tcPr>
          <w:p w14:paraId="60ACEC14" w14:textId="77777777" w:rsidR="00F8795E" w:rsidRPr="000415D2" w:rsidRDefault="00F8795E" w:rsidP="00055BFA">
            <w:pPr>
              <w:spacing w:after="0"/>
              <w:rPr>
                <w:rFonts w:ascii="Arial" w:hAnsi="Arial" w:cs="Arial"/>
                <w:b/>
                <w:sz w:val="24"/>
                <w:szCs w:val="24"/>
                <w:u w:val="single"/>
              </w:rPr>
            </w:pPr>
            <w:r w:rsidRPr="000415D2">
              <w:rPr>
                <w:rFonts w:ascii="Arial" w:hAnsi="Arial" w:cs="Arial"/>
                <w:b/>
                <w:sz w:val="24"/>
                <w:szCs w:val="24"/>
                <w:u w:val="single"/>
              </w:rPr>
              <w:t>PERSO</w:t>
            </w:r>
            <w:r w:rsidR="00A262EF" w:rsidRPr="000415D2">
              <w:rPr>
                <w:rFonts w:ascii="Arial" w:hAnsi="Arial" w:cs="Arial"/>
                <w:b/>
                <w:sz w:val="24"/>
                <w:szCs w:val="24"/>
                <w:u w:val="single"/>
              </w:rPr>
              <w:t>N</w:t>
            </w:r>
            <w:r w:rsidRPr="000415D2">
              <w:rPr>
                <w:rFonts w:ascii="Arial" w:hAnsi="Arial" w:cs="Arial"/>
                <w:b/>
                <w:sz w:val="24"/>
                <w:szCs w:val="24"/>
                <w:u w:val="single"/>
              </w:rPr>
              <w:t>N</w:t>
            </w:r>
            <w:r w:rsidR="00A262EF" w:rsidRPr="000415D2">
              <w:rPr>
                <w:rFonts w:ascii="Arial" w:hAnsi="Arial" w:cs="Arial"/>
                <w:b/>
                <w:sz w:val="24"/>
                <w:szCs w:val="24"/>
                <w:u w:val="single"/>
              </w:rPr>
              <w:t>E</w:t>
            </w:r>
            <w:r w:rsidRPr="000415D2">
              <w:rPr>
                <w:rFonts w:ascii="Arial" w:hAnsi="Arial" w:cs="Arial"/>
                <w:b/>
                <w:sz w:val="24"/>
                <w:szCs w:val="24"/>
                <w:u w:val="single"/>
              </w:rPr>
              <w:t>L CONSIDERATION</w:t>
            </w:r>
            <w:r w:rsidR="00A262EF" w:rsidRPr="000415D2">
              <w:rPr>
                <w:rFonts w:ascii="Arial" w:hAnsi="Arial" w:cs="Arial"/>
                <w:b/>
                <w:sz w:val="24"/>
                <w:szCs w:val="24"/>
                <w:u w:val="single"/>
              </w:rPr>
              <w:t>S</w:t>
            </w:r>
          </w:p>
          <w:p w14:paraId="6E7CFF87" w14:textId="7AABF6FD" w:rsidR="00FC052C" w:rsidRDefault="00497BFE" w:rsidP="00FC052C">
            <w:pPr>
              <w:spacing w:after="0"/>
              <w:jc w:val="both"/>
              <w:rPr>
                <w:rFonts w:ascii="Arial" w:hAnsi="Arial" w:cs="Arial"/>
                <w:sz w:val="24"/>
              </w:rPr>
            </w:pPr>
            <w:r>
              <w:rPr>
                <w:rFonts w:ascii="Arial" w:hAnsi="Arial" w:cs="Arial"/>
                <w:sz w:val="24"/>
              </w:rPr>
              <w:t xml:space="preserve">The </w:t>
            </w:r>
            <w:r w:rsidR="005813C9">
              <w:rPr>
                <w:rFonts w:ascii="Arial" w:hAnsi="Arial" w:cs="Arial"/>
                <w:sz w:val="24"/>
              </w:rPr>
              <w:t>JAC is supported by the OPCC</w:t>
            </w:r>
            <w:r w:rsidR="00FC052C">
              <w:rPr>
                <w:rFonts w:ascii="Arial" w:hAnsi="Arial" w:cs="Arial"/>
                <w:sz w:val="24"/>
              </w:rPr>
              <w:t xml:space="preserve">, additional recruitment processes to appoint a Chair will impact on </w:t>
            </w:r>
            <w:r w:rsidR="006A758A">
              <w:rPr>
                <w:rFonts w:ascii="Arial" w:hAnsi="Arial" w:cs="Arial"/>
                <w:sz w:val="24"/>
              </w:rPr>
              <w:t xml:space="preserve">OPCC </w:t>
            </w:r>
            <w:r w:rsidR="00A644BC">
              <w:rPr>
                <w:rFonts w:ascii="Arial" w:hAnsi="Arial" w:cs="Arial"/>
                <w:sz w:val="24"/>
              </w:rPr>
              <w:t>resources.</w:t>
            </w:r>
          </w:p>
          <w:p w14:paraId="7417AFCA" w14:textId="01993B1A" w:rsidR="00FC052C" w:rsidRPr="00497BFE" w:rsidRDefault="00FC052C" w:rsidP="00FC052C">
            <w:pPr>
              <w:spacing w:after="0"/>
              <w:jc w:val="both"/>
              <w:rPr>
                <w:rFonts w:ascii="Arial" w:hAnsi="Arial" w:cs="Arial"/>
                <w:sz w:val="24"/>
              </w:rPr>
            </w:pPr>
          </w:p>
        </w:tc>
      </w:tr>
      <w:tr w:rsidR="00F8795E" w:rsidRPr="00055BFA" w14:paraId="6B3A02F0" w14:textId="77777777" w:rsidTr="00055BFA">
        <w:tc>
          <w:tcPr>
            <w:tcW w:w="675" w:type="dxa"/>
            <w:shd w:val="clear" w:color="auto" w:fill="auto"/>
          </w:tcPr>
          <w:p w14:paraId="1B18567B" w14:textId="77777777" w:rsidR="00F8795E" w:rsidRDefault="005C173F" w:rsidP="00055BFA">
            <w:pPr>
              <w:spacing w:after="0"/>
              <w:rPr>
                <w:rFonts w:ascii="Arial" w:hAnsi="Arial" w:cs="Arial"/>
                <w:b/>
                <w:sz w:val="24"/>
                <w:szCs w:val="24"/>
              </w:rPr>
            </w:pPr>
            <w:r>
              <w:rPr>
                <w:rFonts w:ascii="Arial" w:hAnsi="Arial" w:cs="Arial"/>
                <w:b/>
                <w:sz w:val="24"/>
                <w:szCs w:val="24"/>
              </w:rPr>
              <w:t>7</w:t>
            </w:r>
            <w:r w:rsidR="00F8795E">
              <w:rPr>
                <w:rFonts w:ascii="Arial" w:hAnsi="Arial" w:cs="Arial"/>
                <w:b/>
                <w:sz w:val="24"/>
                <w:szCs w:val="24"/>
              </w:rPr>
              <w:t>.</w:t>
            </w:r>
          </w:p>
        </w:tc>
        <w:tc>
          <w:tcPr>
            <w:tcW w:w="8611" w:type="dxa"/>
            <w:shd w:val="clear" w:color="auto" w:fill="auto"/>
          </w:tcPr>
          <w:p w14:paraId="0FBA5AB1" w14:textId="77777777" w:rsidR="00F8795E" w:rsidRPr="000415D2" w:rsidRDefault="00F8795E" w:rsidP="00055BFA">
            <w:pPr>
              <w:spacing w:after="0"/>
              <w:rPr>
                <w:rFonts w:ascii="Arial" w:hAnsi="Arial" w:cs="Arial"/>
                <w:b/>
                <w:sz w:val="24"/>
                <w:szCs w:val="24"/>
                <w:u w:val="single"/>
              </w:rPr>
            </w:pPr>
            <w:r w:rsidRPr="000415D2">
              <w:rPr>
                <w:rFonts w:ascii="Arial" w:hAnsi="Arial" w:cs="Arial"/>
                <w:b/>
                <w:sz w:val="24"/>
                <w:szCs w:val="24"/>
                <w:u w:val="single"/>
              </w:rPr>
              <w:t>LEGAL IMPLICATIONS</w:t>
            </w:r>
          </w:p>
          <w:p w14:paraId="7B360001" w14:textId="216C7EA1" w:rsidR="00F8795E" w:rsidRPr="00D12357" w:rsidRDefault="00D12357" w:rsidP="00D12357">
            <w:pPr>
              <w:spacing w:after="0"/>
              <w:jc w:val="both"/>
              <w:rPr>
                <w:rFonts w:ascii="Arial" w:hAnsi="Arial" w:cs="Arial"/>
                <w:sz w:val="24"/>
                <w:szCs w:val="24"/>
              </w:rPr>
            </w:pPr>
            <w:r w:rsidRPr="00D12357">
              <w:rPr>
                <w:rFonts w:ascii="Arial" w:hAnsi="Arial" w:cs="Arial"/>
                <w:sz w:val="24"/>
                <w:szCs w:val="24"/>
              </w:rPr>
              <w:t xml:space="preserve">There are no legal issues arising from this report.  The CIPFA guidance is </w:t>
            </w:r>
            <w:r w:rsidR="006A758A">
              <w:rPr>
                <w:rFonts w:ascii="Arial" w:hAnsi="Arial" w:cs="Arial"/>
                <w:sz w:val="24"/>
                <w:szCs w:val="24"/>
              </w:rPr>
              <w:t>for</w:t>
            </w:r>
            <w:r w:rsidRPr="00D12357">
              <w:rPr>
                <w:rFonts w:ascii="Arial" w:hAnsi="Arial" w:cs="Arial"/>
                <w:sz w:val="24"/>
                <w:szCs w:val="24"/>
              </w:rPr>
              <w:t xml:space="preserve"> suggestion only and can be adapted to suit the needs of each JAC.</w:t>
            </w:r>
          </w:p>
          <w:p w14:paraId="61AB200C" w14:textId="77777777" w:rsidR="00D12357" w:rsidRPr="00D12357" w:rsidRDefault="00D12357" w:rsidP="00D12357">
            <w:pPr>
              <w:spacing w:after="0"/>
              <w:jc w:val="both"/>
              <w:rPr>
                <w:rFonts w:ascii="Arial" w:hAnsi="Arial" w:cs="Arial"/>
                <w:sz w:val="24"/>
                <w:szCs w:val="24"/>
              </w:rPr>
            </w:pPr>
          </w:p>
          <w:p w14:paraId="01EFE53D" w14:textId="295D1C32" w:rsidR="00A30991" w:rsidRPr="00FE3706" w:rsidRDefault="00D12357" w:rsidP="00D12357">
            <w:pPr>
              <w:spacing w:after="0"/>
              <w:jc w:val="both"/>
              <w:rPr>
                <w:rFonts w:ascii="Arial" w:hAnsi="Arial" w:cs="Arial"/>
                <w:sz w:val="24"/>
                <w:szCs w:val="24"/>
              </w:rPr>
            </w:pPr>
            <w:r w:rsidRPr="00D12357">
              <w:rPr>
                <w:rFonts w:ascii="Arial" w:hAnsi="Arial" w:cs="Arial"/>
                <w:sz w:val="24"/>
                <w:szCs w:val="24"/>
              </w:rPr>
              <w:t xml:space="preserve">We do however need to ensure that the </w:t>
            </w:r>
            <w:proofErr w:type="spellStart"/>
            <w:r w:rsidRPr="00D12357">
              <w:rPr>
                <w:rFonts w:ascii="Arial" w:hAnsi="Arial" w:cs="Arial"/>
                <w:sz w:val="24"/>
                <w:szCs w:val="24"/>
              </w:rPr>
              <w:t>ToR</w:t>
            </w:r>
            <w:proofErr w:type="spellEnd"/>
            <w:r w:rsidRPr="00D12357">
              <w:rPr>
                <w:rFonts w:ascii="Arial" w:hAnsi="Arial" w:cs="Arial"/>
                <w:sz w:val="24"/>
                <w:szCs w:val="24"/>
              </w:rPr>
              <w:t xml:space="preserve"> comply with the Financial Management Code of Practice 2018 as well</w:t>
            </w:r>
            <w:r w:rsidR="005813C9">
              <w:rPr>
                <w:rFonts w:ascii="Arial" w:hAnsi="Arial" w:cs="Arial"/>
                <w:sz w:val="24"/>
                <w:szCs w:val="24"/>
              </w:rPr>
              <w:t xml:space="preserve"> </w:t>
            </w:r>
            <w:r w:rsidRPr="00D12357">
              <w:rPr>
                <w:rFonts w:ascii="Arial" w:hAnsi="Arial" w:cs="Arial"/>
                <w:sz w:val="24"/>
                <w:szCs w:val="24"/>
              </w:rPr>
              <w:t>as the Accounts and Audit Regulations (Wales) 2014 and the Accounts and Audit (Wales) (Amendment) Regulations 2018.</w:t>
            </w:r>
          </w:p>
        </w:tc>
      </w:tr>
      <w:tr w:rsidR="00F8795E" w:rsidRPr="00055BFA" w14:paraId="6BE491BE" w14:textId="77777777" w:rsidTr="00055BFA">
        <w:tc>
          <w:tcPr>
            <w:tcW w:w="675" w:type="dxa"/>
            <w:shd w:val="clear" w:color="auto" w:fill="auto"/>
          </w:tcPr>
          <w:p w14:paraId="2B8FB0B8" w14:textId="77777777" w:rsidR="00F8795E" w:rsidRDefault="005C173F" w:rsidP="00055BFA">
            <w:pPr>
              <w:spacing w:after="0"/>
              <w:rPr>
                <w:rFonts w:ascii="Arial" w:hAnsi="Arial" w:cs="Arial"/>
                <w:b/>
                <w:sz w:val="24"/>
                <w:szCs w:val="24"/>
              </w:rPr>
            </w:pPr>
            <w:r>
              <w:rPr>
                <w:rFonts w:ascii="Arial" w:hAnsi="Arial" w:cs="Arial"/>
                <w:b/>
                <w:sz w:val="24"/>
                <w:szCs w:val="24"/>
              </w:rPr>
              <w:lastRenderedPageBreak/>
              <w:t>8</w:t>
            </w:r>
            <w:r w:rsidR="00F8795E">
              <w:rPr>
                <w:rFonts w:ascii="Arial" w:hAnsi="Arial" w:cs="Arial"/>
                <w:b/>
                <w:sz w:val="24"/>
                <w:szCs w:val="24"/>
              </w:rPr>
              <w:t>.</w:t>
            </w:r>
          </w:p>
        </w:tc>
        <w:tc>
          <w:tcPr>
            <w:tcW w:w="8611" w:type="dxa"/>
            <w:shd w:val="clear" w:color="auto" w:fill="auto"/>
          </w:tcPr>
          <w:p w14:paraId="427B533E" w14:textId="740F85E0" w:rsidR="00F8795E" w:rsidRDefault="00BC5418" w:rsidP="00055BFA">
            <w:pPr>
              <w:spacing w:after="0"/>
              <w:rPr>
                <w:rFonts w:ascii="Arial" w:hAnsi="Arial" w:cs="Arial"/>
                <w:b/>
                <w:sz w:val="24"/>
                <w:szCs w:val="24"/>
                <w:u w:val="single"/>
              </w:rPr>
            </w:pPr>
            <w:r>
              <w:rPr>
                <w:rFonts w:ascii="Arial" w:hAnsi="Arial" w:cs="Arial"/>
                <w:b/>
                <w:sz w:val="24"/>
                <w:szCs w:val="24"/>
                <w:u w:val="single"/>
              </w:rPr>
              <w:t xml:space="preserve">EQUALITIES AND </w:t>
            </w:r>
            <w:r w:rsidR="00F8795E">
              <w:rPr>
                <w:rFonts w:ascii="Arial" w:hAnsi="Arial" w:cs="Arial"/>
                <w:b/>
                <w:sz w:val="24"/>
                <w:szCs w:val="24"/>
                <w:u w:val="single"/>
              </w:rPr>
              <w:t>HUMAN RIGHTS CONSIDERATIONS</w:t>
            </w:r>
          </w:p>
          <w:p w14:paraId="1035478B" w14:textId="77777777" w:rsidR="001F41AD" w:rsidRPr="00D12357" w:rsidRDefault="001F41AD" w:rsidP="00D12357">
            <w:pPr>
              <w:spacing w:after="0"/>
              <w:jc w:val="both"/>
              <w:rPr>
                <w:rFonts w:ascii="Arial" w:hAnsi="Arial"/>
                <w:snapToGrid w:val="0"/>
                <w:sz w:val="24"/>
                <w:szCs w:val="20"/>
              </w:rPr>
            </w:pPr>
            <w:r w:rsidRPr="00D12357">
              <w:rPr>
                <w:rFonts w:ascii="Arial" w:hAnsi="Arial"/>
                <w:snapToGrid w:val="0"/>
                <w:sz w:val="24"/>
                <w:szCs w:val="20"/>
              </w:rPr>
              <w:t xml:space="preserve">This </w:t>
            </w:r>
            <w:r w:rsidR="00D12357">
              <w:rPr>
                <w:rFonts w:ascii="Arial" w:hAnsi="Arial"/>
                <w:snapToGrid w:val="0"/>
                <w:sz w:val="24"/>
                <w:szCs w:val="20"/>
              </w:rPr>
              <w:t>report</w:t>
            </w:r>
            <w:r w:rsidRPr="00D12357">
              <w:rPr>
                <w:rFonts w:ascii="Arial" w:hAnsi="Arial"/>
                <w:snapToGrid w:val="0"/>
                <w:sz w:val="24"/>
                <w:szCs w:val="20"/>
              </w:rPr>
              <w:t xml:space="preserve"> has been considered against the general duty to promote equality, as stipulated under the </w:t>
            </w:r>
            <w:r w:rsidR="00950DC7" w:rsidRPr="00D12357">
              <w:rPr>
                <w:rFonts w:ascii="Arial" w:hAnsi="Arial"/>
                <w:snapToGrid w:val="0"/>
                <w:sz w:val="24"/>
                <w:szCs w:val="20"/>
              </w:rPr>
              <w:t>Strategic Equality Plan</w:t>
            </w:r>
            <w:r w:rsidRPr="00D12357">
              <w:rPr>
                <w:rFonts w:ascii="Arial" w:hAnsi="Arial"/>
                <w:snapToGrid w:val="0"/>
                <w:sz w:val="24"/>
                <w:szCs w:val="20"/>
              </w:rPr>
              <w:t xml:space="preserve"> and has been assessed not to discriminate against any </w:t>
            </w:r>
            <w:proofErr w:type="gramStart"/>
            <w:r w:rsidRPr="00D12357">
              <w:rPr>
                <w:rFonts w:ascii="Arial" w:hAnsi="Arial"/>
                <w:snapToGrid w:val="0"/>
                <w:sz w:val="24"/>
                <w:szCs w:val="20"/>
              </w:rPr>
              <w:t>particular group</w:t>
            </w:r>
            <w:proofErr w:type="gramEnd"/>
            <w:r w:rsidRPr="00D12357">
              <w:rPr>
                <w:rFonts w:ascii="Arial" w:hAnsi="Arial"/>
                <w:snapToGrid w:val="0"/>
                <w:sz w:val="24"/>
                <w:szCs w:val="20"/>
              </w:rPr>
              <w:t xml:space="preserve">. </w:t>
            </w:r>
          </w:p>
          <w:p w14:paraId="6706670D" w14:textId="77777777" w:rsidR="00F8795E" w:rsidRPr="00D12357" w:rsidRDefault="001F41AD" w:rsidP="00D12357">
            <w:pPr>
              <w:spacing w:after="0"/>
              <w:jc w:val="both"/>
              <w:rPr>
                <w:rFonts w:ascii="Arial" w:hAnsi="Arial" w:cs="Arial"/>
                <w:b/>
                <w:sz w:val="24"/>
                <w:szCs w:val="20"/>
                <w:u w:val="single"/>
              </w:rPr>
            </w:pPr>
            <w:r w:rsidRPr="00D12357">
              <w:rPr>
                <w:rFonts w:ascii="Arial" w:hAnsi="Arial"/>
                <w:snapToGrid w:val="0"/>
                <w:sz w:val="24"/>
                <w:szCs w:val="20"/>
              </w:rPr>
              <w:t xml:space="preserve"> </w:t>
            </w:r>
          </w:p>
          <w:p w14:paraId="7BAC4977" w14:textId="77777777" w:rsidR="00F8795E" w:rsidRDefault="001F41AD" w:rsidP="00D12357">
            <w:pPr>
              <w:spacing w:after="0"/>
              <w:jc w:val="both"/>
              <w:rPr>
                <w:rFonts w:ascii="Arial" w:hAnsi="Arial" w:cs="Arial"/>
                <w:bCs/>
                <w:iCs/>
                <w:sz w:val="24"/>
                <w:szCs w:val="20"/>
              </w:rPr>
            </w:pPr>
            <w:r w:rsidRPr="00D12357">
              <w:rPr>
                <w:rFonts w:ascii="Arial" w:hAnsi="Arial" w:cs="Arial"/>
                <w:bCs/>
                <w:iCs/>
                <w:sz w:val="24"/>
                <w:szCs w:val="20"/>
              </w:rPr>
              <w:t>Consideration has been given to requirements of the Articles contained in the European Convention on Human Rights and the Human Rights Act 1998 in preparing this report.</w:t>
            </w:r>
          </w:p>
          <w:p w14:paraId="4D3E58E1" w14:textId="77777777" w:rsidR="00795EA7" w:rsidRPr="00F8795E" w:rsidRDefault="00795EA7" w:rsidP="00D12357">
            <w:pPr>
              <w:spacing w:after="0"/>
              <w:jc w:val="both"/>
              <w:rPr>
                <w:rFonts w:ascii="Arial" w:hAnsi="Arial" w:cs="Arial"/>
                <w:sz w:val="24"/>
                <w:szCs w:val="24"/>
              </w:rPr>
            </w:pPr>
          </w:p>
        </w:tc>
      </w:tr>
      <w:tr w:rsidR="00D22780" w:rsidRPr="00055BFA" w14:paraId="0266D007" w14:textId="77777777" w:rsidTr="00055BFA">
        <w:tc>
          <w:tcPr>
            <w:tcW w:w="675" w:type="dxa"/>
            <w:shd w:val="clear" w:color="auto" w:fill="auto"/>
          </w:tcPr>
          <w:p w14:paraId="3AB81657" w14:textId="77777777" w:rsidR="00D22780" w:rsidRDefault="005C173F" w:rsidP="00055BFA">
            <w:pPr>
              <w:spacing w:after="0"/>
              <w:rPr>
                <w:rFonts w:ascii="Arial" w:hAnsi="Arial" w:cs="Arial"/>
                <w:b/>
                <w:sz w:val="24"/>
                <w:szCs w:val="24"/>
              </w:rPr>
            </w:pPr>
            <w:r>
              <w:rPr>
                <w:rFonts w:ascii="Arial" w:hAnsi="Arial" w:cs="Arial"/>
                <w:b/>
                <w:sz w:val="24"/>
                <w:szCs w:val="24"/>
              </w:rPr>
              <w:t>9</w:t>
            </w:r>
            <w:r w:rsidR="00D22780">
              <w:rPr>
                <w:rFonts w:ascii="Arial" w:hAnsi="Arial" w:cs="Arial"/>
                <w:b/>
                <w:sz w:val="24"/>
                <w:szCs w:val="24"/>
              </w:rPr>
              <w:t>.</w:t>
            </w:r>
          </w:p>
        </w:tc>
        <w:tc>
          <w:tcPr>
            <w:tcW w:w="8611" w:type="dxa"/>
            <w:shd w:val="clear" w:color="auto" w:fill="auto"/>
          </w:tcPr>
          <w:p w14:paraId="433DEC3C" w14:textId="77777777" w:rsidR="00D22780" w:rsidRDefault="00D22780" w:rsidP="00055BFA">
            <w:pPr>
              <w:spacing w:after="0"/>
              <w:rPr>
                <w:rFonts w:ascii="Arial" w:hAnsi="Arial" w:cs="Arial"/>
                <w:b/>
                <w:sz w:val="24"/>
                <w:szCs w:val="24"/>
                <w:u w:val="single"/>
              </w:rPr>
            </w:pPr>
            <w:r w:rsidRPr="000415D2">
              <w:rPr>
                <w:rFonts w:ascii="Arial" w:hAnsi="Arial" w:cs="Arial"/>
                <w:b/>
                <w:sz w:val="24"/>
                <w:szCs w:val="24"/>
                <w:u w:val="single"/>
              </w:rPr>
              <w:t>RISK</w:t>
            </w:r>
          </w:p>
          <w:p w14:paraId="399C9177" w14:textId="563E1C7F" w:rsidR="00D12357" w:rsidRDefault="00F12429" w:rsidP="00F12429">
            <w:pPr>
              <w:spacing w:after="0"/>
              <w:jc w:val="both"/>
              <w:rPr>
                <w:rFonts w:ascii="Arial" w:hAnsi="Arial" w:cs="Arial"/>
                <w:sz w:val="24"/>
              </w:rPr>
            </w:pPr>
            <w:r>
              <w:rPr>
                <w:rFonts w:ascii="Arial" w:hAnsi="Arial" w:cs="Arial"/>
                <w:sz w:val="24"/>
              </w:rPr>
              <w:t>The</w:t>
            </w:r>
            <w:r w:rsidR="00EB5639">
              <w:rPr>
                <w:rFonts w:ascii="Arial" w:hAnsi="Arial" w:cs="Arial"/>
                <w:sz w:val="24"/>
              </w:rPr>
              <w:t xml:space="preserve">re are areas that are not included within the CIPFA guidance </w:t>
            </w:r>
            <w:r>
              <w:rPr>
                <w:rFonts w:ascii="Arial" w:hAnsi="Arial" w:cs="Arial"/>
                <w:sz w:val="24"/>
              </w:rPr>
              <w:t>that the JAC currently consider</w:t>
            </w:r>
            <w:r w:rsidR="00EB5639">
              <w:rPr>
                <w:rFonts w:ascii="Arial" w:hAnsi="Arial" w:cs="Arial"/>
                <w:sz w:val="24"/>
              </w:rPr>
              <w:t xml:space="preserve"> and comment upon </w:t>
            </w:r>
            <w:r w:rsidR="006A758A">
              <w:rPr>
                <w:rFonts w:ascii="Arial" w:hAnsi="Arial" w:cs="Arial"/>
                <w:sz w:val="24"/>
              </w:rPr>
              <w:t>such as</w:t>
            </w:r>
            <w:r w:rsidR="00EB5639">
              <w:rPr>
                <w:rFonts w:ascii="Arial" w:hAnsi="Arial" w:cs="Arial"/>
                <w:sz w:val="24"/>
              </w:rPr>
              <w:t xml:space="preserve"> Treasury Management</w:t>
            </w:r>
            <w:r>
              <w:rPr>
                <w:rFonts w:ascii="Arial" w:hAnsi="Arial" w:cs="Arial"/>
                <w:sz w:val="24"/>
              </w:rPr>
              <w:t>.  Officers believe it would be a risk for these to be removed and as such have</w:t>
            </w:r>
            <w:r w:rsidR="006A758A">
              <w:rPr>
                <w:rFonts w:ascii="Arial" w:hAnsi="Arial" w:cs="Arial"/>
                <w:sz w:val="24"/>
              </w:rPr>
              <w:t xml:space="preserve"> ensured they specifically remain in the </w:t>
            </w:r>
            <w:proofErr w:type="spellStart"/>
            <w:r w:rsidR="006A758A">
              <w:rPr>
                <w:rFonts w:ascii="Arial" w:hAnsi="Arial" w:cs="Arial"/>
                <w:sz w:val="24"/>
              </w:rPr>
              <w:t>ToR</w:t>
            </w:r>
            <w:proofErr w:type="spellEnd"/>
            <w:r w:rsidR="006A758A">
              <w:rPr>
                <w:rFonts w:ascii="Arial" w:hAnsi="Arial" w:cs="Arial"/>
                <w:sz w:val="24"/>
              </w:rPr>
              <w:t>.</w:t>
            </w:r>
            <w:r>
              <w:rPr>
                <w:rFonts w:ascii="Arial" w:hAnsi="Arial" w:cs="Arial"/>
                <w:sz w:val="24"/>
              </w:rPr>
              <w:t xml:space="preserve">  </w:t>
            </w:r>
          </w:p>
          <w:p w14:paraId="468549A3" w14:textId="108E5BD5" w:rsidR="00055E8E" w:rsidRPr="00D12357" w:rsidRDefault="00055E8E" w:rsidP="00F12429">
            <w:pPr>
              <w:spacing w:after="0"/>
              <w:jc w:val="both"/>
              <w:rPr>
                <w:rFonts w:ascii="Arial" w:hAnsi="Arial" w:cs="Arial"/>
                <w:sz w:val="24"/>
              </w:rPr>
            </w:pPr>
          </w:p>
        </w:tc>
      </w:tr>
      <w:tr w:rsidR="00D22780" w:rsidRPr="00055BFA" w14:paraId="2DD996FC" w14:textId="77777777" w:rsidTr="00055BFA">
        <w:tc>
          <w:tcPr>
            <w:tcW w:w="675" w:type="dxa"/>
            <w:shd w:val="clear" w:color="auto" w:fill="auto"/>
          </w:tcPr>
          <w:p w14:paraId="3D475FE7" w14:textId="77777777" w:rsidR="00D22780" w:rsidRDefault="00B913D2" w:rsidP="005C173F">
            <w:pPr>
              <w:spacing w:after="0"/>
              <w:rPr>
                <w:rFonts w:ascii="Arial" w:hAnsi="Arial" w:cs="Arial"/>
                <w:b/>
                <w:sz w:val="24"/>
                <w:szCs w:val="24"/>
              </w:rPr>
            </w:pPr>
            <w:r>
              <w:rPr>
                <w:rFonts w:ascii="Arial" w:hAnsi="Arial" w:cs="Arial"/>
                <w:b/>
                <w:sz w:val="24"/>
                <w:szCs w:val="24"/>
              </w:rPr>
              <w:t>1</w:t>
            </w:r>
            <w:r w:rsidR="005C173F">
              <w:rPr>
                <w:rFonts w:ascii="Arial" w:hAnsi="Arial" w:cs="Arial"/>
                <w:b/>
                <w:sz w:val="24"/>
                <w:szCs w:val="24"/>
              </w:rPr>
              <w:t>0</w:t>
            </w:r>
            <w:r w:rsidR="00D22780">
              <w:rPr>
                <w:rFonts w:ascii="Arial" w:hAnsi="Arial" w:cs="Arial"/>
                <w:b/>
                <w:sz w:val="24"/>
                <w:szCs w:val="24"/>
              </w:rPr>
              <w:t>.</w:t>
            </w:r>
          </w:p>
        </w:tc>
        <w:tc>
          <w:tcPr>
            <w:tcW w:w="8611" w:type="dxa"/>
            <w:shd w:val="clear" w:color="auto" w:fill="auto"/>
          </w:tcPr>
          <w:p w14:paraId="76370612"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PUBLIC INTEREST</w:t>
            </w:r>
          </w:p>
          <w:p w14:paraId="37F0D9A0" w14:textId="77777777" w:rsidR="00D22780" w:rsidRPr="00C06627" w:rsidRDefault="00D12357" w:rsidP="00D12357">
            <w:pPr>
              <w:spacing w:after="0"/>
              <w:jc w:val="both"/>
              <w:rPr>
                <w:rFonts w:ascii="Arial" w:hAnsi="Arial" w:cs="Arial"/>
              </w:rPr>
            </w:pPr>
            <w:r>
              <w:rPr>
                <w:rFonts w:ascii="Arial" w:hAnsi="Arial" w:cs="Arial"/>
                <w:sz w:val="24"/>
              </w:rPr>
              <w:t xml:space="preserve">The review of the JAC </w:t>
            </w:r>
            <w:proofErr w:type="spellStart"/>
            <w:r>
              <w:rPr>
                <w:rFonts w:ascii="Arial" w:hAnsi="Arial" w:cs="Arial"/>
                <w:sz w:val="24"/>
              </w:rPr>
              <w:t>ToR</w:t>
            </w:r>
            <w:proofErr w:type="spellEnd"/>
            <w:r>
              <w:rPr>
                <w:rFonts w:ascii="Arial" w:hAnsi="Arial" w:cs="Arial"/>
                <w:sz w:val="24"/>
              </w:rPr>
              <w:t xml:space="preserve"> is of interest to the public as it confirms the areas that will be overseen by the JAC, providing independent assurance that the OPCC and Gwent Police have adequate arrangements in place within these areas. </w:t>
            </w:r>
            <w:r w:rsidR="00C06627">
              <w:rPr>
                <w:rFonts w:ascii="Arial" w:hAnsi="Arial" w:cs="Arial"/>
              </w:rPr>
              <w:br/>
            </w:r>
          </w:p>
        </w:tc>
      </w:tr>
      <w:tr w:rsidR="00D22780" w:rsidRPr="00055BFA" w14:paraId="2D98B8CB" w14:textId="77777777" w:rsidTr="00055BFA">
        <w:tc>
          <w:tcPr>
            <w:tcW w:w="675" w:type="dxa"/>
            <w:shd w:val="clear" w:color="auto" w:fill="auto"/>
          </w:tcPr>
          <w:p w14:paraId="0F81FC72" w14:textId="77777777" w:rsidR="00D22780" w:rsidRDefault="005C173F" w:rsidP="00055BFA">
            <w:pPr>
              <w:spacing w:after="0"/>
              <w:rPr>
                <w:rFonts w:ascii="Arial" w:hAnsi="Arial" w:cs="Arial"/>
                <w:b/>
                <w:sz w:val="24"/>
                <w:szCs w:val="24"/>
              </w:rPr>
            </w:pPr>
            <w:r>
              <w:rPr>
                <w:rFonts w:ascii="Arial" w:hAnsi="Arial" w:cs="Arial"/>
                <w:b/>
                <w:sz w:val="24"/>
                <w:szCs w:val="24"/>
              </w:rPr>
              <w:t>11</w:t>
            </w:r>
            <w:r w:rsidR="00D22780">
              <w:rPr>
                <w:rFonts w:ascii="Arial" w:hAnsi="Arial" w:cs="Arial"/>
                <w:b/>
                <w:sz w:val="24"/>
                <w:szCs w:val="24"/>
              </w:rPr>
              <w:t>.</w:t>
            </w:r>
          </w:p>
        </w:tc>
        <w:tc>
          <w:tcPr>
            <w:tcW w:w="8611" w:type="dxa"/>
            <w:shd w:val="clear" w:color="auto" w:fill="auto"/>
          </w:tcPr>
          <w:p w14:paraId="08BE4C0D"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07784FC4" w14:textId="77777777" w:rsidR="00D22780" w:rsidRPr="00C06627" w:rsidRDefault="00D12357" w:rsidP="00055BFA">
            <w:pPr>
              <w:spacing w:after="0"/>
              <w:rPr>
                <w:rFonts w:ascii="Arial" w:hAnsi="Arial" w:cs="Arial"/>
              </w:rPr>
            </w:pPr>
            <w:r>
              <w:rPr>
                <w:rFonts w:ascii="Arial" w:hAnsi="Arial" w:cs="Arial"/>
                <w:sz w:val="24"/>
              </w:rPr>
              <w:t>Joanne Regan, Head of Assurance and Compliance.</w:t>
            </w:r>
            <w:r w:rsidR="00C06627">
              <w:rPr>
                <w:rFonts w:ascii="Arial" w:hAnsi="Arial" w:cs="Arial"/>
              </w:rPr>
              <w:br/>
            </w:r>
          </w:p>
        </w:tc>
      </w:tr>
      <w:tr w:rsidR="00B45594" w:rsidRPr="00055BFA" w14:paraId="2A85CB42" w14:textId="77777777" w:rsidTr="00055BFA">
        <w:tc>
          <w:tcPr>
            <w:tcW w:w="675" w:type="dxa"/>
            <w:shd w:val="clear" w:color="auto" w:fill="auto"/>
          </w:tcPr>
          <w:p w14:paraId="56F60C20" w14:textId="77777777" w:rsidR="00B45594" w:rsidRDefault="005C173F" w:rsidP="00055BFA">
            <w:pPr>
              <w:spacing w:after="0"/>
              <w:rPr>
                <w:rFonts w:ascii="Arial" w:hAnsi="Arial" w:cs="Arial"/>
                <w:b/>
                <w:sz w:val="24"/>
                <w:szCs w:val="24"/>
              </w:rPr>
            </w:pPr>
            <w:r>
              <w:rPr>
                <w:rFonts w:ascii="Arial" w:hAnsi="Arial" w:cs="Arial"/>
                <w:b/>
                <w:sz w:val="24"/>
                <w:szCs w:val="24"/>
              </w:rPr>
              <w:t>12</w:t>
            </w:r>
            <w:r w:rsidR="00B45594">
              <w:rPr>
                <w:rFonts w:ascii="Arial" w:hAnsi="Arial" w:cs="Arial"/>
                <w:b/>
                <w:sz w:val="24"/>
                <w:szCs w:val="24"/>
              </w:rPr>
              <w:t>.</w:t>
            </w:r>
          </w:p>
        </w:tc>
        <w:tc>
          <w:tcPr>
            <w:tcW w:w="8611" w:type="dxa"/>
            <w:shd w:val="clear" w:color="auto" w:fill="auto"/>
          </w:tcPr>
          <w:p w14:paraId="383C134C"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3A460049" w14:textId="5EEA0C9C" w:rsidR="00D12357" w:rsidRPr="00D12357" w:rsidRDefault="00D12357" w:rsidP="006A758A">
            <w:pPr>
              <w:spacing w:after="0"/>
              <w:rPr>
                <w:rFonts w:ascii="Arial" w:hAnsi="Arial" w:cs="Arial"/>
                <w:sz w:val="24"/>
                <w:szCs w:val="24"/>
              </w:rPr>
            </w:pPr>
            <w:r w:rsidRPr="00D12357">
              <w:rPr>
                <w:rFonts w:ascii="Arial" w:hAnsi="Arial" w:cs="Arial"/>
                <w:sz w:val="24"/>
                <w:szCs w:val="24"/>
              </w:rPr>
              <w:t>Appendix 1</w:t>
            </w:r>
            <w:r>
              <w:rPr>
                <w:rFonts w:ascii="Arial" w:hAnsi="Arial" w:cs="Arial"/>
                <w:sz w:val="24"/>
                <w:szCs w:val="24"/>
              </w:rPr>
              <w:t xml:space="preserve"> – Amended Draft </w:t>
            </w:r>
            <w:proofErr w:type="spellStart"/>
            <w:r>
              <w:rPr>
                <w:rFonts w:ascii="Arial" w:hAnsi="Arial" w:cs="Arial"/>
                <w:sz w:val="24"/>
                <w:szCs w:val="24"/>
              </w:rPr>
              <w:t>ToR</w:t>
            </w:r>
            <w:proofErr w:type="spellEnd"/>
            <w:r>
              <w:rPr>
                <w:rFonts w:ascii="Arial" w:hAnsi="Arial" w:cs="Arial"/>
                <w:sz w:val="24"/>
                <w:szCs w:val="24"/>
              </w:rPr>
              <w:t>.</w:t>
            </w:r>
          </w:p>
        </w:tc>
      </w:tr>
    </w:tbl>
    <w:p w14:paraId="69D37B8A" w14:textId="77777777" w:rsidR="0034123A" w:rsidRDefault="0034123A">
      <w:pPr>
        <w:rPr>
          <w:rFonts w:ascii="Arial" w:hAnsi="Arial" w:cs="Arial"/>
          <w:b/>
          <w:color w:val="A6A6A6"/>
        </w:rPr>
      </w:pPr>
    </w:p>
    <w:p w14:paraId="713751CB" w14:textId="77777777" w:rsidR="00AF54D4" w:rsidRDefault="00AF54D4">
      <w:pPr>
        <w:rPr>
          <w:rFonts w:ascii="Arial" w:hAnsi="Arial" w:cs="Arial"/>
          <w:b/>
          <w:color w:val="A6A6A6"/>
        </w:rPr>
      </w:pPr>
    </w:p>
    <w:p w14:paraId="7249D1D4" w14:textId="77777777" w:rsidR="00AF54D4" w:rsidRDefault="00AF54D4">
      <w:pPr>
        <w:rPr>
          <w:rFonts w:ascii="Arial" w:hAnsi="Arial" w:cs="Arial"/>
          <w:b/>
          <w:color w:val="A6A6A6"/>
        </w:rPr>
      </w:pPr>
    </w:p>
    <w:p w14:paraId="1503A03D" w14:textId="77777777" w:rsidR="00AF54D4" w:rsidRDefault="00AF54D4">
      <w:pPr>
        <w:rPr>
          <w:rFonts w:ascii="Arial" w:hAnsi="Arial" w:cs="Arial"/>
          <w:b/>
          <w:color w:val="A6A6A6"/>
        </w:rPr>
      </w:pPr>
    </w:p>
    <w:p w14:paraId="4726FF21" w14:textId="77777777" w:rsidR="00AF54D4" w:rsidRDefault="00AF54D4">
      <w:pPr>
        <w:rPr>
          <w:rFonts w:ascii="Arial" w:hAnsi="Arial" w:cs="Arial"/>
          <w:b/>
          <w:color w:val="A6A6A6"/>
        </w:rPr>
      </w:pPr>
    </w:p>
    <w:p w14:paraId="3E166CF4" w14:textId="77777777" w:rsidR="00AF54D4" w:rsidRDefault="00AF54D4">
      <w:pPr>
        <w:rPr>
          <w:rFonts w:ascii="Arial" w:hAnsi="Arial" w:cs="Arial"/>
          <w:b/>
          <w:color w:val="A6A6A6"/>
        </w:rPr>
      </w:pPr>
    </w:p>
    <w:p w14:paraId="7D5EAFEB" w14:textId="77777777" w:rsidR="00AF54D4" w:rsidRDefault="00AF54D4">
      <w:pPr>
        <w:rPr>
          <w:rFonts w:ascii="Arial" w:hAnsi="Arial" w:cs="Arial"/>
          <w:b/>
          <w:color w:val="A6A6A6"/>
        </w:rPr>
      </w:pPr>
    </w:p>
    <w:p w14:paraId="348FBE10" w14:textId="77777777" w:rsidR="00AF54D4" w:rsidRDefault="00AF54D4">
      <w:pPr>
        <w:rPr>
          <w:rFonts w:ascii="Arial" w:hAnsi="Arial" w:cs="Arial"/>
          <w:b/>
          <w:color w:val="A6A6A6"/>
        </w:rPr>
      </w:pPr>
    </w:p>
    <w:p w14:paraId="6772CDB8" w14:textId="77777777" w:rsidR="00AF54D4" w:rsidRDefault="00AF54D4">
      <w:pPr>
        <w:rPr>
          <w:rFonts w:ascii="Arial" w:hAnsi="Arial" w:cs="Arial"/>
          <w:b/>
          <w:color w:val="A6A6A6"/>
        </w:rPr>
      </w:pPr>
    </w:p>
    <w:p w14:paraId="3A4AE6E2" w14:textId="77777777" w:rsidR="00687580" w:rsidRDefault="00687580" w:rsidP="00687580">
      <w:pPr>
        <w:jc w:val="both"/>
        <w:rPr>
          <w:rFonts w:ascii="Arial" w:hAnsi="Arial"/>
          <w:sz w:val="24"/>
          <w:szCs w:val="24"/>
        </w:rPr>
      </w:pPr>
    </w:p>
    <w:p w14:paraId="66883A2D" w14:textId="77777777" w:rsidR="0034123A" w:rsidRPr="00DC21E8" w:rsidRDefault="0034123A">
      <w:pPr>
        <w:rPr>
          <w:rFonts w:ascii="Arial" w:hAnsi="Arial" w:cs="Arial"/>
          <w:sz w:val="24"/>
          <w:szCs w:val="24"/>
        </w:rPr>
      </w:pPr>
    </w:p>
    <w:sectPr w:rsidR="0034123A" w:rsidRPr="00DC21E8" w:rsidSect="00D22780">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CCBD" w14:textId="77777777" w:rsidR="00563263" w:rsidRDefault="00563263" w:rsidP="00D26302">
      <w:pPr>
        <w:spacing w:after="0" w:line="240" w:lineRule="auto"/>
      </w:pPr>
      <w:r>
        <w:separator/>
      </w:r>
    </w:p>
  </w:endnote>
  <w:endnote w:type="continuationSeparator" w:id="0">
    <w:p w14:paraId="71C44D96" w14:textId="77777777" w:rsidR="00563263" w:rsidRDefault="00563263"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0E0A" w14:textId="77777777" w:rsidR="00C06627" w:rsidRDefault="00C06627" w:rsidP="00D26302">
    <w:pPr>
      <w:pStyle w:val="Footer"/>
      <w:spacing w:after="0"/>
      <w:jc w:val="center"/>
      <w:rPr>
        <w:rFonts w:ascii="Arial" w:hAnsi="Arial" w:cs="Arial"/>
        <w:b/>
        <w:color w:val="FF0000"/>
        <w:sz w:val="24"/>
      </w:rPr>
    </w:pPr>
    <w:bookmarkStart w:id="4" w:name="aliashDefaultHeaderandFo1FooterEvenPages"/>
  </w:p>
  <w:bookmarkEnd w:id="4"/>
  <w:p w14:paraId="30BA6B94" w14:textId="77777777" w:rsidR="00C06627" w:rsidRDefault="00C0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E590" w14:textId="77777777" w:rsidR="00795EA7" w:rsidRDefault="00795EA7">
    <w:pPr>
      <w:pStyle w:val="Footer"/>
      <w:jc w:val="center"/>
    </w:pPr>
    <w:r>
      <w:fldChar w:fldCharType="begin"/>
    </w:r>
    <w:r>
      <w:instrText xml:space="preserve"> PAGE   \* MERGEFORMAT </w:instrText>
    </w:r>
    <w:r>
      <w:fldChar w:fldCharType="separate"/>
    </w:r>
    <w:r w:rsidR="00EB5639">
      <w:rPr>
        <w:noProof/>
      </w:rPr>
      <w:t>2</w:t>
    </w:r>
    <w:r>
      <w:rPr>
        <w:noProof/>
      </w:rPr>
      <w:fldChar w:fldCharType="end"/>
    </w:r>
  </w:p>
  <w:p w14:paraId="5222A67E" w14:textId="77777777" w:rsidR="00C06627" w:rsidRDefault="00C0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8CF2" w14:textId="77777777" w:rsidR="00C06627" w:rsidRDefault="00C06627" w:rsidP="00D26302">
    <w:pPr>
      <w:pStyle w:val="Footer"/>
      <w:spacing w:after="0"/>
      <w:jc w:val="center"/>
      <w:rPr>
        <w:rFonts w:ascii="Arial" w:hAnsi="Arial" w:cs="Arial"/>
        <w:b/>
        <w:color w:val="FF0000"/>
        <w:sz w:val="24"/>
      </w:rPr>
    </w:pPr>
    <w:bookmarkStart w:id="6" w:name="aliashDefaultHeaderandFo1FooterFirstPage"/>
  </w:p>
  <w:bookmarkEnd w:id="6"/>
  <w:p w14:paraId="33B8D231" w14:textId="77777777" w:rsidR="00C06627" w:rsidRDefault="00C0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6C16" w14:textId="77777777" w:rsidR="00563263" w:rsidRDefault="00563263" w:rsidP="00D26302">
      <w:pPr>
        <w:spacing w:after="0" w:line="240" w:lineRule="auto"/>
      </w:pPr>
      <w:r>
        <w:separator/>
      </w:r>
    </w:p>
  </w:footnote>
  <w:footnote w:type="continuationSeparator" w:id="0">
    <w:p w14:paraId="1670E445" w14:textId="77777777" w:rsidR="00563263" w:rsidRDefault="00563263"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2CB6" w14:textId="77777777" w:rsidR="00C06627" w:rsidRDefault="00C06627" w:rsidP="00D26302">
    <w:pPr>
      <w:pStyle w:val="Header"/>
      <w:spacing w:after="0"/>
      <w:jc w:val="center"/>
      <w:rPr>
        <w:rFonts w:ascii="Arial" w:hAnsi="Arial" w:cs="Arial"/>
        <w:b/>
        <w:color w:val="FF0000"/>
        <w:sz w:val="24"/>
      </w:rPr>
    </w:pPr>
    <w:bookmarkStart w:id="2" w:name="aliashDefaultHeaderandFo1HeaderEvenPages"/>
  </w:p>
  <w:bookmarkEnd w:id="2"/>
  <w:p w14:paraId="088627CC" w14:textId="77777777" w:rsidR="00C06627" w:rsidRDefault="00C0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BBF6" w14:textId="77777777" w:rsidR="00C06627" w:rsidRDefault="00C06627" w:rsidP="00D26302">
    <w:pPr>
      <w:pStyle w:val="Header"/>
      <w:spacing w:after="0"/>
      <w:jc w:val="center"/>
      <w:rPr>
        <w:rFonts w:ascii="Arial" w:hAnsi="Arial" w:cs="Arial"/>
        <w:b/>
        <w:color w:val="FF0000"/>
        <w:sz w:val="24"/>
      </w:rPr>
    </w:pPr>
    <w:bookmarkStart w:id="3" w:name="aliashDefaultHeaderandFoot1HeaderPrimary"/>
  </w:p>
  <w:bookmarkEnd w:id="3"/>
  <w:p w14:paraId="56ABAF6C" w14:textId="77777777" w:rsidR="00C06627" w:rsidRDefault="00C0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D6C8" w14:textId="77777777" w:rsidR="00C06627" w:rsidRDefault="00C06627" w:rsidP="00D26302">
    <w:pPr>
      <w:pStyle w:val="Header"/>
      <w:spacing w:after="0"/>
      <w:jc w:val="center"/>
      <w:rPr>
        <w:rFonts w:ascii="Arial" w:hAnsi="Arial" w:cs="Arial"/>
        <w:b/>
        <w:color w:val="FF0000"/>
        <w:sz w:val="24"/>
      </w:rPr>
    </w:pPr>
    <w:bookmarkStart w:id="5" w:name="aliashDefaultHeaderandFo1HeaderFirstPage"/>
  </w:p>
  <w:bookmarkEnd w:id="5"/>
  <w:p w14:paraId="418C833C" w14:textId="77777777" w:rsidR="00C06627" w:rsidRDefault="00C0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94F7B"/>
    <w:multiLevelType w:val="hybridMultilevel"/>
    <w:tmpl w:val="DE76E530"/>
    <w:lvl w:ilvl="0" w:tplc="C0F045D8">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075FF"/>
    <w:multiLevelType w:val="hybridMultilevel"/>
    <w:tmpl w:val="060EB13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1222E"/>
    <w:multiLevelType w:val="hybridMultilevel"/>
    <w:tmpl w:val="51407B50"/>
    <w:lvl w:ilvl="0" w:tplc="BD88AFF8">
      <w:start w:val="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867EF2"/>
    <w:multiLevelType w:val="hybridMultilevel"/>
    <w:tmpl w:val="686454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61153">
    <w:abstractNumId w:val="0"/>
  </w:num>
  <w:num w:numId="2" w16cid:durableId="333609027">
    <w:abstractNumId w:val="4"/>
  </w:num>
  <w:num w:numId="3" w16cid:durableId="1662155345">
    <w:abstractNumId w:val="2"/>
  </w:num>
  <w:num w:numId="4" w16cid:durableId="2058699632">
    <w:abstractNumId w:val="5"/>
  </w:num>
  <w:num w:numId="5" w16cid:durableId="1860698903">
    <w:abstractNumId w:val="1"/>
  </w:num>
  <w:num w:numId="6" w16cid:durableId="1539968884">
    <w:abstractNumId w:val="6"/>
  </w:num>
  <w:num w:numId="7" w16cid:durableId="1519586264">
    <w:abstractNumId w:val="7"/>
  </w:num>
  <w:num w:numId="8" w16cid:durableId="113408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2B6F"/>
    <w:rsid w:val="000415D2"/>
    <w:rsid w:val="00055BFA"/>
    <w:rsid w:val="00055E8E"/>
    <w:rsid w:val="0007592B"/>
    <w:rsid w:val="00076471"/>
    <w:rsid w:val="0009063F"/>
    <w:rsid w:val="000B3AE0"/>
    <w:rsid w:val="001114EA"/>
    <w:rsid w:val="00171FDE"/>
    <w:rsid w:val="00176CBF"/>
    <w:rsid w:val="001A1593"/>
    <w:rsid w:val="001C7E3F"/>
    <w:rsid w:val="001D465B"/>
    <w:rsid w:val="001F2DFA"/>
    <w:rsid w:val="001F41AD"/>
    <w:rsid w:val="002134A5"/>
    <w:rsid w:val="00215A35"/>
    <w:rsid w:val="002470ED"/>
    <w:rsid w:val="00285FD8"/>
    <w:rsid w:val="0029270D"/>
    <w:rsid w:val="00292C57"/>
    <w:rsid w:val="00294700"/>
    <w:rsid w:val="002A7C69"/>
    <w:rsid w:val="002D1CB7"/>
    <w:rsid w:val="003040B7"/>
    <w:rsid w:val="003377A4"/>
    <w:rsid w:val="0034123A"/>
    <w:rsid w:val="00380C52"/>
    <w:rsid w:val="003A43DB"/>
    <w:rsid w:val="003C7972"/>
    <w:rsid w:val="0042426F"/>
    <w:rsid w:val="004960C0"/>
    <w:rsid w:val="00497BFE"/>
    <w:rsid w:val="004C3FFB"/>
    <w:rsid w:val="00546CF6"/>
    <w:rsid w:val="00563263"/>
    <w:rsid w:val="005813C9"/>
    <w:rsid w:val="00590CC9"/>
    <w:rsid w:val="005A7A0C"/>
    <w:rsid w:val="005C173F"/>
    <w:rsid w:val="005D3479"/>
    <w:rsid w:val="005F07A3"/>
    <w:rsid w:val="00623FCB"/>
    <w:rsid w:val="00682255"/>
    <w:rsid w:val="00687580"/>
    <w:rsid w:val="006A758A"/>
    <w:rsid w:val="006D01F6"/>
    <w:rsid w:val="00757B65"/>
    <w:rsid w:val="00773811"/>
    <w:rsid w:val="00795EA7"/>
    <w:rsid w:val="007969F7"/>
    <w:rsid w:val="007E5368"/>
    <w:rsid w:val="007F1D0F"/>
    <w:rsid w:val="0081643C"/>
    <w:rsid w:val="00822B6A"/>
    <w:rsid w:val="00863459"/>
    <w:rsid w:val="008815F7"/>
    <w:rsid w:val="00890F6D"/>
    <w:rsid w:val="00897ACE"/>
    <w:rsid w:val="008D36C8"/>
    <w:rsid w:val="008D4516"/>
    <w:rsid w:val="008E1AD0"/>
    <w:rsid w:val="00936558"/>
    <w:rsid w:val="00950DC7"/>
    <w:rsid w:val="00983BA5"/>
    <w:rsid w:val="009D1FBB"/>
    <w:rsid w:val="009E19DB"/>
    <w:rsid w:val="009E42A0"/>
    <w:rsid w:val="009E5D83"/>
    <w:rsid w:val="009F4F07"/>
    <w:rsid w:val="009F5888"/>
    <w:rsid w:val="009F66DB"/>
    <w:rsid w:val="00A24D6D"/>
    <w:rsid w:val="00A262EF"/>
    <w:rsid w:val="00A30991"/>
    <w:rsid w:val="00A429F1"/>
    <w:rsid w:val="00A45A11"/>
    <w:rsid w:val="00A644BC"/>
    <w:rsid w:val="00A755D4"/>
    <w:rsid w:val="00AE13CA"/>
    <w:rsid w:val="00AF54D4"/>
    <w:rsid w:val="00B10DAA"/>
    <w:rsid w:val="00B25969"/>
    <w:rsid w:val="00B3006F"/>
    <w:rsid w:val="00B45594"/>
    <w:rsid w:val="00B859F6"/>
    <w:rsid w:val="00B913D2"/>
    <w:rsid w:val="00B92810"/>
    <w:rsid w:val="00B956E0"/>
    <w:rsid w:val="00BA0C8E"/>
    <w:rsid w:val="00BC5418"/>
    <w:rsid w:val="00BD2957"/>
    <w:rsid w:val="00BE49F2"/>
    <w:rsid w:val="00C06627"/>
    <w:rsid w:val="00C31A33"/>
    <w:rsid w:val="00C3433F"/>
    <w:rsid w:val="00C34CDD"/>
    <w:rsid w:val="00C52947"/>
    <w:rsid w:val="00C86026"/>
    <w:rsid w:val="00C87E9C"/>
    <w:rsid w:val="00CA40D4"/>
    <w:rsid w:val="00CB3834"/>
    <w:rsid w:val="00CF106B"/>
    <w:rsid w:val="00D12357"/>
    <w:rsid w:val="00D22780"/>
    <w:rsid w:val="00D25C04"/>
    <w:rsid w:val="00D26302"/>
    <w:rsid w:val="00D456E1"/>
    <w:rsid w:val="00D6549D"/>
    <w:rsid w:val="00DC21E8"/>
    <w:rsid w:val="00DD46B3"/>
    <w:rsid w:val="00DE0388"/>
    <w:rsid w:val="00DF64BD"/>
    <w:rsid w:val="00E14438"/>
    <w:rsid w:val="00E353C3"/>
    <w:rsid w:val="00E445A3"/>
    <w:rsid w:val="00E5619C"/>
    <w:rsid w:val="00E84966"/>
    <w:rsid w:val="00EB4AD4"/>
    <w:rsid w:val="00EB5639"/>
    <w:rsid w:val="00EB5A4D"/>
    <w:rsid w:val="00EC4986"/>
    <w:rsid w:val="00EE0539"/>
    <w:rsid w:val="00EF0FF3"/>
    <w:rsid w:val="00F12429"/>
    <w:rsid w:val="00F166FD"/>
    <w:rsid w:val="00F178CF"/>
    <w:rsid w:val="00F352AC"/>
    <w:rsid w:val="00F52D94"/>
    <w:rsid w:val="00F86340"/>
    <w:rsid w:val="00F8795E"/>
    <w:rsid w:val="00FA7E93"/>
    <w:rsid w:val="00FB43F0"/>
    <w:rsid w:val="00FC052C"/>
    <w:rsid w:val="00FD3D30"/>
    <w:rsid w:val="00FE3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A96F"/>
  <w15:docId w15:val="{2091966E-954C-4F6C-A1AB-FE994023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ListParagraph">
    <w:name w:val="List Paragraph"/>
    <w:basedOn w:val="Normal"/>
    <w:uiPriority w:val="34"/>
    <w:qFormat/>
    <w:rsid w:val="004960C0"/>
    <w:pPr>
      <w:spacing w:after="0" w:line="240" w:lineRule="auto"/>
      <w:ind w:left="720"/>
    </w:pPr>
  </w:style>
  <w:style w:type="paragraph" w:customStyle="1" w:styleId="Default">
    <w:name w:val="Default"/>
    <w:rsid w:val="005F07A3"/>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5F07A3"/>
    <w:rPr>
      <w:sz w:val="16"/>
      <w:szCs w:val="16"/>
    </w:rPr>
  </w:style>
  <w:style w:type="paragraph" w:styleId="CommentText">
    <w:name w:val="annotation text"/>
    <w:basedOn w:val="Normal"/>
    <w:link w:val="CommentTextChar"/>
    <w:uiPriority w:val="99"/>
    <w:unhideWhenUsed/>
    <w:rsid w:val="005F07A3"/>
    <w:pPr>
      <w:spacing w:line="240" w:lineRule="auto"/>
    </w:pPr>
    <w:rPr>
      <w:sz w:val="20"/>
      <w:szCs w:val="20"/>
    </w:rPr>
  </w:style>
  <w:style w:type="character" w:customStyle="1" w:styleId="CommentTextChar">
    <w:name w:val="Comment Text Char"/>
    <w:basedOn w:val="DefaultParagraphFont"/>
    <w:link w:val="CommentText"/>
    <w:uiPriority w:val="99"/>
    <w:rsid w:val="005F07A3"/>
    <w:rPr>
      <w:lang w:eastAsia="en-US"/>
    </w:rPr>
  </w:style>
  <w:style w:type="paragraph" w:styleId="CommentSubject">
    <w:name w:val="annotation subject"/>
    <w:basedOn w:val="CommentText"/>
    <w:next w:val="CommentText"/>
    <w:link w:val="CommentSubjectChar"/>
    <w:uiPriority w:val="99"/>
    <w:semiHidden/>
    <w:unhideWhenUsed/>
    <w:rsid w:val="005F07A3"/>
    <w:rPr>
      <w:b/>
      <w:bCs/>
    </w:rPr>
  </w:style>
  <w:style w:type="character" w:customStyle="1" w:styleId="CommentSubjectChar">
    <w:name w:val="Comment Subject Char"/>
    <w:basedOn w:val="CommentTextChar"/>
    <w:link w:val="CommentSubject"/>
    <w:uiPriority w:val="99"/>
    <w:semiHidden/>
    <w:rsid w:val="005F07A3"/>
    <w:rPr>
      <w:b/>
      <w:bCs/>
      <w:lang w:eastAsia="en-US"/>
    </w:rPr>
  </w:style>
  <w:style w:type="paragraph" w:styleId="Revision">
    <w:name w:val="Revision"/>
    <w:hidden/>
    <w:uiPriority w:val="99"/>
    <w:semiHidden/>
    <w:rsid w:val="00C34C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236302">
      <w:bodyDiv w:val="1"/>
      <w:marLeft w:val="0"/>
      <w:marRight w:val="0"/>
      <w:marTop w:val="0"/>
      <w:marBottom w:val="0"/>
      <w:divBdr>
        <w:top w:val="none" w:sz="0" w:space="0" w:color="auto"/>
        <w:left w:val="none" w:sz="0" w:space="0" w:color="auto"/>
        <w:bottom w:val="none" w:sz="0" w:space="0" w:color="auto"/>
        <w:right w:val="none" w:sz="0" w:space="0" w:color="auto"/>
      </w:divBdr>
    </w:div>
    <w:div w:id="135302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5438-056B-49B2-9298-903CF9F1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
  <cp:lastModifiedBy>Regan, Joanne</cp:lastModifiedBy>
  <cp:revision>6</cp:revision>
  <cp:lastPrinted>2012-09-20T08:14:00Z</cp:lastPrinted>
  <dcterms:created xsi:type="dcterms:W3CDTF">2024-02-09T10:08:00Z</dcterms:created>
  <dcterms:modified xsi:type="dcterms:W3CDTF">2024-02-09T12:23:00Z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MSIP_Label_f2acd28b-79a3-4a0f-b0ff-4b75658b1549_Enabled">
    <vt:lpwstr>true</vt:lpwstr>
  </property>
  <property fmtid="{D5CDD505-2E9C-101B-9397-08002B2CF9AE}" pid="6" name="MSIP_Label_f2acd28b-79a3-4a0f-b0ff-4b75658b1549_SetDate">
    <vt:lpwstr>2023-10-09T12:08:51Z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854dc32e-2de2-4c3c-8ecf-be99825dfa10</vt:lpwstr>
  </property>
  <property fmtid="{D5CDD505-2E9C-101B-9397-08002B2CF9AE}" pid="11" name="MSIP_Label_f2acd28b-79a3-4a0f-b0ff-4b75658b1549_ContentBits">
    <vt:lpwstr>0</vt:lpwstr>
  </property>
</Properties>
</file>