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16E2F996" w14:textId="77777777" w:rsidTr="00933DD9">
        <w:tc>
          <w:tcPr>
            <w:tcW w:w="9242" w:type="dxa"/>
            <w:gridSpan w:val="2"/>
            <w:shd w:val="clear" w:color="auto" w:fill="auto"/>
          </w:tcPr>
          <w:p w14:paraId="2063272F"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C13FEBE" w14:textId="77777777" w:rsidTr="00933DD9">
        <w:tc>
          <w:tcPr>
            <w:tcW w:w="1809" w:type="dxa"/>
            <w:shd w:val="clear" w:color="auto" w:fill="auto"/>
          </w:tcPr>
          <w:p w14:paraId="1C8DBC39" w14:textId="47EC9AD6" w:rsidR="00320095" w:rsidRPr="00933DD9" w:rsidRDefault="001C746B" w:rsidP="00741E0F">
            <w:pPr>
              <w:rPr>
                <w:rFonts w:ascii="Arial" w:hAnsi="Arial" w:cs="Arial"/>
                <w:sz w:val="24"/>
                <w:szCs w:val="24"/>
              </w:rPr>
            </w:pPr>
            <w:r>
              <w:rPr>
                <w:rFonts w:ascii="Arial" w:hAnsi="Arial" w:cs="Arial"/>
                <w:sz w:val="24"/>
                <w:szCs w:val="24"/>
              </w:rPr>
              <w:t>PCCG-</w:t>
            </w:r>
            <w:r w:rsidR="009C1CDF">
              <w:rPr>
                <w:rFonts w:ascii="Arial" w:hAnsi="Arial" w:cs="Arial"/>
                <w:sz w:val="24"/>
                <w:szCs w:val="24"/>
              </w:rPr>
              <w:t>202</w:t>
            </w:r>
            <w:r w:rsidR="00E31691">
              <w:rPr>
                <w:rFonts w:ascii="Arial" w:hAnsi="Arial" w:cs="Arial"/>
                <w:sz w:val="24"/>
                <w:szCs w:val="24"/>
              </w:rPr>
              <w:t>3-032</w:t>
            </w:r>
          </w:p>
        </w:tc>
        <w:tc>
          <w:tcPr>
            <w:tcW w:w="7433" w:type="dxa"/>
            <w:shd w:val="clear" w:color="auto" w:fill="auto"/>
          </w:tcPr>
          <w:p w14:paraId="047A8A30"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5B5AE7F0" w14:textId="77777777" w:rsidTr="00933DD9">
        <w:tc>
          <w:tcPr>
            <w:tcW w:w="1809" w:type="dxa"/>
            <w:shd w:val="clear" w:color="auto" w:fill="auto"/>
          </w:tcPr>
          <w:p w14:paraId="5620BEC6"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4143A698" w14:textId="6CF0A1A5" w:rsidR="00320095" w:rsidRPr="00933DD9" w:rsidRDefault="00741E0F" w:rsidP="00D0462B">
            <w:pPr>
              <w:jc w:val="both"/>
              <w:rPr>
                <w:rFonts w:ascii="Arial" w:hAnsi="Arial" w:cs="Arial"/>
                <w:sz w:val="24"/>
                <w:szCs w:val="24"/>
              </w:rPr>
            </w:pPr>
            <w:r>
              <w:rPr>
                <w:rFonts w:ascii="Arial" w:hAnsi="Arial" w:cs="Arial"/>
                <w:sz w:val="24"/>
                <w:szCs w:val="24"/>
              </w:rPr>
              <w:t>20</w:t>
            </w:r>
            <w:r w:rsidR="00086F5D">
              <w:rPr>
                <w:rFonts w:ascii="Arial" w:hAnsi="Arial" w:cs="Arial"/>
                <w:sz w:val="24"/>
                <w:szCs w:val="24"/>
              </w:rPr>
              <w:t>2</w:t>
            </w:r>
            <w:r w:rsidR="00E31691">
              <w:rPr>
                <w:rFonts w:ascii="Arial" w:hAnsi="Arial" w:cs="Arial"/>
                <w:sz w:val="24"/>
                <w:szCs w:val="24"/>
              </w:rPr>
              <w:t>4</w:t>
            </w:r>
            <w:r>
              <w:rPr>
                <w:rFonts w:ascii="Arial" w:hAnsi="Arial" w:cs="Arial"/>
                <w:sz w:val="24"/>
                <w:szCs w:val="24"/>
              </w:rPr>
              <w:t>/</w:t>
            </w:r>
            <w:r w:rsidR="00810511">
              <w:rPr>
                <w:rFonts w:ascii="Arial" w:hAnsi="Arial" w:cs="Arial"/>
                <w:sz w:val="24"/>
                <w:szCs w:val="24"/>
              </w:rPr>
              <w:t>20</w:t>
            </w:r>
            <w:r>
              <w:rPr>
                <w:rFonts w:ascii="Arial" w:hAnsi="Arial" w:cs="Arial"/>
                <w:sz w:val="24"/>
                <w:szCs w:val="24"/>
              </w:rPr>
              <w:t>2</w:t>
            </w:r>
            <w:r w:rsidR="00E31691">
              <w:rPr>
                <w:rFonts w:ascii="Arial" w:hAnsi="Arial" w:cs="Arial"/>
                <w:sz w:val="24"/>
                <w:szCs w:val="24"/>
              </w:rPr>
              <w:t>5</w:t>
            </w:r>
            <w:r w:rsidR="00F7236A">
              <w:rPr>
                <w:rFonts w:ascii="Arial" w:hAnsi="Arial" w:cs="Arial"/>
                <w:sz w:val="24"/>
                <w:szCs w:val="24"/>
              </w:rPr>
              <w:t xml:space="preserve"> </w:t>
            </w:r>
            <w:r w:rsidR="00650D65" w:rsidRPr="00933DD9">
              <w:rPr>
                <w:rFonts w:ascii="Arial" w:hAnsi="Arial" w:cs="Arial"/>
                <w:sz w:val="24"/>
                <w:szCs w:val="24"/>
              </w:rPr>
              <w:t>Police and Crime Commiss</w:t>
            </w:r>
            <w:r w:rsidR="00650D65">
              <w:rPr>
                <w:rFonts w:ascii="Arial" w:hAnsi="Arial" w:cs="Arial"/>
                <w:sz w:val="24"/>
                <w:szCs w:val="24"/>
              </w:rPr>
              <w:t xml:space="preserve">ioner for Gwent </w:t>
            </w:r>
            <w:r w:rsidR="00F7236A">
              <w:rPr>
                <w:rFonts w:ascii="Arial" w:hAnsi="Arial" w:cs="Arial"/>
                <w:sz w:val="24"/>
                <w:szCs w:val="24"/>
              </w:rPr>
              <w:t xml:space="preserve">(PCC) </w:t>
            </w:r>
            <w:r w:rsidR="0029195F">
              <w:rPr>
                <w:rFonts w:ascii="Arial" w:hAnsi="Arial" w:cs="Arial"/>
                <w:sz w:val="24"/>
                <w:szCs w:val="24"/>
              </w:rPr>
              <w:t xml:space="preserve">Police Community Fund Successful Applications </w:t>
            </w:r>
          </w:p>
        </w:tc>
      </w:tr>
      <w:tr w:rsidR="00320095" w:rsidRPr="00933DD9" w14:paraId="2DC2DBA2" w14:textId="77777777" w:rsidTr="00933DD9">
        <w:tc>
          <w:tcPr>
            <w:tcW w:w="1809" w:type="dxa"/>
            <w:shd w:val="clear" w:color="auto" w:fill="auto"/>
          </w:tcPr>
          <w:p w14:paraId="4980D068"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6DC80709" w14:textId="2A94BAE8" w:rsidR="002918B1" w:rsidRPr="00933DD9" w:rsidRDefault="00A23C5E" w:rsidP="00741E0F">
            <w:pPr>
              <w:jc w:val="both"/>
              <w:rPr>
                <w:rFonts w:ascii="Arial" w:hAnsi="Arial" w:cs="Arial"/>
                <w:sz w:val="24"/>
                <w:szCs w:val="24"/>
              </w:rPr>
            </w:pPr>
            <w:r>
              <w:rPr>
                <w:rFonts w:ascii="Arial" w:hAnsi="Arial" w:cs="Arial"/>
                <w:sz w:val="24"/>
                <w:szCs w:val="24"/>
              </w:rPr>
              <w:t xml:space="preserve">To record the decision of the </w:t>
            </w:r>
            <w:r w:rsidR="00F7236A">
              <w:rPr>
                <w:rFonts w:ascii="Arial" w:hAnsi="Arial" w:cs="Arial"/>
                <w:sz w:val="24"/>
                <w:szCs w:val="24"/>
              </w:rPr>
              <w:t>PCC</w:t>
            </w:r>
            <w:r>
              <w:rPr>
                <w:rFonts w:ascii="Arial" w:hAnsi="Arial" w:cs="Arial"/>
                <w:sz w:val="24"/>
                <w:szCs w:val="24"/>
              </w:rPr>
              <w:t xml:space="preserve"> </w:t>
            </w:r>
            <w:r w:rsidR="00F7236A">
              <w:rPr>
                <w:rFonts w:ascii="Arial" w:hAnsi="Arial" w:cs="Arial"/>
                <w:sz w:val="24"/>
                <w:szCs w:val="24"/>
              </w:rPr>
              <w:t>to</w:t>
            </w:r>
            <w:r w:rsidR="0029195F">
              <w:rPr>
                <w:rFonts w:ascii="Arial" w:hAnsi="Arial" w:cs="Arial"/>
                <w:sz w:val="24"/>
                <w:szCs w:val="24"/>
              </w:rPr>
              <w:t xml:space="preserve"> award</w:t>
            </w:r>
            <w:r w:rsidR="00F7236A">
              <w:rPr>
                <w:rFonts w:ascii="Arial" w:hAnsi="Arial" w:cs="Arial"/>
                <w:sz w:val="24"/>
                <w:szCs w:val="24"/>
              </w:rPr>
              <w:t xml:space="preserve"> grants from</w:t>
            </w:r>
            <w:r w:rsidR="0029195F">
              <w:rPr>
                <w:rFonts w:ascii="Arial" w:hAnsi="Arial" w:cs="Arial"/>
                <w:sz w:val="24"/>
                <w:szCs w:val="24"/>
              </w:rPr>
              <w:t xml:space="preserve"> the PCC Police Community Fund </w:t>
            </w:r>
            <w:r w:rsidR="00741E0F">
              <w:rPr>
                <w:rFonts w:ascii="Arial" w:hAnsi="Arial" w:cs="Arial"/>
                <w:sz w:val="24"/>
                <w:szCs w:val="24"/>
              </w:rPr>
              <w:t>for the 202</w:t>
            </w:r>
            <w:r w:rsidR="000617E5">
              <w:rPr>
                <w:rFonts w:ascii="Arial" w:hAnsi="Arial" w:cs="Arial"/>
                <w:sz w:val="24"/>
                <w:szCs w:val="24"/>
              </w:rPr>
              <w:t>4</w:t>
            </w:r>
            <w:r w:rsidR="00741E0F">
              <w:rPr>
                <w:rFonts w:ascii="Arial" w:hAnsi="Arial" w:cs="Arial"/>
                <w:sz w:val="24"/>
                <w:szCs w:val="24"/>
              </w:rPr>
              <w:t>/</w:t>
            </w:r>
            <w:r w:rsidR="00810511">
              <w:rPr>
                <w:rFonts w:ascii="Arial" w:hAnsi="Arial" w:cs="Arial"/>
                <w:sz w:val="24"/>
                <w:szCs w:val="24"/>
              </w:rPr>
              <w:t>20</w:t>
            </w:r>
            <w:r w:rsidR="00AE5242">
              <w:rPr>
                <w:rFonts w:ascii="Arial" w:hAnsi="Arial" w:cs="Arial"/>
                <w:sz w:val="24"/>
                <w:szCs w:val="24"/>
              </w:rPr>
              <w:t>2</w:t>
            </w:r>
            <w:r w:rsidR="000617E5">
              <w:rPr>
                <w:rFonts w:ascii="Arial" w:hAnsi="Arial" w:cs="Arial"/>
                <w:sz w:val="24"/>
                <w:szCs w:val="24"/>
              </w:rPr>
              <w:t>5</w:t>
            </w:r>
            <w:r w:rsidR="00086F5D">
              <w:rPr>
                <w:rFonts w:ascii="Arial" w:hAnsi="Arial" w:cs="Arial"/>
                <w:sz w:val="24"/>
                <w:szCs w:val="24"/>
              </w:rPr>
              <w:t xml:space="preserve"> </w:t>
            </w:r>
            <w:r w:rsidR="00741E0F">
              <w:rPr>
                <w:rFonts w:ascii="Arial" w:hAnsi="Arial" w:cs="Arial"/>
                <w:sz w:val="24"/>
                <w:szCs w:val="24"/>
              </w:rPr>
              <w:t>financial year</w:t>
            </w:r>
            <w:r w:rsidR="0029195F">
              <w:rPr>
                <w:rFonts w:ascii="Arial" w:hAnsi="Arial" w:cs="Arial"/>
                <w:sz w:val="24"/>
                <w:szCs w:val="24"/>
              </w:rPr>
              <w:t>.</w:t>
            </w:r>
          </w:p>
        </w:tc>
      </w:tr>
    </w:tbl>
    <w:p w14:paraId="277096F7" w14:textId="77777777" w:rsidR="00320095" w:rsidRPr="00D8752E" w:rsidRDefault="00320095">
      <w:pPr>
        <w:rPr>
          <w:rFonts w:ascii="Arial" w:hAnsi="Arial" w:cs="Arial"/>
          <w:sz w:val="24"/>
          <w:szCs w:val="24"/>
        </w:rPr>
      </w:pPr>
    </w:p>
    <w:p w14:paraId="255C55A7"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0" w:type="auto"/>
        <w:tblLayout w:type="fixed"/>
        <w:tblLook w:val="04A0" w:firstRow="1" w:lastRow="0" w:firstColumn="1" w:lastColumn="0" w:noHBand="0" w:noVBand="1"/>
      </w:tblPr>
      <w:tblGrid>
        <w:gridCol w:w="534"/>
        <w:gridCol w:w="8708"/>
      </w:tblGrid>
      <w:tr w:rsidR="00D8752E" w:rsidRPr="00933DD9" w14:paraId="6F3BB1A8" w14:textId="77777777" w:rsidTr="00DB41FC">
        <w:tc>
          <w:tcPr>
            <w:tcW w:w="534" w:type="dxa"/>
            <w:tcBorders>
              <w:right w:val="single" w:sz="4" w:space="0" w:color="auto"/>
            </w:tcBorders>
            <w:shd w:val="clear" w:color="auto" w:fill="auto"/>
          </w:tcPr>
          <w:p w14:paraId="624EABED"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7F268F24" w14:textId="77777777" w:rsidR="005C13A6" w:rsidRPr="008A5DD4" w:rsidRDefault="00DB41FC" w:rsidP="008A5DD4">
            <w:pPr>
              <w:pStyle w:val="Default"/>
              <w:spacing w:line="276" w:lineRule="auto"/>
              <w:jc w:val="both"/>
              <w:rPr>
                <w:rFonts w:eastAsia="Calibri"/>
                <w:color w:val="auto"/>
                <w:lang w:eastAsia="en-US"/>
              </w:rPr>
            </w:pPr>
            <w:r w:rsidRPr="008A5DD4">
              <w:rPr>
                <w:rFonts w:eastAsia="Calibri"/>
                <w:color w:val="auto"/>
                <w:lang w:eastAsia="en-US"/>
              </w:rPr>
              <w:t xml:space="preserve">Previous publication of Decision number PCCG-2018-034 confirmed my intention to establish a recurrent commissioning fund (the </w:t>
            </w:r>
            <w:r w:rsidR="00F7236A" w:rsidRPr="008A5DD4">
              <w:rPr>
                <w:rFonts w:eastAsia="Calibri"/>
                <w:color w:val="auto"/>
                <w:lang w:eastAsia="en-US"/>
              </w:rPr>
              <w:t>PCC</w:t>
            </w:r>
            <w:r w:rsidRPr="008A5DD4">
              <w:rPr>
                <w:rFonts w:eastAsia="Calibri"/>
                <w:color w:val="auto"/>
                <w:lang w:eastAsia="en-US"/>
              </w:rPr>
              <w:t xml:space="preserve"> Police Community Fund) of up to £300,000</w:t>
            </w:r>
            <w:r w:rsidR="005C13A6" w:rsidRPr="008A5DD4">
              <w:rPr>
                <w:rFonts w:eastAsia="Calibri"/>
                <w:color w:val="auto"/>
                <w:lang w:eastAsia="en-US"/>
              </w:rPr>
              <w:t xml:space="preserve"> annually</w:t>
            </w:r>
            <w:r w:rsidR="005729CD">
              <w:rPr>
                <w:rFonts w:eastAsia="Calibri"/>
                <w:color w:val="auto"/>
                <w:lang w:eastAsia="en-US"/>
              </w:rPr>
              <w:t>,</w:t>
            </w:r>
            <w:r w:rsidR="005C13A6" w:rsidRPr="008A5DD4">
              <w:rPr>
                <w:rFonts w:eastAsia="Calibri"/>
                <w:color w:val="auto"/>
                <w:lang w:eastAsia="en-US"/>
              </w:rPr>
              <w:t xml:space="preserve"> to use monies obtained through the Proceeds of Crime Act. This Fund aims to enable children and young people in Gwent to be safe, healthy and happy, building a better future for themselves and their community</w:t>
            </w:r>
            <w:r w:rsidR="005729CD">
              <w:rPr>
                <w:rFonts w:eastAsia="Calibri"/>
                <w:color w:val="auto"/>
                <w:lang w:eastAsia="en-US"/>
              </w:rPr>
              <w:t>,</w:t>
            </w:r>
            <w:r w:rsidR="005C13A6" w:rsidRPr="008A5DD4">
              <w:rPr>
                <w:rFonts w:eastAsia="Calibri"/>
                <w:color w:val="auto"/>
                <w:lang w:eastAsia="en-US"/>
              </w:rPr>
              <w:t xml:space="preserve"> by empowering Gwent Police to tackle community based issues in a lasting and impactful way. The Fund supports not-for-profit organisations</w:t>
            </w:r>
            <w:r w:rsidR="005729CD">
              <w:rPr>
                <w:rFonts w:eastAsia="Calibri"/>
                <w:color w:val="auto"/>
                <w:lang w:eastAsia="en-US"/>
              </w:rPr>
              <w:t>,</w:t>
            </w:r>
            <w:r w:rsidR="005C13A6" w:rsidRPr="008A5DD4">
              <w:rPr>
                <w:rFonts w:eastAsia="Calibri"/>
                <w:color w:val="auto"/>
                <w:lang w:eastAsia="en-US"/>
              </w:rPr>
              <w:t xml:space="preserve"> seeking to deliver projects and services working with children, young people or vulnerable adults under the age of 25</w:t>
            </w:r>
            <w:r w:rsidR="005729CD">
              <w:rPr>
                <w:rFonts w:eastAsia="Calibri"/>
                <w:color w:val="auto"/>
                <w:lang w:eastAsia="en-US"/>
              </w:rPr>
              <w:t>,</w:t>
            </w:r>
            <w:r w:rsidR="005C13A6" w:rsidRPr="008A5DD4">
              <w:rPr>
                <w:rFonts w:eastAsia="Calibri"/>
                <w:color w:val="auto"/>
                <w:lang w:eastAsia="en-US"/>
              </w:rPr>
              <w:t xml:space="preserve"> who live in the Gwent Police area. The Fund will focus on projects supporting children and young people who</w:t>
            </w:r>
            <w:r w:rsidR="003E2C02" w:rsidRPr="008A5DD4">
              <w:rPr>
                <w:rFonts w:eastAsia="Calibri"/>
                <w:color w:val="auto"/>
                <w:lang w:eastAsia="en-US"/>
              </w:rPr>
              <w:t>:</w:t>
            </w:r>
            <w:r w:rsidR="005C13A6" w:rsidRPr="008A5DD4">
              <w:rPr>
                <w:rFonts w:eastAsia="Calibri"/>
                <w:color w:val="auto"/>
                <w:lang w:eastAsia="en-US"/>
              </w:rPr>
              <w:t xml:space="preserve"> </w:t>
            </w:r>
          </w:p>
          <w:p w14:paraId="054E5570" w14:textId="77777777" w:rsidR="005C13A6" w:rsidRDefault="005C13A6" w:rsidP="008A5DD4">
            <w:pPr>
              <w:pStyle w:val="ListParagraph"/>
              <w:numPr>
                <w:ilvl w:val="0"/>
                <w:numId w:val="8"/>
              </w:numPr>
              <w:spacing w:after="0"/>
              <w:rPr>
                <w:rFonts w:ascii="Arial" w:hAnsi="Arial" w:cs="Arial"/>
                <w:sz w:val="24"/>
                <w:szCs w:val="24"/>
              </w:rPr>
            </w:pPr>
            <w:r>
              <w:rPr>
                <w:rFonts w:ascii="Arial" w:hAnsi="Arial" w:cs="Arial"/>
                <w:sz w:val="24"/>
                <w:szCs w:val="24"/>
              </w:rPr>
              <w:t xml:space="preserve">may be </w:t>
            </w:r>
            <w:r w:rsidRPr="00DD43DD">
              <w:rPr>
                <w:rFonts w:ascii="Arial" w:hAnsi="Arial" w:cs="Arial"/>
                <w:sz w:val="24"/>
                <w:szCs w:val="24"/>
              </w:rPr>
              <w:t>in danger of entering</w:t>
            </w:r>
            <w:r>
              <w:rPr>
                <w:rFonts w:ascii="Arial" w:hAnsi="Arial" w:cs="Arial"/>
                <w:sz w:val="24"/>
                <w:szCs w:val="24"/>
              </w:rPr>
              <w:t xml:space="preserve"> the criminal justice system</w:t>
            </w:r>
            <w:r w:rsidR="003E2C02">
              <w:rPr>
                <w:rFonts w:ascii="Arial" w:hAnsi="Arial" w:cs="Arial"/>
                <w:sz w:val="24"/>
                <w:szCs w:val="24"/>
              </w:rPr>
              <w:t>;</w:t>
            </w:r>
            <w:r>
              <w:rPr>
                <w:rFonts w:ascii="Arial" w:hAnsi="Arial" w:cs="Arial"/>
                <w:sz w:val="24"/>
                <w:szCs w:val="24"/>
              </w:rPr>
              <w:t xml:space="preserve"> or</w:t>
            </w:r>
          </w:p>
          <w:p w14:paraId="293058D2" w14:textId="77777777" w:rsidR="00D8752E" w:rsidRDefault="005C13A6" w:rsidP="008A5DD4">
            <w:pPr>
              <w:pStyle w:val="ListParagraph"/>
              <w:numPr>
                <w:ilvl w:val="0"/>
                <w:numId w:val="8"/>
              </w:numPr>
              <w:spacing w:after="0"/>
              <w:rPr>
                <w:rFonts w:ascii="Arial" w:hAnsi="Arial" w:cs="Arial"/>
                <w:sz w:val="24"/>
                <w:szCs w:val="24"/>
              </w:rPr>
            </w:pPr>
            <w:r>
              <w:rPr>
                <w:rFonts w:ascii="Arial" w:hAnsi="Arial" w:cs="Arial"/>
                <w:sz w:val="24"/>
                <w:szCs w:val="24"/>
              </w:rPr>
              <w:t>h</w:t>
            </w:r>
            <w:r w:rsidRPr="00DD43DD">
              <w:rPr>
                <w:rFonts w:ascii="Arial" w:hAnsi="Arial" w:cs="Arial"/>
                <w:sz w:val="24"/>
                <w:szCs w:val="24"/>
              </w:rPr>
              <w:t>ave become victims of crime</w:t>
            </w:r>
            <w:r>
              <w:rPr>
                <w:rFonts w:ascii="Arial" w:hAnsi="Arial" w:cs="Arial"/>
                <w:sz w:val="24"/>
                <w:szCs w:val="24"/>
              </w:rPr>
              <w:t>.</w:t>
            </w:r>
          </w:p>
          <w:p w14:paraId="3ECC2D6E" w14:textId="77777777" w:rsidR="008A5DD4" w:rsidRDefault="008A5DD4" w:rsidP="008A5DD4">
            <w:pPr>
              <w:pStyle w:val="ListParagraph"/>
              <w:spacing w:after="0"/>
              <w:ind w:left="360"/>
              <w:rPr>
                <w:rFonts w:ascii="Arial" w:hAnsi="Arial" w:cs="Arial"/>
                <w:sz w:val="24"/>
                <w:szCs w:val="24"/>
              </w:rPr>
            </w:pPr>
          </w:p>
          <w:p w14:paraId="39F7B731" w14:textId="77777777" w:rsidR="00711B93" w:rsidRPr="008A5DD4" w:rsidRDefault="00711B93" w:rsidP="008A5DD4">
            <w:pPr>
              <w:pStyle w:val="Default"/>
              <w:spacing w:line="276" w:lineRule="auto"/>
              <w:jc w:val="both"/>
              <w:rPr>
                <w:rFonts w:eastAsia="Calibri"/>
                <w:color w:val="auto"/>
                <w:lang w:eastAsia="en-US"/>
              </w:rPr>
            </w:pPr>
            <w:r>
              <w:rPr>
                <w:rFonts w:eastAsia="Calibri"/>
                <w:color w:val="auto"/>
                <w:lang w:eastAsia="en-US"/>
              </w:rPr>
              <w:t>Eligible organisations and groups can make applications for funding throughout the year.  Applications must have the support of their local Neighbourhood Policing Team. Submitted applications are assessed on a quarterly basis by a Panel consisting of representatives from the Office of the Police and Crime Commissioner, Gwent Police and the Council for Wales Vol</w:t>
            </w:r>
            <w:r w:rsidR="008A5DD4">
              <w:rPr>
                <w:rFonts w:eastAsia="Calibri"/>
                <w:color w:val="auto"/>
                <w:lang w:eastAsia="en-US"/>
              </w:rPr>
              <w:t xml:space="preserve">untary Youth Service (CWVYS).  </w:t>
            </w:r>
          </w:p>
        </w:tc>
      </w:tr>
      <w:tr w:rsidR="00D8752E" w:rsidRPr="00933DD9" w14:paraId="1BEB0BD8" w14:textId="77777777" w:rsidTr="00DB41FC">
        <w:tc>
          <w:tcPr>
            <w:tcW w:w="534" w:type="dxa"/>
            <w:tcBorders>
              <w:right w:val="single" w:sz="4" w:space="0" w:color="auto"/>
            </w:tcBorders>
            <w:shd w:val="clear" w:color="auto" w:fill="auto"/>
          </w:tcPr>
          <w:p w14:paraId="601B7895" w14:textId="77777777" w:rsidR="00D8752E" w:rsidRPr="00933DD9" w:rsidRDefault="00711B93" w:rsidP="00D8752E">
            <w:pPr>
              <w:rPr>
                <w:rFonts w:ascii="Arial" w:hAnsi="Arial" w:cs="Arial"/>
                <w:sz w:val="24"/>
                <w:szCs w:val="24"/>
              </w:rPr>
            </w:pPr>
            <w:r>
              <w:rPr>
                <w:rFonts w:ascii="Arial" w:hAnsi="Arial" w:cs="Arial"/>
                <w:sz w:val="24"/>
                <w:szCs w:val="24"/>
              </w:rPr>
              <w:t>2</w:t>
            </w:r>
            <w:r w:rsidR="009D678F" w:rsidRPr="00933DD9">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18EDE464" w14:textId="5C440F05" w:rsidR="00741E0F" w:rsidRDefault="00741E0F" w:rsidP="008A5DD4">
            <w:pPr>
              <w:pStyle w:val="Default"/>
              <w:spacing w:line="276" w:lineRule="auto"/>
              <w:jc w:val="both"/>
            </w:pPr>
            <w:r>
              <w:t>Following</w:t>
            </w:r>
            <w:r w:rsidR="00244F3E">
              <w:t xml:space="preserve"> </w:t>
            </w:r>
            <w:r w:rsidR="00242198">
              <w:t>a robust application process a</w:t>
            </w:r>
            <w:r w:rsidR="002A0B9A">
              <w:t>t</w:t>
            </w:r>
            <w:r w:rsidR="00242198">
              <w:t xml:space="preserve"> </w:t>
            </w:r>
            <w:r w:rsidR="00E335BB">
              <w:t xml:space="preserve">the </w:t>
            </w:r>
            <w:r>
              <w:t>February 202</w:t>
            </w:r>
            <w:r w:rsidR="000617E5">
              <w:t>4</w:t>
            </w:r>
            <w:r w:rsidR="00086F5D">
              <w:t xml:space="preserve"> </w:t>
            </w:r>
            <w:r w:rsidR="00F7236A">
              <w:t>PCC Police Community Fund</w:t>
            </w:r>
            <w:r>
              <w:t xml:space="preserve"> Panel</w:t>
            </w:r>
            <w:r w:rsidR="00F7236A">
              <w:t>,</w:t>
            </w:r>
            <w:r w:rsidR="00DB41FC">
              <w:t xml:space="preserve"> </w:t>
            </w:r>
            <w:r w:rsidR="000617E5">
              <w:t>six</w:t>
            </w:r>
            <w:r w:rsidR="00AD4D0E">
              <w:t xml:space="preserve"> projects have been successful in receiving funding, totalling </w:t>
            </w:r>
            <w:r w:rsidR="00AD4D0E" w:rsidRPr="00741E0F">
              <w:rPr>
                <w:u w:val="single"/>
              </w:rPr>
              <w:t>£</w:t>
            </w:r>
            <w:r w:rsidR="000617E5">
              <w:rPr>
                <w:u w:val="single"/>
              </w:rPr>
              <w:t>215,822.57</w:t>
            </w:r>
            <w:r w:rsidR="008E0DBA">
              <w:t xml:space="preserve">.   </w:t>
            </w:r>
            <w:r w:rsidR="008A5DD4">
              <w:t xml:space="preserve">Additionally, </w:t>
            </w:r>
            <w:r w:rsidR="000617E5">
              <w:t>six</w:t>
            </w:r>
            <w:r w:rsidR="007E2A25">
              <w:t xml:space="preserve"> projects funded in </w:t>
            </w:r>
            <w:r w:rsidR="00AE5242">
              <w:t>previous years (</w:t>
            </w:r>
            <w:r w:rsidR="0022238B">
              <w:t>202</w:t>
            </w:r>
            <w:r w:rsidR="000617E5">
              <w:t>2/</w:t>
            </w:r>
            <w:r w:rsidR="0022238B">
              <w:t>202</w:t>
            </w:r>
            <w:r w:rsidR="000617E5">
              <w:t>3</w:t>
            </w:r>
            <w:r w:rsidR="00086F5D">
              <w:t xml:space="preserve"> and 202</w:t>
            </w:r>
            <w:r w:rsidR="000617E5">
              <w:t>3</w:t>
            </w:r>
            <w:r w:rsidR="00086F5D">
              <w:t>/2</w:t>
            </w:r>
            <w:r w:rsidR="000617E5">
              <w:t>024</w:t>
            </w:r>
            <w:r w:rsidR="00AE5242">
              <w:t>)</w:t>
            </w:r>
            <w:r w:rsidR="005729CD">
              <w:t>,</w:t>
            </w:r>
            <w:r>
              <w:t xml:space="preserve"> </w:t>
            </w:r>
            <w:r w:rsidR="00A04872">
              <w:t xml:space="preserve">were in principle awarded </w:t>
            </w:r>
            <w:r w:rsidR="007E2A25">
              <w:t xml:space="preserve">year </w:t>
            </w:r>
            <w:r w:rsidR="00A04872">
              <w:t>two</w:t>
            </w:r>
            <w:r w:rsidR="00AE5242">
              <w:t xml:space="preserve"> or three</w:t>
            </w:r>
            <w:r w:rsidR="007E2A25">
              <w:t xml:space="preserve"> funding</w:t>
            </w:r>
            <w:r w:rsidR="005729CD">
              <w:t>,</w:t>
            </w:r>
            <w:r w:rsidR="007E2A25">
              <w:t xml:space="preserve"> </w:t>
            </w:r>
            <w:r w:rsidR="00A04872">
              <w:t xml:space="preserve">subject to satisfactory reporting and continuing compliance with terms and conditions of grant. </w:t>
            </w:r>
            <w:r w:rsidR="000617E5">
              <w:t xml:space="preserve"> These additional six total £207,352.23.   </w:t>
            </w:r>
          </w:p>
          <w:p w14:paraId="795F9842" w14:textId="77777777" w:rsidR="00741E0F" w:rsidRDefault="00741E0F" w:rsidP="008A5DD4">
            <w:pPr>
              <w:pStyle w:val="Default"/>
              <w:spacing w:line="276" w:lineRule="auto"/>
              <w:jc w:val="both"/>
            </w:pPr>
          </w:p>
          <w:p w14:paraId="63610433" w14:textId="5335FC87" w:rsidR="00555C9B" w:rsidRPr="00542CB1" w:rsidRDefault="007E2A25" w:rsidP="008A5DD4">
            <w:pPr>
              <w:pStyle w:val="Default"/>
              <w:spacing w:line="276" w:lineRule="auto"/>
              <w:jc w:val="both"/>
            </w:pPr>
            <w:r>
              <w:t>This brings the allo</w:t>
            </w:r>
            <w:r w:rsidR="00741E0F">
              <w:t xml:space="preserve">cation </w:t>
            </w:r>
            <w:r w:rsidR="00741E0F" w:rsidRPr="00E622B8">
              <w:t xml:space="preserve">of </w:t>
            </w:r>
            <w:r w:rsidR="00A04872" w:rsidRPr="00E622B8">
              <w:t>202</w:t>
            </w:r>
            <w:r w:rsidR="000617E5">
              <w:t>4</w:t>
            </w:r>
            <w:r w:rsidR="00A04872" w:rsidRPr="00E622B8">
              <w:t>/</w:t>
            </w:r>
            <w:r w:rsidR="00810511" w:rsidRPr="00E622B8">
              <w:t>20</w:t>
            </w:r>
            <w:r w:rsidR="00A04872" w:rsidRPr="00E622B8">
              <w:t>2</w:t>
            </w:r>
            <w:r w:rsidR="000617E5">
              <w:t>5</w:t>
            </w:r>
            <w:r w:rsidR="00A04872" w:rsidRPr="00E622B8">
              <w:t xml:space="preserve"> </w:t>
            </w:r>
            <w:r w:rsidR="00741E0F" w:rsidRPr="00E622B8">
              <w:t xml:space="preserve">funding </w:t>
            </w:r>
            <w:r w:rsidRPr="00E622B8">
              <w:t xml:space="preserve">to a total of </w:t>
            </w:r>
            <w:r w:rsidRPr="00E622B8">
              <w:rPr>
                <w:u w:val="single"/>
              </w:rPr>
              <w:t>£</w:t>
            </w:r>
            <w:r w:rsidR="000617E5">
              <w:rPr>
                <w:u w:val="single"/>
              </w:rPr>
              <w:t>423,174.80</w:t>
            </w:r>
            <w:r w:rsidR="00086F5D" w:rsidRPr="00E622B8">
              <w:rPr>
                <w:u w:val="single"/>
              </w:rPr>
              <w:t>,</w:t>
            </w:r>
            <w:r w:rsidR="00086F5D" w:rsidRPr="00E622B8">
              <w:t xml:space="preserve"> the additional funding over and above the annual £300,000 has been agreed to be paid out of reserves on this occasion</w:t>
            </w:r>
            <w:r w:rsidR="000617E5">
              <w:t>.</w:t>
            </w:r>
            <w:r>
              <w:t xml:space="preserve"> </w:t>
            </w:r>
          </w:p>
        </w:tc>
      </w:tr>
      <w:tr w:rsidR="00D8752E" w:rsidRPr="00933DD9" w14:paraId="0A83FF41" w14:textId="77777777" w:rsidTr="00DB41FC">
        <w:tc>
          <w:tcPr>
            <w:tcW w:w="534" w:type="dxa"/>
            <w:tcBorders>
              <w:right w:val="single" w:sz="4" w:space="0" w:color="auto"/>
            </w:tcBorders>
            <w:shd w:val="clear" w:color="auto" w:fill="auto"/>
          </w:tcPr>
          <w:p w14:paraId="233225DA" w14:textId="77777777" w:rsidR="00D8752E" w:rsidRPr="00933DD9" w:rsidRDefault="008A5DD4" w:rsidP="00D8752E">
            <w:pPr>
              <w:rPr>
                <w:rFonts w:ascii="Arial" w:hAnsi="Arial" w:cs="Arial"/>
                <w:sz w:val="24"/>
                <w:szCs w:val="24"/>
              </w:rPr>
            </w:pPr>
            <w:r>
              <w:rPr>
                <w:rFonts w:ascii="Arial" w:hAnsi="Arial" w:cs="Arial"/>
                <w:sz w:val="24"/>
                <w:szCs w:val="24"/>
              </w:rPr>
              <w:lastRenderedPageBreak/>
              <w:t>3</w:t>
            </w:r>
            <w:r w:rsidR="00F22A16">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56B0AE51" w14:textId="79FB0B8D" w:rsidR="00BD404E" w:rsidRDefault="00BD404E" w:rsidP="00BD404E">
            <w:pPr>
              <w:pStyle w:val="Default"/>
              <w:spacing w:line="276" w:lineRule="auto"/>
              <w:jc w:val="both"/>
              <w:rPr>
                <w:szCs w:val="20"/>
              </w:rPr>
            </w:pPr>
            <w:r>
              <w:rPr>
                <w:szCs w:val="20"/>
              </w:rPr>
              <w:t xml:space="preserve">Due to the PCC Election in May 2024, the 2024-2025 PCC Police Community Fund only permitted applicants the opportunity to apply for one </w:t>
            </w:r>
            <w:r w:rsidR="0030259C">
              <w:rPr>
                <w:szCs w:val="20"/>
              </w:rPr>
              <w:t>year’s worth</w:t>
            </w:r>
            <w:r>
              <w:rPr>
                <w:szCs w:val="20"/>
              </w:rPr>
              <w:t xml:space="preserve"> of funding, as opposed to up to three years</w:t>
            </w:r>
            <w:r w:rsidR="0030259C">
              <w:rPr>
                <w:szCs w:val="20"/>
              </w:rPr>
              <w:t xml:space="preserve"> as</w:t>
            </w:r>
            <w:r>
              <w:rPr>
                <w:szCs w:val="20"/>
              </w:rPr>
              <w:t xml:space="preserve"> in previous years</w:t>
            </w:r>
            <w:r w:rsidR="0030259C">
              <w:rPr>
                <w:szCs w:val="20"/>
              </w:rPr>
              <w:t xml:space="preserve">.  This is </w:t>
            </w:r>
            <w:r>
              <w:rPr>
                <w:szCs w:val="20"/>
              </w:rPr>
              <w:t xml:space="preserve">outlined in my Decision Log – PCCG-2023-010.  </w:t>
            </w:r>
          </w:p>
          <w:p w14:paraId="7D20DB46" w14:textId="77777777" w:rsidR="00BD404E" w:rsidRDefault="00BD404E" w:rsidP="00BD404E">
            <w:pPr>
              <w:pStyle w:val="Default"/>
              <w:spacing w:line="276" w:lineRule="auto"/>
              <w:jc w:val="both"/>
              <w:rPr>
                <w:szCs w:val="20"/>
              </w:rPr>
            </w:pPr>
          </w:p>
          <w:p w14:paraId="55E2E181" w14:textId="15575BBB" w:rsidR="004D12E8" w:rsidRDefault="00AD4D0E" w:rsidP="008A5DD4">
            <w:pPr>
              <w:pStyle w:val="Default"/>
              <w:spacing w:line="276" w:lineRule="auto"/>
              <w:jc w:val="both"/>
              <w:rPr>
                <w:szCs w:val="20"/>
              </w:rPr>
            </w:pPr>
            <w:r>
              <w:rPr>
                <w:szCs w:val="20"/>
              </w:rPr>
              <w:t xml:space="preserve">The successful </w:t>
            </w:r>
            <w:r w:rsidR="00A04872">
              <w:rPr>
                <w:szCs w:val="20"/>
              </w:rPr>
              <w:t>projects</w:t>
            </w:r>
            <w:r w:rsidR="00AE5242">
              <w:rPr>
                <w:szCs w:val="20"/>
              </w:rPr>
              <w:t xml:space="preserve"> reviewed at the February </w:t>
            </w:r>
            <w:r w:rsidR="00086F5D">
              <w:rPr>
                <w:szCs w:val="20"/>
              </w:rPr>
              <w:t>202</w:t>
            </w:r>
            <w:r w:rsidR="000617E5">
              <w:rPr>
                <w:szCs w:val="20"/>
              </w:rPr>
              <w:t>4</w:t>
            </w:r>
            <w:r w:rsidR="00AE5242">
              <w:rPr>
                <w:szCs w:val="20"/>
              </w:rPr>
              <w:t xml:space="preserve"> Panel that will be</w:t>
            </w:r>
            <w:r w:rsidR="00A04872">
              <w:rPr>
                <w:szCs w:val="20"/>
              </w:rPr>
              <w:t xml:space="preserve"> receiving </w:t>
            </w:r>
            <w:r w:rsidR="00827D9F">
              <w:rPr>
                <w:szCs w:val="20"/>
              </w:rPr>
              <w:t>year</w:t>
            </w:r>
            <w:r w:rsidR="00A04872">
              <w:rPr>
                <w:szCs w:val="20"/>
              </w:rPr>
              <w:t xml:space="preserve"> one</w:t>
            </w:r>
            <w:r w:rsidR="00827D9F">
              <w:rPr>
                <w:szCs w:val="20"/>
              </w:rPr>
              <w:t xml:space="preserve"> </w:t>
            </w:r>
            <w:r>
              <w:rPr>
                <w:szCs w:val="20"/>
              </w:rPr>
              <w:t>funding are listed below:</w:t>
            </w:r>
          </w:p>
          <w:p w14:paraId="7BF1EC60" w14:textId="77777777" w:rsidR="008E0DBA" w:rsidRDefault="008E0DBA" w:rsidP="008A5DD4">
            <w:pPr>
              <w:pStyle w:val="Default"/>
              <w:spacing w:line="276" w:lineRule="auto"/>
              <w:jc w:val="both"/>
              <w:rPr>
                <w:szCs w:val="20"/>
              </w:rPr>
            </w:pPr>
          </w:p>
          <w:p w14:paraId="0B0608E7" w14:textId="284EE0B8" w:rsidR="008E0DBA" w:rsidRPr="001647A5" w:rsidRDefault="00555C9B" w:rsidP="008A5DD4">
            <w:pPr>
              <w:pStyle w:val="Default"/>
              <w:spacing w:line="276" w:lineRule="auto"/>
              <w:jc w:val="both"/>
              <w:rPr>
                <w:b/>
                <w:szCs w:val="20"/>
              </w:rPr>
            </w:pPr>
            <w:r>
              <w:rPr>
                <w:b/>
                <w:szCs w:val="20"/>
              </w:rPr>
              <w:t>202</w:t>
            </w:r>
            <w:r w:rsidR="000617E5">
              <w:rPr>
                <w:b/>
                <w:szCs w:val="20"/>
              </w:rPr>
              <w:t>4</w:t>
            </w:r>
            <w:r w:rsidR="00AE5242">
              <w:rPr>
                <w:b/>
                <w:szCs w:val="20"/>
              </w:rPr>
              <w:t>/2</w:t>
            </w:r>
            <w:r w:rsidR="000617E5">
              <w:rPr>
                <w:b/>
                <w:szCs w:val="20"/>
              </w:rPr>
              <w:t>5</w:t>
            </w:r>
            <w:r w:rsidR="001647A5" w:rsidRPr="001647A5">
              <w:rPr>
                <w:b/>
                <w:szCs w:val="20"/>
              </w:rPr>
              <w:t xml:space="preserve"> Grant Awards </w:t>
            </w:r>
            <w:r w:rsidR="00F7236A">
              <w:rPr>
                <w:b/>
                <w:szCs w:val="20"/>
              </w:rPr>
              <w:t>(</w:t>
            </w:r>
            <w:r>
              <w:rPr>
                <w:b/>
                <w:szCs w:val="20"/>
              </w:rPr>
              <w:t>April 202</w:t>
            </w:r>
            <w:r w:rsidR="000617E5">
              <w:rPr>
                <w:b/>
                <w:szCs w:val="20"/>
              </w:rPr>
              <w:t>4</w:t>
            </w:r>
            <w:r>
              <w:rPr>
                <w:b/>
                <w:szCs w:val="20"/>
              </w:rPr>
              <w:t xml:space="preserve"> – March 202</w:t>
            </w:r>
            <w:r w:rsidR="000617E5">
              <w:rPr>
                <w:b/>
                <w:szCs w:val="20"/>
              </w:rPr>
              <w:t>5</w:t>
            </w:r>
            <w:r w:rsidR="00F7236A">
              <w:rPr>
                <w:b/>
                <w:szCs w:val="20"/>
              </w:rPr>
              <w:t>)</w:t>
            </w:r>
            <w:r w:rsidR="001647A5" w:rsidRPr="001647A5">
              <w:rPr>
                <w:b/>
                <w:szCs w:val="20"/>
              </w:rPr>
              <w:t>:</w:t>
            </w:r>
          </w:p>
          <w:p w14:paraId="01903A4C" w14:textId="77777777" w:rsidR="001647A5" w:rsidRDefault="001647A5" w:rsidP="008A5DD4">
            <w:pPr>
              <w:pStyle w:val="Default"/>
              <w:spacing w:line="276" w:lineRule="auto"/>
              <w:jc w:val="both"/>
              <w:rPr>
                <w:szCs w:val="20"/>
              </w:rPr>
            </w:pPr>
          </w:p>
          <w:p w14:paraId="151927D0" w14:textId="5875F4FF" w:rsidR="001647A5" w:rsidRDefault="000617E5" w:rsidP="008A5DD4">
            <w:pPr>
              <w:pStyle w:val="Default"/>
              <w:spacing w:line="276" w:lineRule="auto"/>
              <w:jc w:val="both"/>
              <w:rPr>
                <w:szCs w:val="20"/>
              </w:rPr>
            </w:pPr>
            <w:r>
              <w:rPr>
                <w:b/>
                <w:szCs w:val="20"/>
              </w:rPr>
              <w:t>Cyfannol Women’s Aid</w:t>
            </w:r>
            <w:r w:rsidR="001647A5">
              <w:rPr>
                <w:szCs w:val="20"/>
              </w:rPr>
              <w:t xml:space="preserve"> </w:t>
            </w:r>
            <w:r w:rsidR="00885510">
              <w:rPr>
                <w:szCs w:val="20"/>
              </w:rPr>
              <w:t>(</w:t>
            </w:r>
            <w:r>
              <w:rPr>
                <w:szCs w:val="20"/>
              </w:rPr>
              <w:t>Pan Gwent</w:t>
            </w:r>
            <w:r w:rsidR="00885510">
              <w:rPr>
                <w:szCs w:val="20"/>
              </w:rPr>
              <w:t>)</w:t>
            </w:r>
            <w:r w:rsidR="001647A5">
              <w:rPr>
                <w:szCs w:val="20"/>
              </w:rPr>
              <w:t xml:space="preserve">- </w:t>
            </w:r>
            <w:r w:rsidR="001647A5" w:rsidRPr="001647A5">
              <w:rPr>
                <w:szCs w:val="20"/>
                <w:u w:val="single"/>
              </w:rPr>
              <w:t>£</w:t>
            </w:r>
            <w:r>
              <w:rPr>
                <w:szCs w:val="20"/>
                <w:u w:val="single"/>
              </w:rPr>
              <w:t>32,531</w:t>
            </w:r>
            <w:r w:rsidR="001647A5">
              <w:rPr>
                <w:szCs w:val="20"/>
              </w:rPr>
              <w:t xml:space="preserve"> towards </w:t>
            </w:r>
            <w:r>
              <w:rPr>
                <w:szCs w:val="20"/>
              </w:rPr>
              <w:t xml:space="preserve">a Children &amp; Young People’s Intake and Assessment Worker, who will conduct a </w:t>
            </w:r>
            <w:r w:rsidR="0030259C">
              <w:rPr>
                <w:szCs w:val="20"/>
              </w:rPr>
              <w:t>6-step</w:t>
            </w:r>
            <w:r>
              <w:rPr>
                <w:szCs w:val="20"/>
              </w:rPr>
              <w:t xml:space="preserve"> referral pathway process as the first point of contact on supporting children and young people who have been victims of crime (domestic abuse and sexual violence).</w:t>
            </w:r>
          </w:p>
          <w:p w14:paraId="168E21BC" w14:textId="77777777" w:rsidR="00AD4D0E" w:rsidRDefault="00AD4D0E" w:rsidP="008A5DD4">
            <w:pPr>
              <w:pStyle w:val="Default"/>
              <w:spacing w:line="276" w:lineRule="auto"/>
              <w:jc w:val="both"/>
              <w:rPr>
                <w:szCs w:val="20"/>
              </w:rPr>
            </w:pPr>
          </w:p>
          <w:p w14:paraId="65B0F01A" w14:textId="519E2A12" w:rsidR="00A25FB4" w:rsidRDefault="000617E5" w:rsidP="008A5DD4">
            <w:pPr>
              <w:pStyle w:val="Default"/>
              <w:spacing w:line="276" w:lineRule="auto"/>
              <w:jc w:val="both"/>
              <w:rPr>
                <w:szCs w:val="20"/>
              </w:rPr>
            </w:pPr>
            <w:r>
              <w:rPr>
                <w:b/>
                <w:szCs w:val="20"/>
              </w:rPr>
              <w:t>Senghenydd Youth Drop in Centre</w:t>
            </w:r>
            <w:r w:rsidR="00E80733">
              <w:rPr>
                <w:szCs w:val="20"/>
              </w:rPr>
              <w:t xml:space="preserve"> </w:t>
            </w:r>
            <w:r w:rsidR="00885510">
              <w:rPr>
                <w:szCs w:val="20"/>
              </w:rPr>
              <w:t>(</w:t>
            </w:r>
            <w:r>
              <w:rPr>
                <w:szCs w:val="20"/>
              </w:rPr>
              <w:t>Caerphilly</w:t>
            </w:r>
            <w:r w:rsidR="00885510">
              <w:rPr>
                <w:szCs w:val="20"/>
              </w:rPr>
              <w:t xml:space="preserve">) </w:t>
            </w:r>
            <w:r w:rsidR="00E80733">
              <w:rPr>
                <w:szCs w:val="20"/>
              </w:rPr>
              <w:t xml:space="preserve">- </w:t>
            </w:r>
            <w:r w:rsidR="00E80733" w:rsidRPr="00E80733">
              <w:rPr>
                <w:szCs w:val="20"/>
                <w:u w:val="single"/>
              </w:rPr>
              <w:t>£</w:t>
            </w:r>
            <w:r>
              <w:rPr>
                <w:szCs w:val="20"/>
                <w:u w:val="single"/>
              </w:rPr>
              <w:t>39,929.76</w:t>
            </w:r>
            <w:r w:rsidR="00E80733">
              <w:rPr>
                <w:szCs w:val="20"/>
              </w:rPr>
              <w:t xml:space="preserve"> towards </w:t>
            </w:r>
            <w:r>
              <w:rPr>
                <w:szCs w:val="20"/>
              </w:rPr>
              <w:t>the Drop in Centre, where youth and community workers will offer outreach and youth centre based activities.  Youth Workers will also work with NEETs</w:t>
            </w:r>
            <w:r w:rsidR="0030259C">
              <w:rPr>
                <w:szCs w:val="20"/>
              </w:rPr>
              <w:t xml:space="preserve"> (young people not in education, employment or training),</w:t>
            </w:r>
            <w:r>
              <w:rPr>
                <w:szCs w:val="20"/>
              </w:rPr>
              <w:t xml:space="preserve"> during daytime hours and provide evening sessions to children and young people on subjects such as substance misuse and online safety, as well as raise awareness on issues such as grooming, trafficking, modern slavery and risk taking behaviour.</w:t>
            </w:r>
          </w:p>
          <w:p w14:paraId="4FF8083C" w14:textId="77777777" w:rsidR="005729CD" w:rsidRDefault="005729CD" w:rsidP="008A5DD4">
            <w:pPr>
              <w:pStyle w:val="Default"/>
              <w:spacing w:line="276" w:lineRule="auto"/>
              <w:jc w:val="both"/>
              <w:rPr>
                <w:szCs w:val="20"/>
              </w:rPr>
            </w:pPr>
          </w:p>
          <w:p w14:paraId="7960CA1F" w14:textId="564180C8" w:rsidR="00A25FB4" w:rsidRDefault="00F5654C" w:rsidP="008A5DD4">
            <w:pPr>
              <w:pStyle w:val="Default"/>
              <w:spacing w:line="276" w:lineRule="auto"/>
              <w:jc w:val="both"/>
              <w:rPr>
                <w:szCs w:val="20"/>
              </w:rPr>
            </w:pPr>
            <w:r>
              <w:rPr>
                <w:b/>
                <w:szCs w:val="20"/>
              </w:rPr>
              <w:t>Urban Circle</w:t>
            </w:r>
            <w:r w:rsidR="0022238B">
              <w:rPr>
                <w:b/>
                <w:szCs w:val="20"/>
              </w:rPr>
              <w:t xml:space="preserve"> </w:t>
            </w:r>
            <w:r w:rsidR="00885510">
              <w:rPr>
                <w:szCs w:val="20"/>
              </w:rPr>
              <w:t>(</w:t>
            </w:r>
            <w:r>
              <w:rPr>
                <w:szCs w:val="20"/>
              </w:rPr>
              <w:t>Blaenau Gwent</w:t>
            </w:r>
            <w:r w:rsidR="00885510">
              <w:rPr>
                <w:szCs w:val="20"/>
              </w:rPr>
              <w:t xml:space="preserve">) </w:t>
            </w:r>
            <w:r w:rsidR="00A25FB4">
              <w:rPr>
                <w:szCs w:val="20"/>
              </w:rPr>
              <w:t xml:space="preserve">- </w:t>
            </w:r>
            <w:r w:rsidR="00A25FB4" w:rsidRPr="00A25FB4">
              <w:rPr>
                <w:szCs w:val="20"/>
                <w:u w:val="single"/>
              </w:rPr>
              <w:t>£</w:t>
            </w:r>
            <w:r w:rsidR="001941C4">
              <w:rPr>
                <w:szCs w:val="20"/>
                <w:u w:val="single"/>
              </w:rPr>
              <w:t>49,</w:t>
            </w:r>
            <w:r>
              <w:rPr>
                <w:szCs w:val="20"/>
                <w:u w:val="single"/>
              </w:rPr>
              <w:t>230</w:t>
            </w:r>
            <w:r w:rsidR="00A25FB4">
              <w:rPr>
                <w:szCs w:val="20"/>
              </w:rPr>
              <w:t xml:space="preserve"> t</w:t>
            </w:r>
            <w:r>
              <w:rPr>
                <w:szCs w:val="20"/>
              </w:rPr>
              <w:t>owards the provision of a Youth Worker</w:t>
            </w:r>
            <w:r w:rsidR="00CB6B33">
              <w:rPr>
                <w:szCs w:val="20"/>
              </w:rPr>
              <w:t xml:space="preserve"> based in Ebbw Vale</w:t>
            </w:r>
            <w:r>
              <w:rPr>
                <w:szCs w:val="20"/>
              </w:rPr>
              <w:t xml:space="preserve"> for the Urban Circle Club </w:t>
            </w:r>
            <w:r w:rsidR="00CB6B33">
              <w:rPr>
                <w:szCs w:val="20"/>
              </w:rPr>
              <w:t>which</w:t>
            </w:r>
            <w:r>
              <w:rPr>
                <w:szCs w:val="20"/>
              </w:rPr>
              <w:t xml:space="preserve"> will provide youth club sessions and conduct person centred assessments with children and young people to identify areas that may lead them into a future of offending or anti-social behaviour</w:t>
            </w:r>
            <w:r w:rsidR="00CB6B33">
              <w:rPr>
                <w:szCs w:val="20"/>
              </w:rPr>
              <w:t>.  I</w:t>
            </w:r>
            <w:r w:rsidR="0030259C">
              <w:rPr>
                <w:szCs w:val="20"/>
              </w:rPr>
              <w:t xml:space="preserve">n liaison with partner agencies </w:t>
            </w:r>
            <w:r w:rsidR="00CB6B33">
              <w:rPr>
                <w:szCs w:val="20"/>
              </w:rPr>
              <w:t xml:space="preserve">the project will </w:t>
            </w:r>
            <w:r w:rsidR="0030259C">
              <w:rPr>
                <w:szCs w:val="20"/>
              </w:rPr>
              <w:t>provide opportunities for making better informed life choices and creating more positive relationships</w:t>
            </w:r>
            <w:r w:rsidR="00CB6B33">
              <w:rPr>
                <w:szCs w:val="20"/>
              </w:rPr>
              <w:t xml:space="preserve"> by working</w:t>
            </w:r>
            <w:r w:rsidR="0030259C">
              <w:rPr>
                <w:szCs w:val="20"/>
              </w:rPr>
              <w:t xml:space="preserve"> closely with various agencies including the Youth Offending Service, Gwent Police and Blaenau Gwent Youth Service</w:t>
            </w:r>
            <w:r w:rsidR="00CB6B33">
              <w:rPr>
                <w:szCs w:val="20"/>
              </w:rPr>
              <w:t xml:space="preserve">. </w:t>
            </w:r>
            <w:r>
              <w:rPr>
                <w:szCs w:val="20"/>
              </w:rPr>
              <w:t xml:space="preserve"> The project will</w:t>
            </w:r>
            <w:r w:rsidR="00CB6B33">
              <w:rPr>
                <w:szCs w:val="20"/>
              </w:rPr>
              <w:t xml:space="preserve"> also</w:t>
            </w:r>
            <w:r>
              <w:rPr>
                <w:szCs w:val="20"/>
              </w:rPr>
              <w:t xml:space="preserve"> deliver community outreach as well as receive multi agency referrals.</w:t>
            </w:r>
            <w:r w:rsidR="0030259C">
              <w:rPr>
                <w:szCs w:val="20"/>
              </w:rPr>
              <w:t xml:space="preserve"> </w:t>
            </w:r>
            <w:r>
              <w:rPr>
                <w:szCs w:val="20"/>
              </w:rPr>
              <w:t xml:space="preserve"> </w:t>
            </w:r>
          </w:p>
          <w:p w14:paraId="33E249D3" w14:textId="77777777" w:rsidR="005729CD" w:rsidRDefault="005729CD" w:rsidP="008A5DD4">
            <w:pPr>
              <w:pStyle w:val="Default"/>
              <w:spacing w:line="276" w:lineRule="auto"/>
              <w:jc w:val="both"/>
              <w:rPr>
                <w:szCs w:val="20"/>
              </w:rPr>
            </w:pPr>
          </w:p>
          <w:p w14:paraId="3758632E" w14:textId="44190F4D" w:rsidR="00BD404E" w:rsidRDefault="00BD404E" w:rsidP="008A5DD4">
            <w:pPr>
              <w:pStyle w:val="Default"/>
              <w:spacing w:line="276" w:lineRule="auto"/>
              <w:jc w:val="both"/>
              <w:rPr>
                <w:szCs w:val="20"/>
              </w:rPr>
            </w:pPr>
            <w:r w:rsidRPr="00BD404E">
              <w:rPr>
                <w:b/>
                <w:bCs/>
                <w:szCs w:val="20"/>
              </w:rPr>
              <w:t>Brynmawr Interact</w:t>
            </w:r>
            <w:r>
              <w:rPr>
                <w:szCs w:val="20"/>
              </w:rPr>
              <w:t xml:space="preserve"> (Blaenau Gwent) - </w:t>
            </w:r>
            <w:r w:rsidRPr="00BD404E">
              <w:rPr>
                <w:szCs w:val="20"/>
                <w:u w:val="single"/>
              </w:rPr>
              <w:t>£10,000</w:t>
            </w:r>
            <w:r>
              <w:rPr>
                <w:szCs w:val="20"/>
              </w:rPr>
              <w:t xml:space="preserve"> towards the provision of activities, life skills, workshops and leadership opportunities for children and young people living in an area of deprivation and as a means of ensuring there are diversionary activities and opportunities in place to reduce the amount of children and young people at risk of entering the criminal justice system. </w:t>
            </w:r>
          </w:p>
          <w:p w14:paraId="71B3F741" w14:textId="77777777" w:rsidR="00BD404E" w:rsidRDefault="00BD404E" w:rsidP="008A5DD4">
            <w:pPr>
              <w:pStyle w:val="Default"/>
              <w:spacing w:line="276" w:lineRule="auto"/>
              <w:jc w:val="both"/>
              <w:rPr>
                <w:szCs w:val="20"/>
              </w:rPr>
            </w:pPr>
          </w:p>
          <w:p w14:paraId="768196A7" w14:textId="558C9C44" w:rsidR="00F5654C" w:rsidRDefault="00BD404E" w:rsidP="008A5DD4">
            <w:pPr>
              <w:pStyle w:val="Default"/>
              <w:spacing w:line="276" w:lineRule="auto"/>
              <w:jc w:val="both"/>
              <w:rPr>
                <w:szCs w:val="20"/>
              </w:rPr>
            </w:pPr>
            <w:r w:rsidRPr="0030259C">
              <w:rPr>
                <w:b/>
                <w:bCs/>
                <w:szCs w:val="20"/>
              </w:rPr>
              <w:t>Media Academy Wales</w:t>
            </w:r>
            <w:r>
              <w:rPr>
                <w:szCs w:val="20"/>
              </w:rPr>
              <w:t xml:space="preserve"> (Pan Gwent) - </w:t>
            </w:r>
            <w:r w:rsidRPr="0030259C">
              <w:rPr>
                <w:szCs w:val="20"/>
                <w:u w:val="single"/>
              </w:rPr>
              <w:t>£42,945</w:t>
            </w:r>
            <w:r>
              <w:rPr>
                <w:szCs w:val="20"/>
              </w:rPr>
              <w:t xml:space="preserve"> towards the provision of a Case Manager to dismantle the violent narratives of misogyny and focus on the often termed ‘manosphere’.  The initiative will broaden and raise awareness of these issues to safeguard and prevent the risk of radicalised extreme masculinity </w:t>
            </w:r>
            <w:r>
              <w:rPr>
                <w:szCs w:val="20"/>
              </w:rPr>
              <w:lastRenderedPageBreak/>
              <w:t>ideolog</w:t>
            </w:r>
            <w:r w:rsidR="00CB6B33">
              <w:rPr>
                <w:szCs w:val="20"/>
              </w:rPr>
              <w:t>ies</w:t>
            </w:r>
            <w:r>
              <w:rPr>
                <w:szCs w:val="20"/>
              </w:rPr>
              <w:t>.  The aim is to encourage and support children and young people to adopt pro-social values and attitudes irrespective of gender</w:t>
            </w:r>
            <w:r w:rsidR="0030259C">
              <w:rPr>
                <w:szCs w:val="20"/>
              </w:rPr>
              <w:t>.</w:t>
            </w:r>
          </w:p>
          <w:p w14:paraId="13D82A55" w14:textId="77777777" w:rsidR="0030259C" w:rsidRDefault="0030259C" w:rsidP="008A5DD4">
            <w:pPr>
              <w:pStyle w:val="Default"/>
              <w:spacing w:line="276" w:lineRule="auto"/>
              <w:jc w:val="both"/>
              <w:rPr>
                <w:szCs w:val="20"/>
              </w:rPr>
            </w:pPr>
          </w:p>
          <w:p w14:paraId="3C84F54A" w14:textId="4982DA5E" w:rsidR="0030259C" w:rsidRDefault="0030259C" w:rsidP="008A5DD4">
            <w:pPr>
              <w:pStyle w:val="Default"/>
              <w:spacing w:line="276" w:lineRule="auto"/>
              <w:jc w:val="both"/>
              <w:rPr>
                <w:szCs w:val="20"/>
              </w:rPr>
            </w:pPr>
            <w:r w:rsidRPr="0030259C">
              <w:rPr>
                <w:b/>
                <w:bCs/>
                <w:szCs w:val="20"/>
              </w:rPr>
              <w:t>Newport Mind</w:t>
            </w:r>
            <w:r>
              <w:rPr>
                <w:szCs w:val="20"/>
              </w:rPr>
              <w:t xml:space="preserve"> (Newport) - </w:t>
            </w:r>
            <w:r w:rsidRPr="0030259C">
              <w:rPr>
                <w:szCs w:val="20"/>
                <w:u w:val="single"/>
              </w:rPr>
              <w:t>£41,186.81</w:t>
            </w:r>
            <w:r>
              <w:rPr>
                <w:szCs w:val="20"/>
              </w:rPr>
              <w:t xml:space="preserve"> towards the provision of a Project Worker who will deliver one to one, trauma and restorative informed mental health support sessions to children and young people aged 11 to 25.  Referrals received will need to meet one of three criteria: experienced trauma and/or multiple adverse childhood experiences; </w:t>
            </w:r>
            <w:r w:rsidR="00CB6B33">
              <w:rPr>
                <w:szCs w:val="20"/>
              </w:rPr>
              <w:t>had</w:t>
            </w:r>
            <w:r>
              <w:rPr>
                <w:szCs w:val="20"/>
              </w:rPr>
              <w:t xml:space="preserve"> a history of antisocial, aggressive or defiant behaviours; </w:t>
            </w:r>
            <w:r w:rsidR="00CB6B33">
              <w:rPr>
                <w:szCs w:val="20"/>
              </w:rPr>
              <w:t>and/</w:t>
            </w:r>
            <w:r>
              <w:rPr>
                <w:szCs w:val="20"/>
              </w:rPr>
              <w:t xml:space="preserve">or has been involved in the Criminal Justice System process either as a victim or a perpetrator. </w:t>
            </w:r>
          </w:p>
          <w:p w14:paraId="022312F0" w14:textId="77777777" w:rsidR="00F5654C" w:rsidRDefault="00F5654C" w:rsidP="008A5DD4">
            <w:pPr>
              <w:pStyle w:val="Default"/>
              <w:spacing w:line="276" w:lineRule="auto"/>
              <w:jc w:val="both"/>
              <w:rPr>
                <w:szCs w:val="20"/>
              </w:rPr>
            </w:pPr>
          </w:p>
          <w:p w14:paraId="0B36FE18" w14:textId="50F67B72" w:rsidR="00A04872" w:rsidRDefault="00A04872" w:rsidP="008A5DD4">
            <w:pPr>
              <w:pStyle w:val="Default"/>
              <w:spacing w:line="276" w:lineRule="auto"/>
              <w:jc w:val="both"/>
              <w:rPr>
                <w:szCs w:val="20"/>
              </w:rPr>
            </w:pPr>
            <w:r>
              <w:rPr>
                <w:szCs w:val="20"/>
              </w:rPr>
              <w:t xml:space="preserve">The following projects funded in </w:t>
            </w:r>
            <w:r w:rsidR="001E7021">
              <w:rPr>
                <w:szCs w:val="20"/>
              </w:rPr>
              <w:t>20</w:t>
            </w:r>
            <w:r w:rsidR="00B6168D">
              <w:rPr>
                <w:szCs w:val="20"/>
              </w:rPr>
              <w:t>2</w:t>
            </w:r>
            <w:r w:rsidR="00BD404E">
              <w:rPr>
                <w:szCs w:val="20"/>
              </w:rPr>
              <w:t>2</w:t>
            </w:r>
            <w:r w:rsidR="001E7021">
              <w:rPr>
                <w:szCs w:val="20"/>
              </w:rPr>
              <w:t>/</w:t>
            </w:r>
            <w:r w:rsidR="00810511">
              <w:rPr>
                <w:szCs w:val="20"/>
              </w:rPr>
              <w:t>20</w:t>
            </w:r>
            <w:r w:rsidR="001E7021">
              <w:rPr>
                <w:szCs w:val="20"/>
              </w:rPr>
              <w:t>2</w:t>
            </w:r>
            <w:r w:rsidR="00BD404E">
              <w:rPr>
                <w:szCs w:val="20"/>
              </w:rPr>
              <w:t>3</w:t>
            </w:r>
            <w:r>
              <w:rPr>
                <w:szCs w:val="20"/>
              </w:rPr>
              <w:t xml:space="preserve"> </w:t>
            </w:r>
            <w:r w:rsidR="00175C6D">
              <w:rPr>
                <w:szCs w:val="20"/>
              </w:rPr>
              <w:t>or 202</w:t>
            </w:r>
            <w:r w:rsidR="00BD404E">
              <w:rPr>
                <w:szCs w:val="20"/>
              </w:rPr>
              <w:t>3</w:t>
            </w:r>
            <w:r w:rsidR="00175C6D">
              <w:rPr>
                <w:szCs w:val="20"/>
              </w:rPr>
              <w:t>/202</w:t>
            </w:r>
            <w:r w:rsidR="00BD404E">
              <w:rPr>
                <w:szCs w:val="20"/>
              </w:rPr>
              <w:t>4</w:t>
            </w:r>
            <w:r w:rsidR="00175C6D">
              <w:rPr>
                <w:szCs w:val="20"/>
              </w:rPr>
              <w:t xml:space="preserve"> </w:t>
            </w:r>
            <w:r>
              <w:rPr>
                <w:szCs w:val="20"/>
              </w:rPr>
              <w:t>have</w:t>
            </w:r>
            <w:r w:rsidR="0027438B">
              <w:rPr>
                <w:szCs w:val="20"/>
              </w:rPr>
              <w:t>,</w:t>
            </w:r>
            <w:r>
              <w:rPr>
                <w:szCs w:val="20"/>
              </w:rPr>
              <w:t xml:space="preserve"> in principle</w:t>
            </w:r>
            <w:r w:rsidR="0027438B">
              <w:rPr>
                <w:szCs w:val="20"/>
              </w:rPr>
              <w:t>,</w:t>
            </w:r>
            <w:r>
              <w:rPr>
                <w:szCs w:val="20"/>
              </w:rPr>
              <w:t xml:space="preserve"> been awarded year two</w:t>
            </w:r>
            <w:r w:rsidR="001E7021">
              <w:rPr>
                <w:szCs w:val="20"/>
              </w:rPr>
              <w:t xml:space="preserve"> or three</w:t>
            </w:r>
            <w:r>
              <w:rPr>
                <w:szCs w:val="20"/>
              </w:rPr>
              <w:t xml:space="preserve"> funding</w:t>
            </w:r>
            <w:r w:rsidR="00242198">
              <w:rPr>
                <w:szCs w:val="20"/>
              </w:rPr>
              <w:t>, where this was applied for in their original application,</w:t>
            </w:r>
            <w:r>
              <w:rPr>
                <w:szCs w:val="20"/>
              </w:rPr>
              <w:t xml:space="preserve"> subject to satisfactory reporting:</w:t>
            </w:r>
          </w:p>
          <w:p w14:paraId="57BE9B69" w14:textId="77777777" w:rsidR="00BA56B5" w:rsidRDefault="00BA56B5" w:rsidP="008A5DD4">
            <w:pPr>
              <w:pStyle w:val="Default"/>
              <w:spacing w:line="276" w:lineRule="auto"/>
              <w:jc w:val="both"/>
              <w:rPr>
                <w:szCs w:val="20"/>
              </w:rPr>
            </w:pPr>
          </w:p>
          <w:p w14:paraId="26BC631C" w14:textId="48BA3EE9" w:rsidR="00B6168D" w:rsidRDefault="00B6168D" w:rsidP="008A5DD4">
            <w:pPr>
              <w:pStyle w:val="Default"/>
              <w:spacing w:line="276" w:lineRule="auto"/>
              <w:jc w:val="both"/>
            </w:pPr>
            <w:r>
              <w:rPr>
                <w:b/>
                <w:bCs/>
              </w:rPr>
              <w:t xml:space="preserve">Newport Yemeni Community Association - </w:t>
            </w:r>
            <w:r w:rsidRPr="00B6168D">
              <w:rPr>
                <w:u w:val="single"/>
              </w:rPr>
              <w:t>£39,</w:t>
            </w:r>
            <w:r w:rsidR="000617E5">
              <w:rPr>
                <w:u w:val="single"/>
              </w:rPr>
              <w:t>39</w:t>
            </w:r>
            <w:r w:rsidRPr="00B6168D">
              <w:rPr>
                <w:u w:val="single"/>
              </w:rPr>
              <w:t>0</w:t>
            </w:r>
          </w:p>
          <w:p w14:paraId="51B3BC50" w14:textId="7DB0EEC4" w:rsidR="00B6168D" w:rsidRDefault="00B6168D" w:rsidP="008A5DD4">
            <w:pPr>
              <w:pStyle w:val="Default"/>
              <w:spacing w:line="276" w:lineRule="auto"/>
              <w:jc w:val="both"/>
            </w:pPr>
            <w:r>
              <w:rPr>
                <w:b/>
                <w:bCs/>
              </w:rPr>
              <w:t xml:space="preserve">County in the Community - </w:t>
            </w:r>
            <w:r w:rsidRPr="00B6168D">
              <w:rPr>
                <w:u w:val="single"/>
              </w:rPr>
              <w:t>£11,</w:t>
            </w:r>
            <w:r w:rsidR="000617E5">
              <w:rPr>
                <w:u w:val="single"/>
              </w:rPr>
              <w:t>355</w:t>
            </w:r>
            <w:r w:rsidRPr="00B6168D">
              <w:rPr>
                <w:u w:val="single"/>
              </w:rPr>
              <w:t>.</w:t>
            </w:r>
            <w:r w:rsidR="000617E5">
              <w:rPr>
                <w:u w:val="single"/>
              </w:rPr>
              <w:t>39</w:t>
            </w:r>
          </w:p>
          <w:p w14:paraId="2B649E4D" w14:textId="0C49BE54" w:rsidR="00B6168D" w:rsidRDefault="00B6168D" w:rsidP="008A5DD4">
            <w:pPr>
              <w:pStyle w:val="Default"/>
              <w:spacing w:line="276" w:lineRule="auto"/>
              <w:jc w:val="both"/>
              <w:rPr>
                <w:u w:val="single"/>
              </w:rPr>
            </w:pPr>
            <w:r>
              <w:rPr>
                <w:b/>
                <w:bCs/>
              </w:rPr>
              <w:t xml:space="preserve">Empire Fighting Chance - </w:t>
            </w:r>
            <w:r w:rsidRPr="00B6168D">
              <w:rPr>
                <w:u w:val="single"/>
              </w:rPr>
              <w:t>£15,158.40</w:t>
            </w:r>
          </w:p>
          <w:p w14:paraId="2202CD92" w14:textId="66637553" w:rsidR="000617E5" w:rsidRDefault="000617E5" w:rsidP="008A5DD4">
            <w:pPr>
              <w:pStyle w:val="Default"/>
              <w:spacing w:line="276" w:lineRule="auto"/>
              <w:jc w:val="both"/>
            </w:pPr>
            <w:r w:rsidRPr="000617E5">
              <w:rPr>
                <w:b/>
                <w:bCs/>
              </w:rPr>
              <w:t>Community House</w:t>
            </w:r>
            <w:r>
              <w:t xml:space="preserve"> - </w:t>
            </w:r>
            <w:r w:rsidRPr="000617E5">
              <w:rPr>
                <w:u w:val="single"/>
              </w:rPr>
              <w:t>£49,886</w:t>
            </w:r>
          </w:p>
          <w:p w14:paraId="5508B1E5" w14:textId="3E24DD41" w:rsidR="000617E5" w:rsidRDefault="000617E5" w:rsidP="008A5DD4">
            <w:pPr>
              <w:pStyle w:val="Default"/>
              <w:spacing w:line="276" w:lineRule="auto"/>
              <w:jc w:val="both"/>
            </w:pPr>
            <w:r w:rsidRPr="000617E5">
              <w:rPr>
                <w:b/>
                <w:bCs/>
              </w:rPr>
              <w:t>Cwmbran Centre for Young People</w:t>
            </w:r>
            <w:r>
              <w:t xml:space="preserve"> - </w:t>
            </w:r>
            <w:r w:rsidRPr="000617E5">
              <w:rPr>
                <w:u w:val="single"/>
              </w:rPr>
              <w:t>£42,631.48</w:t>
            </w:r>
          </w:p>
          <w:p w14:paraId="3098822B" w14:textId="15F59272" w:rsidR="000617E5" w:rsidRPr="000617E5" w:rsidRDefault="000617E5" w:rsidP="008A5DD4">
            <w:pPr>
              <w:pStyle w:val="Default"/>
              <w:spacing w:line="276" w:lineRule="auto"/>
              <w:jc w:val="both"/>
            </w:pPr>
            <w:r w:rsidRPr="000617E5">
              <w:rPr>
                <w:b/>
                <w:bCs/>
              </w:rPr>
              <w:t>Ethnic Youth Support Team</w:t>
            </w:r>
            <w:r>
              <w:t xml:space="preserve"> - </w:t>
            </w:r>
            <w:r w:rsidRPr="000617E5">
              <w:rPr>
                <w:u w:val="single"/>
              </w:rPr>
              <w:t>£48,930.96</w:t>
            </w:r>
          </w:p>
          <w:p w14:paraId="65470AA8" w14:textId="77777777" w:rsidR="00A04872" w:rsidRDefault="00A04872" w:rsidP="008A5DD4">
            <w:pPr>
              <w:pStyle w:val="Default"/>
              <w:spacing w:line="276" w:lineRule="auto"/>
              <w:jc w:val="both"/>
            </w:pPr>
          </w:p>
          <w:p w14:paraId="7170AC04" w14:textId="24FA91C9" w:rsidR="00A04872" w:rsidRPr="008A5DD4" w:rsidRDefault="00A04872" w:rsidP="008A5DD4">
            <w:pPr>
              <w:pStyle w:val="Default"/>
              <w:spacing w:line="276" w:lineRule="auto"/>
              <w:jc w:val="both"/>
            </w:pPr>
            <w:r>
              <w:t xml:space="preserve">Further details on these </w:t>
            </w:r>
            <w:r w:rsidR="00175C6D">
              <w:t>six</w:t>
            </w:r>
            <w:r>
              <w:t xml:space="preserve"> </w:t>
            </w:r>
            <w:r w:rsidRPr="00175C6D">
              <w:t xml:space="preserve">projects can be found on Decision Logs </w:t>
            </w:r>
            <w:r w:rsidR="00B6168D">
              <w:t>PCCG-2021-031</w:t>
            </w:r>
            <w:r w:rsidR="000617E5">
              <w:t xml:space="preserve"> and PCCG-2022-044</w:t>
            </w:r>
          </w:p>
        </w:tc>
      </w:tr>
      <w:tr w:rsidR="00F7236A" w:rsidRPr="00933DD9" w14:paraId="27167876" w14:textId="77777777" w:rsidTr="00342A63">
        <w:tc>
          <w:tcPr>
            <w:tcW w:w="534" w:type="dxa"/>
            <w:tcBorders>
              <w:right w:val="single" w:sz="4" w:space="0" w:color="auto"/>
            </w:tcBorders>
            <w:shd w:val="clear" w:color="auto" w:fill="auto"/>
          </w:tcPr>
          <w:p w14:paraId="04E42660" w14:textId="77777777" w:rsidR="00F7236A" w:rsidRDefault="008A5DD4" w:rsidP="00F7236A">
            <w:pPr>
              <w:rPr>
                <w:rFonts w:ascii="Arial" w:hAnsi="Arial" w:cs="Arial"/>
                <w:sz w:val="24"/>
                <w:szCs w:val="24"/>
              </w:rPr>
            </w:pPr>
            <w:r>
              <w:rPr>
                <w:rFonts w:ascii="Arial" w:hAnsi="Arial" w:cs="Arial"/>
                <w:sz w:val="24"/>
                <w:szCs w:val="24"/>
              </w:rPr>
              <w:lastRenderedPageBreak/>
              <w:t>4</w:t>
            </w:r>
            <w:r w:rsidR="00F7236A">
              <w:rPr>
                <w:rFonts w:ascii="Arial" w:hAnsi="Arial" w:cs="Arial"/>
                <w:sz w:val="24"/>
                <w:szCs w:val="24"/>
              </w:rPr>
              <w:t>.</w:t>
            </w:r>
          </w:p>
          <w:p w14:paraId="3FA0E879" w14:textId="77777777" w:rsidR="00F7236A" w:rsidRPr="00933DD9" w:rsidRDefault="00F7236A" w:rsidP="00F7236A">
            <w:pPr>
              <w:rPr>
                <w:rFonts w:ascii="Arial" w:hAnsi="Arial" w:cs="Arial"/>
                <w:sz w:val="24"/>
                <w:szCs w:val="24"/>
              </w:rPr>
            </w:pP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1B033B42" w14:textId="77777777" w:rsidR="00F7236A" w:rsidRPr="001D04C7" w:rsidRDefault="00F7236A" w:rsidP="00F7236A">
            <w:pPr>
              <w:rPr>
                <w:rFonts w:ascii="Arial" w:hAnsi="Arial" w:cs="Arial"/>
                <w:sz w:val="24"/>
                <w:szCs w:val="24"/>
              </w:rPr>
            </w:pPr>
            <w:r w:rsidRPr="001D04C7">
              <w:rPr>
                <w:rFonts w:ascii="Arial" w:hAnsi="Arial" w:cs="Arial"/>
                <w:sz w:val="24"/>
                <w:szCs w:val="24"/>
              </w:rPr>
              <w:t xml:space="preserve">The arrangements for each award will be set out in a Grant Agreement which includes appropriate terms and conditions, purpose of the award and payment, monitoring and reporting arrangements.  </w:t>
            </w:r>
          </w:p>
          <w:p w14:paraId="66050986" w14:textId="77777777" w:rsidR="00F7236A" w:rsidRPr="001D04C7" w:rsidRDefault="00F7236A" w:rsidP="00F7236A">
            <w:pPr>
              <w:rPr>
                <w:rFonts w:ascii="Arial" w:hAnsi="Arial" w:cs="Arial"/>
                <w:sz w:val="24"/>
                <w:szCs w:val="24"/>
              </w:rPr>
            </w:pPr>
            <w:r w:rsidRPr="001D04C7">
              <w:rPr>
                <w:rFonts w:ascii="Arial" w:hAnsi="Arial" w:cs="Arial"/>
                <w:sz w:val="24"/>
                <w:szCs w:val="24"/>
              </w:rPr>
              <w:t>A</w:t>
            </w:r>
            <w:r>
              <w:rPr>
                <w:rFonts w:ascii="Arial" w:hAnsi="Arial" w:cs="Arial"/>
                <w:sz w:val="24"/>
                <w:szCs w:val="24"/>
              </w:rPr>
              <w:t>s</w:t>
            </w:r>
            <w:r w:rsidRPr="001D04C7">
              <w:rPr>
                <w:rFonts w:ascii="Arial" w:hAnsi="Arial" w:cs="Arial"/>
                <w:sz w:val="24"/>
                <w:szCs w:val="24"/>
              </w:rPr>
              <w:t xml:space="preserve"> a minimum, in order to monitor the progress of funded projects, and provide reassurance that funding allocated is effectively meeting Policing Priorities in Gwent,</w:t>
            </w:r>
            <w:r>
              <w:rPr>
                <w:rFonts w:ascii="Arial" w:hAnsi="Arial" w:cs="Arial"/>
                <w:sz w:val="24"/>
                <w:szCs w:val="24"/>
              </w:rPr>
              <w:t xml:space="preserve"> as outlined in the Police and C</w:t>
            </w:r>
            <w:r w:rsidRPr="001D04C7">
              <w:rPr>
                <w:rFonts w:ascii="Arial" w:hAnsi="Arial" w:cs="Arial"/>
                <w:sz w:val="24"/>
                <w:szCs w:val="24"/>
              </w:rPr>
              <w:t>rime Plan, grant recipients are required to complete a mid</w:t>
            </w:r>
            <w:r w:rsidR="002A0B9A">
              <w:rPr>
                <w:rFonts w:ascii="Arial" w:hAnsi="Arial" w:cs="Arial"/>
                <w:sz w:val="24"/>
                <w:szCs w:val="24"/>
              </w:rPr>
              <w:t>-</w:t>
            </w:r>
            <w:r w:rsidRPr="001D04C7">
              <w:rPr>
                <w:rFonts w:ascii="Arial" w:hAnsi="Arial" w:cs="Arial"/>
                <w:sz w:val="24"/>
                <w:szCs w:val="24"/>
              </w:rPr>
              <w:t>year and an end of year monitoring report which will require the following information to be provided:</w:t>
            </w:r>
          </w:p>
          <w:p w14:paraId="6A4B3C82"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Activity</w:t>
            </w:r>
            <w:r w:rsidR="005729CD">
              <w:rPr>
                <w:rFonts w:ascii="Arial" w:hAnsi="Arial" w:cs="Arial"/>
                <w:sz w:val="24"/>
                <w:szCs w:val="24"/>
              </w:rPr>
              <w:t>;</w:t>
            </w:r>
          </w:p>
          <w:p w14:paraId="635D3778"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Outputs</w:t>
            </w:r>
            <w:r w:rsidR="005729CD">
              <w:rPr>
                <w:rFonts w:ascii="Arial" w:hAnsi="Arial" w:cs="Arial"/>
                <w:sz w:val="24"/>
                <w:szCs w:val="24"/>
              </w:rPr>
              <w:t>;</w:t>
            </w:r>
          </w:p>
          <w:p w14:paraId="0A25D42F"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Outcomes</w:t>
            </w:r>
            <w:r w:rsidR="005729CD">
              <w:rPr>
                <w:rFonts w:ascii="Arial" w:hAnsi="Arial" w:cs="Arial"/>
                <w:sz w:val="24"/>
                <w:szCs w:val="24"/>
              </w:rPr>
              <w:t>;</w:t>
            </w:r>
          </w:p>
          <w:p w14:paraId="6849BD87"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Breakdown of financial expenditure</w:t>
            </w:r>
            <w:r w:rsidR="005729CD">
              <w:rPr>
                <w:rFonts w:ascii="Arial" w:hAnsi="Arial" w:cs="Arial"/>
                <w:sz w:val="24"/>
                <w:szCs w:val="24"/>
              </w:rPr>
              <w:t>;</w:t>
            </w:r>
          </w:p>
          <w:p w14:paraId="6FF8D58F"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Risk</w:t>
            </w:r>
            <w:r>
              <w:rPr>
                <w:rFonts w:ascii="Arial" w:hAnsi="Arial" w:cs="Arial"/>
                <w:sz w:val="24"/>
                <w:szCs w:val="24"/>
              </w:rPr>
              <w:t>s</w:t>
            </w:r>
            <w:r w:rsidR="005729CD">
              <w:rPr>
                <w:rFonts w:ascii="Arial" w:hAnsi="Arial" w:cs="Arial"/>
                <w:sz w:val="24"/>
                <w:szCs w:val="24"/>
              </w:rPr>
              <w:t>; and</w:t>
            </w:r>
          </w:p>
          <w:p w14:paraId="3825AFE8" w14:textId="77777777" w:rsidR="00F7236A" w:rsidRPr="001D04C7" w:rsidRDefault="00F7236A" w:rsidP="00F7236A">
            <w:pPr>
              <w:numPr>
                <w:ilvl w:val="0"/>
                <w:numId w:val="9"/>
              </w:numPr>
              <w:spacing w:after="0"/>
              <w:jc w:val="both"/>
              <w:rPr>
                <w:rFonts w:ascii="Arial" w:hAnsi="Arial" w:cs="Arial"/>
                <w:sz w:val="24"/>
                <w:szCs w:val="24"/>
              </w:rPr>
            </w:pPr>
            <w:r w:rsidRPr="001D04C7">
              <w:rPr>
                <w:rFonts w:ascii="Arial" w:hAnsi="Arial" w:cs="Arial"/>
                <w:sz w:val="24"/>
                <w:szCs w:val="24"/>
              </w:rPr>
              <w:t xml:space="preserve">Learning  </w:t>
            </w:r>
          </w:p>
          <w:p w14:paraId="18DA32EC" w14:textId="77777777" w:rsidR="00F7236A" w:rsidRPr="001D04C7" w:rsidRDefault="00F7236A" w:rsidP="00F7236A">
            <w:pPr>
              <w:spacing w:after="0"/>
              <w:ind w:left="360"/>
              <w:jc w:val="both"/>
              <w:rPr>
                <w:rFonts w:ascii="Arial" w:hAnsi="Arial" w:cs="Arial"/>
                <w:sz w:val="24"/>
                <w:szCs w:val="24"/>
              </w:rPr>
            </w:pPr>
          </w:p>
          <w:p w14:paraId="05E040D5" w14:textId="77777777" w:rsidR="00913C81" w:rsidRDefault="00913C81" w:rsidP="00913C81">
            <w:pPr>
              <w:spacing w:after="0"/>
              <w:jc w:val="both"/>
              <w:rPr>
                <w:rFonts w:ascii="Arial" w:hAnsi="Arial" w:cs="Arial"/>
                <w:sz w:val="24"/>
                <w:szCs w:val="24"/>
              </w:rPr>
            </w:pPr>
            <w:r w:rsidRPr="001D04C7">
              <w:rPr>
                <w:rFonts w:ascii="Arial" w:hAnsi="Arial" w:cs="Arial"/>
                <w:sz w:val="24"/>
                <w:szCs w:val="24"/>
              </w:rPr>
              <w:t xml:space="preserve">Where the </w:t>
            </w:r>
            <w:r>
              <w:rPr>
                <w:rFonts w:ascii="Arial" w:hAnsi="Arial" w:cs="Arial"/>
                <w:sz w:val="24"/>
                <w:szCs w:val="24"/>
              </w:rPr>
              <w:t xml:space="preserve">review </w:t>
            </w:r>
            <w:r w:rsidRPr="001D04C7">
              <w:rPr>
                <w:rFonts w:ascii="Arial" w:hAnsi="Arial" w:cs="Arial"/>
                <w:sz w:val="24"/>
                <w:szCs w:val="24"/>
              </w:rPr>
              <w:t>panel recommended additional conditions over and above the standard terms and conditions</w:t>
            </w:r>
            <w:r>
              <w:rPr>
                <w:rFonts w:ascii="Arial" w:hAnsi="Arial" w:cs="Arial"/>
                <w:sz w:val="24"/>
                <w:szCs w:val="24"/>
              </w:rPr>
              <w:t>, (in</w:t>
            </w:r>
            <w:r w:rsidRPr="001D04C7">
              <w:rPr>
                <w:rFonts w:ascii="Arial" w:hAnsi="Arial" w:cs="Arial"/>
                <w:sz w:val="24"/>
                <w:szCs w:val="24"/>
              </w:rPr>
              <w:t xml:space="preserve"> order to gain assurance and clarity in relation to project deliverables and outcomes</w:t>
            </w:r>
            <w:r>
              <w:rPr>
                <w:rFonts w:ascii="Arial" w:hAnsi="Arial" w:cs="Arial"/>
                <w:sz w:val="24"/>
                <w:szCs w:val="24"/>
              </w:rPr>
              <w:t>);</w:t>
            </w:r>
            <w:r w:rsidRPr="001D04C7">
              <w:rPr>
                <w:rFonts w:ascii="Arial" w:hAnsi="Arial" w:cs="Arial"/>
                <w:sz w:val="24"/>
                <w:szCs w:val="24"/>
              </w:rPr>
              <w:t xml:space="preserve"> these will be monitored in addition to the </w:t>
            </w:r>
            <w:r w:rsidRPr="001D04C7">
              <w:rPr>
                <w:rFonts w:ascii="Arial" w:hAnsi="Arial" w:cs="Arial"/>
                <w:sz w:val="24"/>
                <w:szCs w:val="24"/>
              </w:rPr>
              <w:lastRenderedPageBreak/>
              <w:t>minimum monitoring and reporting requirements and where appropriate and proportiona</w:t>
            </w:r>
            <w:r>
              <w:rPr>
                <w:rFonts w:ascii="Arial" w:hAnsi="Arial" w:cs="Arial"/>
                <w:sz w:val="24"/>
                <w:szCs w:val="24"/>
              </w:rPr>
              <w:t>te,</w:t>
            </w:r>
            <w:r w:rsidRPr="001D04C7">
              <w:rPr>
                <w:rFonts w:ascii="Arial" w:hAnsi="Arial" w:cs="Arial"/>
                <w:sz w:val="24"/>
                <w:szCs w:val="24"/>
              </w:rPr>
              <w:t xml:space="preserve"> have been linked to the release of funding.</w:t>
            </w:r>
          </w:p>
          <w:p w14:paraId="0723EE98" w14:textId="77777777" w:rsidR="00F7236A" w:rsidRDefault="00F7236A" w:rsidP="00F7236A">
            <w:pPr>
              <w:spacing w:after="0"/>
              <w:jc w:val="both"/>
              <w:rPr>
                <w:rFonts w:ascii="Arial" w:hAnsi="Arial" w:cs="Arial"/>
                <w:sz w:val="24"/>
                <w:szCs w:val="24"/>
              </w:rPr>
            </w:pPr>
          </w:p>
          <w:p w14:paraId="0884EE13" w14:textId="77777777" w:rsidR="00F7236A" w:rsidRPr="001D04C7" w:rsidRDefault="00F7236A" w:rsidP="00F7236A">
            <w:pPr>
              <w:spacing w:after="0"/>
              <w:jc w:val="both"/>
              <w:rPr>
                <w:rFonts w:ascii="Arial" w:hAnsi="Arial" w:cs="Arial"/>
                <w:sz w:val="24"/>
                <w:szCs w:val="24"/>
              </w:rPr>
            </w:pPr>
            <w:r>
              <w:rPr>
                <w:rFonts w:ascii="Arial" w:hAnsi="Arial" w:cs="Arial"/>
                <w:sz w:val="24"/>
                <w:szCs w:val="24"/>
              </w:rPr>
              <w:t xml:space="preserve">Applicant organisations </w:t>
            </w:r>
            <w:r w:rsidRPr="001D04C7">
              <w:rPr>
                <w:rFonts w:ascii="Arial" w:hAnsi="Arial" w:cs="Arial"/>
                <w:sz w:val="24"/>
                <w:szCs w:val="24"/>
              </w:rPr>
              <w:t>will be required to accept the terms and conditions of the grant</w:t>
            </w:r>
            <w:r w:rsidR="002A0B9A">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2A0B9A">
              <w:rPr>
                <w:rFonts w:ascii="Arial" w:hAnsi="Arial" w:cs="Arial"/>
                <w:sz w:val="24"/>
                <w:szCs w:val="24"/>
              </w:rPr>
              <w:t>,</w:t>
            </w:r>
            <w:r w:rsidRPr="001D04C7">
              <w:rPr>
                <w:rFonts w:ascii="Arial" w:hAnsi="Arial" w:cs="Arial"/>
                <w:sz w:val="24"/>
                <w:szCs w:val="24"/>
              </w:rPr>
              <w:t xml:space="preserve"> by signing and returning the relevant documentation.</w:t>
            </w:r>
            <w:r>
              <w:rPr>
                <w:rFonts w:ascii="Arial" w:hAnsi="Arial" w:cs="Arial"/>
                <w:sz w:val="24"/>
                <w:szCs w:val="24"/>
              </w:rPr>
              <w:t xml:space="preserve"> Payment of grants is subject to ongoing compliance with the terms and conditions of the grant and satisfactory monitoring and reporting.</w:t>
            </w:r>
          </w:p>
          <w:p w14:paraId="6EAE12DC" w14:textId="77777777" w:rsidR="00F7236A" w:rsidRPr="00342A63" w:rsidRDefault="00F7236A" w:rsidP="00F7236A">
            <w:pPr>
              <w:pStyle w:val="Default"/>
              <w:jc w:val="both"/>
              <w:rPr>
                <w:szCs w:val="20"/>
              </w:rPr>
            </w:pPr>
          </w:p>
        </w:tc>
      </w:tr>
    </w:tbl>
    <w:p w14:paraId="24180822" w14:textId="77777777" w:rsidR="00320095" w:rsidRPr="00D8752E" w:rsidRDefault="00320095"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54"/>
      </w:tblGrid>
      <w:tr w:rsidR="00320095" w:rsidRPr="00933DD9" w14:paraId="22BF2FDA" w14:textId="77777777" w:rsidTr="00933DD9">
        <w:tc>
          <w:tcPr>
            <w:tcW w:w="9242" w:type="dxa"/>
            <w:gridSpan w:val="2"/>
            <w:shd w:val="clear" w:color="auto" w:fill="auto"/>
          </w:tcPr>
          <w:p w14:paraId="48FCBBD8" w14:textId="77777777" w:rsidR="00320095" w:rsidRPr="00933DD9" w:rsidRDefault="008A6228" w:rsidP="008A6228">
            <w:pPr>
              <w:rPr>
                <w:rFonts w:ascii="Arial" w:hAnsi="Arial" w:cs="Arial"/>
                <w:b/>
                <w:sz w:val="24"/>
                <w:szCs w:val="24"/>
              </w:rPr>
            </w:pPr>
            <w:r>
              <w:rPr>
                <w:rFonts w:ascii="Arial" w:hAnsi="Arial" w:cs="Arial"/>
                <w:b/>
                <w:sz w:val="24"/>
                <w:szCs w:val="24"/>
              </w:rPr>
              <w:t>Jeff Cuthbert</w:t>
            </w:r>
            <w:r w:rsidR="005033D8">
              <w:rPr>
                <w:rFonts w:ascii="Arial" w:hAnsi="Arial" w:cs="Arial"/>
                <w:b/>
                <w:sz w:val="24"/>
                <w:szCs w:val="24"/>
              </w:rPr>
              <w:t xml:space="preserve"> B.SC.</w:t>
            </w:r>
            <w:r w:rsidR="00320095" w:rsidRPr="00933DD9">
              <w:rPr>
                <w:rFonts w:ascii="Arial" w:hAnsi="Arial" w:cs="Arial"/>
                <w:b/>
                <w:sz w:val="24"/>
                <w:szCs w:val="24"/>
              </w:rPr>
              <w:t>,</w:t>
            </w:r>
            <w:r w:rsidR="005033D8">
              <w:rPr>
                <w:rFonts w:ascii="Arial" w:hAnsi="Arial" w:cs="Arial"/>
                <w:b/>
                <w:sz w:val="24"/>
                <w:szCs w:val="24"/>
              </w:rPr>
              <w:t xml:space="preserve"> M</w:t>
            </w:r>
            <w:r w:rsidR="00810511">
              <w:rPr>
                <w:rFonts w:ascii="Arial" w:hAnsi="Arial" w:cs="Arial"/>
                <w:b/>
                <w:sz w:val="24"/>
                <w:szCs w:val="24"/>
              </w:rPr>
              <w:t>C</w:t>
            </w:r>
            <w:r w:rsidR="005033D8">
              <w:rPr>
                <w:rFonts w:ascii="Arial" w:hAnsi="Arial" w:cs="Arial"/>
                <w:b/>
                <w:sz w:val="24"/>
                <w:szCs w:val="24"/>
              </w:rPr>
              <w:t>IPD,</w:t>
            </w:r>
            <w:r w:rsidR="00320095" w:rsidRPr="00933DD9">
              <w:rPr>
                <w:rFonts w:ascii="Arial" w:hAnsi="Arial" w:cs="Arial"/>
                <w:b/>
                <w:sz w:val="24"/>
                <w:szCs w:val="24"/>
              </w:rPr>
              <w:t xml:space="preserve"> Police and Crime Commissioner for Gwent</w:t>
            </w:r>
          </w:p>
        </w:tc>
      </w:tr>
      <w:tr w:rsidR="00320095" w:rsidRPr="00933DD9" w14:paraId="6CB76F42" w14:textId="77777777" w:rsidTr="00933DD9">
        <w:tc>
          <w:tcPr>
            <w:tcW w:w="9242" w:type="dxa"/>
            <w:gridSpan w:val="2"/>
            <w:shd w:val="clear" w:color="auto" w:fill="auto"/>
          </w:tcPr>
          <w:p w14:paraId="1B9B84A1" w14:textId="77777777" w:rsidR="00320095" w:rsidRDefault="0067439C">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383BE470"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320095" w:rsidRPr="00933DD9" w14:paraId="0FB98071" w14:textId="77777777" w:rsidTr="00933DD9">
        <w:tc>
          <w:tcPr>
            <w:tcW w:w="4621" w:type="dxa"/>
            <w:shd w:val="clear" w:color="auto" w:fill="auto"/>
          </w:tcPr>
          <w:p w14:paraId="6769282F" w14:textId="77777777" w:rsidR="00320095" w:rsidRDefault="00320095">
            <w:pPr>
              <w:rPr>
                <w:rFonts w:ascii="Arial" w:hAnsi="Arial" w:cs="Arial"/>
                <w:sz w:val="24"/>
                <w:szCs w:val="24"/>
              </w:rPr>
            </w:pPr>
            <w:r w:rsidRPr="00933DD9">
              <w:rPr>
                <w:rFonts w:ascii="Arial" w:hAnsi="Arial" w:cs="Arial"/>
                <w:sz w:val="24"/>
                <w:szCs w:val="24"/>
              </w:rPr>
              <w:t>Signed</w:t>
            </w:r>
          </w:p>
          <w:p w14:paraId="54341742" w14:textId="26862F1B" w:rsidR="0011334A" w:rsidRPr="00933DD9" w:rsidRDefault="0011334A">
            <w:pPr>
              <w:rPr>
                <w:rFonts w:ascii="Arial" w:hAnsi="Arial" w:cs="Arial"/>
                <w:sz w:val="24"/>
                <w:szCs w:val="24"/>
              </w:rPr>
            </w:pPr>
            <w:r>
              <w:rPr>
                <w:noProof/>
                <w:lang w:eastAsia="en-GB"/>
              </w:rPr>
              <w:drawing>
                <wp:inline distT="0" distB="0" distL="0" distR="0" wp14:anchorId="04C9E146" wp14:editId="4FD3F253">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621" w:type="dxa"/>
            <w:shd w:val="clear" w:color="auto" w:fill="auto"/>
          </w:tcPr>
          <w:p w14:paraId="50A48CD3" w14:textId="77777777" w:rsidR="00320095" w:rsidRDefault="00320095">
            <w:pPr>
              <w:rPr>
                <w:rFonts w:ascii="Arial" w:hAnsi="Arial" w:cs="Arial"/>
                <w:sz w:val="24"/>
                <w:szCs w:val="24"/>
              </w:rPr>
            </w:pPr>
            <w:r w:rsidRPr="00933DD9">
              <w:rPr>
                <w:rFonts w:ascii="Arial" w:hAnsi="Arial" w:cs="Arial"/>
                <w:sz w:val="24"/>
                <w:szCs w:val="24"/>
              </w:rPr>
              <w:t>Date</w:t>
            </w:r>
          </w:p>
          <w:p w14:paraId="6D6D288C" w14:textId="44B5C383" w:rsidR="0011334A" w:rsidRPr="00933DD9" w:rsidRDefault="0011334A">
            <w:pPr>
              <w:rPr>
                <w:rFonts w:ascii="Arial" w:hAnsi="Arial" w:cs="Arial"/>
                <w:sz w:val="24"/>
                <w:szCs w:val="24"/>
              </w:rPr>
            </w:pPr>
            <w:r>
              <w:rPr>
                <w:rFonts w:ascii="Arial" w:hAnsi="Arial" w:cs="Arial"/>
                <w:sz w:val="24"/>
                <w:szCs w:val="24"/>
              </w:rPr>
              <w:t>07.03.2024</w:t>
            </w:r>
          </w:p>
        </w:tc>
      </w:tr>
    </w:tbl>
    <w:p w14:paraId="5A813302" w14:textId="77777777" w:rsidR="00D0462B" w:rsidRPr="00D8752E" w:rsidRDefault="00D0462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50"/>
      </w:tblGrid>
      <w:tr w:rsidR="00320095" w:rsidRPr="00933DD9" w14:paraId="1C864CD9" w14:textId="77777777" w:rsidTr="00933DD9">
        <w:tc>
          <w:tcPr>
            <w:tcW w:w="4621" w:type="dxa"/>
            <w:shd w:val="clear" w:color="auto" w:fill="auto"/>
          </w:tcPr>
          <w:p w14:paraId="298ECA44"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4621" w:type="dxa"/>
            <w:shd w:val="clear" w:color="auto" w:fill="auto"/>
          </w:tcPr>
          <w:p w14:paraId="65F253D0" w14:textId="77777777" w:rsidR="00320095" w:rsidRPr="00933DD9" w:rsidRDefault="00320095">
            <w:pPr>
              <w:rPr>
                <w:rFonts w:ascii="Arial" w:hAnsi="Arial" w:cs="Arial"/>
                <w:sz w:val="24"/>
                <w:szCs w:val="24"/>
              </w:rPr>
            </w:pPr>
          </w:p>
        </w:tc>
      </w:tr>
      <w:tr w:rsidR="00320095" w:rsidRPr="00933DD9" w14:paraId="38753969" w14:textId="77777777" w:rsidTr="00933DD9">
        <w:tc>
          <w:tcPr>
            <w:tcW w:w="4621" w:type="dxa"/>
            <w:shd w:val="clear" w:color="auto" w:fill="auto"/>
          </w:tcPr>
          <w:p w14:paraId="673EE517" w14:textId="77777777" w:rsidR="004D12E8" w:rsidRPr="00933DD9" w:rsidRDefault="00320095">
            <w:pPr>
              <w:rPr>
                <w:rFonts w:ascii="Arial" w:hAnsi="Arial" w:cs="Arial"/>
                <w:sz w:val="24"/>
                <w:szCs w:val="24"/>
              </w:rPr>
            </w:pPr>
            <w:r w:rsidRPr="00933DD9">
              <w:rPr>
                <w:rFonts w:ascii="Arial" w:hAnsi="Arial" w:cs="Arial"/>
                <w:sz w:val="24"/>
                <w:szCs w:val="24"/>
              </w:rPr>
              <w:t>Name</w:t>
            </w:r>
          </w:p>
        </w:tc>
        <w:tc>
          <w:tcPr>
            <w:tcW w:w="4621" w:type="dxa"/>
            <w:shd w:val="clear" w:color="auto" w:fill="auto"/>
          </w:tcPr>
          <w:p w14:paraId="72E78F66" w14:textId="2C139EB4" w:rsidR="00320095" w:rsidRPr="00933DD9" w:rsidRDefault="00213C93">
            <w:pPr>
              <w:rPr>
                <w:rFonts w:ascii="Arial" w:hAnsi="Arial" w:cs="Arial"/>
                <w:sz w:val="24"/>
                <w:szCs w:val="24"/>
              </w:rPr>
            </w:pPr>
            <w:r>
              <w:rPr>
                <w:rFonts w:ascii="Arial" w:hAnsi="Arial" w:cs="Arial"/>
                <w:sz w:val="24"/>
                <w:szCs w:val="24"/>
              </w:rPr>
              <w:t>Zoe Morris</w:t>
            </w:r>
          </w:p>
        </w:tc>
      </w:tr>
      <w:tr w:rsidR="00320095" w:rsidRPr="00933DD9" w14:paraId="3AE37B13" w14:textId="77777777" w:rsidTr="00933DD9">
        <w:tc>
          <w:tcPr>
            <w:tcW w:w="4621" w:type="dxa"/>
            <w:shd w:val="clear" w:color="auto" w:fill="auto"/>
          </w:tcPr>
          <w:p w14:paraId="042846A4" w14:textId="77777777" w:rsidR="004D12E8" w:rsidRPr="00933DD9" w:rsidRDefault="00320095">
            <w:pPr>
              <w:rPr>
                <w:rFonts w:ascii="Arial" w:hAnsi="Arial" w:cs="Arial"/>
                <w:sz w:val="24"/>
                <w:szCs w:val="24"/>
              </w:rPr>
            </w:pPr>
            <w:r w:rsidRPr="00933DD9">
              <w:rPr>
                <w:rFonts w:ascii="Arial" w:hAnsi="Arial" w:cs="Arial"/>
                <w:sz w:val="24"/>
                <w:szCs w:val="24"/>
              </w:rPr>
              <w:t>Position</w:t>
            </w:r>
          </w:p>
        </w:tc>
        <w:tc>
          <w:tcPr>
            <w:tcW w:w="4621" w:type="dxa"/>
            <w:shd w:val="clear" w:color="auto" w:fill="auto"/>
          </w:tcPr>
          <w:p w14:paraId="182ABEB9" w14:textId="218829EE" w:rsidR="00320095" w:rsidRPr="00933DD9" w:rsidRDefault="00213C93">
            <w:pPr>
              <w:rPr>
                <w:rFonts w:ascii="Arial" w:hAnsi="Arial" w:cs="Arial"/>
                <w:sz w:val="24"/>
                <w:szCs w:val="24"/>
              </w:rPr>
            </w:pPr>
            <w:r>
              <w:rPr>
                <w:rFonts w:ascii="Arial" w:hAnsi="Arial" w:cs="Arial"/>
                <w:sz w:val="24"/>
                <w:szCs w:val="24"/>
              </w:rPr>
              <w:t>Principal Finance &amp; Commissioning Manager</w:t>
            </w:r>
          </w:p>
        </w:tc>
      </w:tr>
      <w:tr w:rsidR="00320095" w:rsidRPr="00933DD9" w14:paraId="59D747BA" w14:textId="77777777" w:rsidTr="00933DD9">
        <w:tc>
          <w:tcPr>
            <w:tcW w:w="4621" w:type="dxa"/>
            <w:shd w:val="clear" w:color="auto" w:fill="auto"/>
          </w:tcPr>
          <w:p w14:paraId="43F566C3" w14:textId="77777777" w:rsidR="00F5743B" w:rsidRPr="00933DD9" w:rsidRDefault="00320095">
            <w:pPr>
              <w:rPr>
                <w:rFonts w:ascii="Arial" w:hAnsi="Arial" w:cs="Arial"/>
                <w:sz w:val="24"/>
                <w:szCs w:val="24"/>
              </w:rPr>
            </w:pPr>
            <w:r w:rsidRPr="00933DD9">
              <w:rPr>
                <w:rFonts w:ascii="Arial" w:hAnsi="Arial" w:cs="Arial"/>
                <w:sz w:val="24"/>
                <w:szCs w:val="24"/>
              </w:rPr>
              <w:t>Telephone</w:t>
            </w:r>
          </w:p>
        </w:tc>
        <w:tc>
          <w:tcPr>
            <w:tcW w:w="4621" w:type="dxa"/>
            <w:shd w:val="clear" w:color="auto" w:fill="auto"/>
          </w:tcPr>
          <w:p w14:paraId="38741F08" w14:textId="77777777" w:rsidR="00320095" w:rsidRPr="00933DD9" w:rsidRDefault="00342A63">
            <w:pPr>
              <w:rPr>
                <w:rFonts w:ascii="Arial" w:hAnsi="Arial" w:cs="Arial"/>
                <w:sz w:val="24"/>
                <w:szCs w:val="24"/>
              </w:rPr>
            </w:pPr>
            <w:r>
              <w:rPr>
                <w:rFonts w:ascii="Arial" w:hAnsi="Arial" w:cs="Arial"/>
                <w:sz w:val="24"/>
                <w:szCs w:val="24"/>
              </w:rPr>
              <w:t>01633 642200</w:t>
            </w:r>
          </w:p>
        </w:tc>
      </w:tr>
      <w:tr w:rsidR="00320095" w:rsidRPr="00933DD9" w14:paraId="1B367CA3" w14:textId="77777777" w:rsidTr="00933DD9">
        <w:tc>
          <w:tcPr>
            <w:tcW w:w="4621" w:type="dxa"/>
            <w:shd w:val="clear" w:color="auto" w:fill="auto"/>
          </w:tcPr>
          <w:p w14:paraId="32E791E6" w14:textId="77777777" w:rsidR="00F5743B" w:rsidRPr="00933DD9" w:rsidRDefault="00320095">
            <w:pPr>
              <w:rPr>
                <w:rFonts w:ascii="Arial" w:hAnsi="Arial" w:cs="Arial"/>
                <w:sz w:val="24"/>
                <w:szCs w:val="24"/>
              </w:rPr>
            </w:pPr>
            <w:r w:rsidRPr="00933DD9">
              <w:rPr>
                <w:rFonts w:ascii="Arial" w:hAnsi="Arial" w:cs="Arial"/>
                <w:sz w:val="24"/>
                <w:szCs w:val="24"/>
              </w:rPr>
              <w:t>Email</w:t>
            </w:r>
          </w:p>
        </w:tc>
        <w:tc>
          <w:tcPr>
            <w:tcW w:w="4621" w:type="dxa"/>
            <w:shd w:val="clear" w:color="auto" w:fill="auto"/>
          </w:tcPr>
          <w:p w14:paraId="78D4EA89" w14:textId="5937CD28" w:rsidR="00342A63" w:rsidRPr="00933DD9" w:rsidRDefault="0011334A" w:rsidP="00320095">
            <w:pPr>
              <w:rPr>
                <w:rFonts w:ascii="Arial" w:hAnsi="Arial" w:cs="Arial"/>
                <w:sz w:val="24"/>
                <w:szCs w:val="24"/>
              </w:rPr>
            </w:pPr>
            <w:hyperlink r:id="rId11" w:history="1">
              <w:r w:rsidR="00213C93" w:rsidRPr="00FC1B7A">
                <w:rPr>
                  <w:rStyle w:val="Hyperlink"/>
                  <w:rFonts w:ascii="Arial" w:hAnsi="Arial" w:cs="Arial"/>
                  <w:sz w:val="24"/>
                  <w:szCs w:val="24"/>
                </w:rPr>
                <w:t>zoe.morris@gwent.police.uk</w:t>
              </w:r>
            </w:hyperlink>
          </w:p>
        </w:tc>
      </w:tr>
      <w:tr w:rsidR="00320095" w:rsidRPr="00933DD9" w14:paraId="017A1B44" w14:textId="77777777" w:rsidTr="00933DD9">
        <w:tc>
          <w:tcPr>
            <w:tcW w:w="4621" w:type="dxa"/>
            <w:shd w:val="clear" w:color="auto" w:fill="auto"/>
          </w:tcPr>
          <w:p w14:paraId="14583E3A" w14:textId="77777777" w:rsidR="004D12E8"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shd w:val="clear" w:color="auto" w:fill="auto"/>
          </w:tcPr>
          <w:p w14:paraId="1857F5B7" w14:textId="77777777" w:rsidR="00320095" w:rsidRPr="00933DD9" w:rsidRDefault="00FB7C33">
            <w:pPr>
              <w:rPr>
                <w:rFonts w:ascii="Arial" w:hAnsi="Arial" w:cs="Arial"/>
                <w:sz w:val="24"/>
                <w:szCs w:val="24"/>
              </w:rPr>
            </w:pPr>
            <w:r>
              <w:rPr>
                <w:rFonts w:ascii="Arial" w:hAnsi="Arial" w:cs="Arial"/>
                <w:sz w:val="24"/>
                <w:szCs w:val="24"/>
              </w:rPr>
              <w:t>PCC Community Fund Bids</w:t>
            </w:r>
          </w:p>
        </w:tc>
      </w:tr>
    </w:tbl>
    <w:p w14:paraId="4474B281"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3374" w14:textId="77777777" w:rsidR="00712382" w:rsidRDefault="00712382" w:rsidP="002E7BE6">
      <w:pPr>
        <w:spacing w:after="0" w:line="240" w:lineRule="auto"/>
      </w:pPr>
      <w:r>
        <w:separator/>
      </w:r>
    </w:p>
  </w:endnote>
  <w:endnote w:type="continuationSeparator" w:id="0">
    <w:p w14:paraId="1164BA4D" w14:textId="77777777" w:rsidR="00712382" w:rsidRDefault="00712382" w:rsidP="002E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DE8C" w14:textId="77777777" w:rsidR="00712382" w:rsidRDefault="00712382" w:rsidP="002E7BE6">
      <w:pPr>
        <w:spacing w:after="0" w:line="240" w:lineRule="auto"/>
      </w:pPr>
      <w:r>
        <w:separator/>
      </w:r>
    </w:p>
  </w:footnote>
  <w:footnote w:type="continuationSeparator" w:id="0">
    <w:p w14:paraId="1363A5E4" w14:textId="77777777" w:rsidR="00712382" w:rsidRDefault="00712382" w:rsidP="002E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5"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092753">
    <w:abstractNumId w:val="7"/>
  </w:num>
  <w:num w:numId="2" w16cid:durableId="1185635593">
    <w:abstractNumId w:val="8"/>
  </w:num>
  <w:num w:numId="3" w16cid:durableId="864711243">
    <w:abstractNumId w:val="6"/>
  </w:num>
  <w:num w:numId="4" w16cid:durableId="1432505683">
    <w:abstractNumId w:val="1"/>
  </w:num>
  <w:num w:numId="5" w16cid:durableId="626813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294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483075">
    <w:abstractNumId w:val="2"/>
  </w:num>
  <w:num w:numId="8" w16cid:durableId="162939790">
    <w:abstractNumId w:val="0"/>
  </w:num>
  <w:num w:numId="9" w16cid:durableId="615479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34BE3"/>
    <w:rsid w:val="000355D9"/>
    <w:rsid w:val="00055150"/>
    <w:rsid w:val="000617E5"/>
    <w:rsid w:val="00072E59"/>
    <w:rsid w:val="0008452F"/>
    <w:rsid w:val="00086F5D"/>
    <w:rsid w:val="001057CB"/>
    <w:rsid w:val="0011334A"/>
    <w:rsid w:val="00137C03"/>
    <w:rsid w:val="001647A5"/>
    <w:rsid w:val="0017034C"/>
    <w:rsid w:val="001740D8"/>
    <w:rsid w:val="00175C6D"/>
    <w:rsid w:val="001941C4"/>
    <w:rsid w:val="00197F7B"/>
    <w:rsid w:val="001B0F11"/>
    <w:rsid w:val="001C62BB"/>
    <w:rsid w:val="001C746B"/>
    <w:rsid w:val="001E7021"/>
    <w:rsid w:val="001F2E0F"/>
    <w:rsid w:val="00213C93"/>
    <w:rsid w:val="002166BD"/>
    <w:rsid w:val="0022238B"/>
    <w:rsid w:val="00242198"/>
    <w:rsid w:val="00244F3E"/>
    <w:rsid w:val="002625E0"/>
    <w:rsid w:val="0027438B"/>
    <w:rsid w:val="002918B1"/>
    <w:rsid w:val="0029195F"/>
    <w:rsid w:val="002A0B9A"/>
    <w:rsid w:val="002D39E9"/>
    <w:rsid w:val="002E7BE6"/>
    <w:rsid w:val="0030259C"/>
    <w:rsid w:val="00306E47"/>
    <w:rsid w:val="00320095"/>
    <w:rsid w:val="0033659B"/>
    <w:rsid w:val="00342A63"/>
    <w:rsid w:val="00352D07"/>
    <w:rsid w:val="00355998"/>
    <w:rsid w:val="003A0D05"/>
    <w:rsid w:val="003E2C02"/>
    <w:rsid w:val="003F02DF"/>
    <w:rsid w:val="003F6D85"/>
    <w:rsid w:val="00453DDB"/>
    <w:rsid w:val="0045450A"/>
    <w:rsid w:val="0045799C"/>
    <w:rsid w:val="00482DB5"/>
    <w:rsid w:val="004D12E8"/>
    <w:rsid w:val="004E3CEF"/>
    <w:rsid w:val="004F7A9B"/>
    <w:rsid w:val="005033D8"/>
    <w:rsid w:val="00523A31"/>
    <w:rsid w:val="00542CB1"/>
    <w:rsid w:val="00555ACF"/>
    <w:rsid w:val="00555C9B"/>
    <w:rsid w:val="0055678C"/>
    <w:rsid w:val="00565BD0"/>
    <w:rsid w:val="005729CD"/>
    <w:rsid w:val="00576A57"/>
    <w:rsid w:val="005C13A6"/>
    <w:rsid w:val="00621046"/>
    <w:rsid w:val="00650D65"/>
    <w:rsid w:val="0065164A"/>
    <w:rsid w:val="006607EA"/>
    <w:rsid w:val="0067439C"/>
    <w:rsid w:val="00711B93"/>
    <w:rsid w:val="00712382"/>
    <w:rsid w:val="00741E0F"/>
    <w:rsid w:val="007D2251"/>
    <w:rsid w:val="007E2A25"/>
    <w:rsid w:val="008055A0"/>
    <w:rsid w:val="00810511"/>
    <w:rsid w:val="00827D9F"/>
    <w:rsid w:val="00855B92"/>
    <w:rsid w:val="0086705B"/>
    <w:rsid w:val="00885510"/>
    <w:rsid w:val="00897CBD"/>
    <w:rsid w:val="008A5DD4"/>
    <w:rsid w:val="008A6228"/>
    <w:rsid w:val="008E0DBA"/>
    <w:rsid w:val="008F17DC"/>
    <w:rsid w:val="008F58A0"/>
    <w:rsid w:val="00900C97"/>
    <w:rsid w:val="00901E30"/>
    <w:rsid w:val="00913C81"/>
    <w:rsid w:val="00923CB9"/>
    <w:rsid w:val="00933DD9"/>
    <w:rsid w:val="00940C3B"/>
    <w:rsid w:val="00957775"/>
    <w:rsid w:val="009C1CDF"/>
    <w:rsid w:val="009D678F"/>
    <w:rsid w:val="00A04872"/>
    <w:rsid w:val="00A10E22"/>
    <w:rsid w:val="00A12C14"/>
    <w:rsid w:val="00A23C5E"/>
    <w:rsid w:val="00A25FB4"/>
    <w:rsid w:val="00A7617B"/>
    <w:rsid w:val="00A85DD6"/>
    <w:rsid w:val="00AD4D0E"/>
    <w:rsid w:val="00AE5242"/>
    <w:rsid w:val="00AF5AF4"/>
    <w:rsid w:val="00B02257"/>
    <w:rsid w:val="00B6168D"/>
    <w:rsid w:val="00B7684C"/>
    <w:rsid w:val="00BA56B5"/>
    <w:rsid w:val="00BD404E"/>
    <w:rsid w:val="00BD4AF4"/>
    <w:rsid w:val="00C13712"/>
    <w:rsid w:val="00C3660F"/>
    <w:rsid w:val="00C6659C"/>
    <w:rsid w:val="00CB6B33"/>
    <w:rsid w:val="00CD58A2"/>
    <w:rsid w:val="00CF39D5"/>
    <w:rsid w:val="00D025BD"/>
    <w:rsid w:val="00D0462B"/>
    <w:rsid w:val="00D152B6"/>
    <w:rsid w:val="00D2453A"/>
    <w:rsid w:val="00D31CC3"/>
    <w:rsid w:val="00D8752E"/>
    <w:rsid w:val="00DA1053"/>
    <w:rsid w:val="00DA2E4B"/>
    <w:rsid w:val="00DB41FC"/>
    <w:rsid w:val="00E2249C"/>
    <w:rsid w:val="00E31691"/>
    <w:rsid w:val="00E3356F"/>
    <w:rsid w:val="00E335BB"/>
    <w:rsid w:val="00E506F8"/>
    <w:rsid w:val="00E536AF"/>
    <w:rsid w:val="00E56EE4"/>
    <w:rsid w:val="00E622B8"/>
    <w:rsid w:val="00E66D42"/>
    <w:rsid w:val="00E80733"/>
    <w:rsid w:val="00E80C77"/>
    <w:rsid w:val="00EB3D34"/>
    <w:rsid w:val="00ED773A"/>
    <w:rsid w:val="00F0648A"/>
    <w:rsid w:val="00F0734B"/>
    <w:rsid w:val="00F22A16"/>
    <w:rsid w:val="00F4741F"/>
    <w:rsid w:val="00F5654C"/>
    <w:rsid w:val="00F5743B"/>
    <w:rsid w:val="00F62781"/>
    <w:rsid w:val="00F66EE6"/>
    <w:rsid w:val="00F7236A"/>
    <w:rsid w:val="00F97772"/>
    <w:rsid w:val="00FB1974"/>
    <w:rsid w:val="00FB581C"/>
    <w:rsid w:val="00FB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7CDE1B1"/>
  <w15:chartTrackingRefBased/>
  <w15:docId w15:val="{6F95B89C-8B7E-4437-96D7-2CF040B6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character" w:styleId="CommentReference">
    <w:name w:val="annotation reference"/>
    <w:uiPriority w:val="99"/>
    <w:semiHidden/>
    <w:unhideWhenUsed/>
    <w:rsid w:val="00342A63"/>
    <w:rPr>
      <w:sz w:val="16"/>
      <w:szCs w:val="16"/>
    </w:rPr>
  </w:style>
  <w:style w:type="paragraph" w:styleId="CommentText">
    <w:name w:val="annotation text"/>
    <w:basedOn w:val="Normal"/>
    <w:link w:val="CommentTextChar"/>
    <w:uiPriority w:val="99"/>
    <w:semiHidden/>
    <w:unhideWhenUsed/>
    <w:rsid w:val="00342A63"/>
    <w:rPr>
      <w:sz w:val="20"/>
      <w:szCs w:val="20"/>
    </w:rPr>
  </w:style>
  <w:style w:type="character" w:customStyle="1" w:styleId="CommentTextChar">
    <w:name w:val="Comment Text Char"/>
    <w:link w:val="CommentText"/>
    <w:uiPriority w:val="99"/>
    <w:semiHidden/>
    <w:rsid w:val="00342A63"/>
    <w:rPr>
      <w:lang w:eastAsia="en-US"/>
    </w:rPr>
  </w:style>
  <w:style w:type="paragraph" w:styleId="CommentSubject">
    <w:name w:val="annotation subject"/>
    <w:basedOn w:val="CommentText"/>
    <w:next w:val="CommentText"/>
    <w:link w:val="CommentSubjectChar"/>
    <w:uiPriority w:val="99"/>
    <w:semiHidden/>
    <w:unhideWhenUsed/>
    <w:rsid w:val="00342A63"/>
    <w:rPr>
      <w:b/>
      <w:bCs/>
    </w:rPr>
  </w:style>
  <w:style w:type="character" w:customStyle="1" w:styleId="CommentSubjectChar">
    <w:name w:val="Comment Subject Char"/>
    <w:link w:val="CommentSubject"/>
    <w:uiPriority w:val="99"/>
    <w:semiHidden/>
    <w:rsid w:val="00342A63"/>
    <w:rPr>
      <w:b/>
      <w:bCs/>
      <w:lang w:eastAsia="en-US"/>
    </w:rPr>
  </w:style>
  <w:style w:type="paragraph" w:styleId="BalloonText">
    <w:name w:val="Balloon Text"/>
    <w:basedOn w:val="Normal"/>
    <w:link w:val="BalloonTextChar"/>
    <w:uiPriority w:val="99"/>
    <w:semiHidden/>
    <w:unhideWhenUsed/>
    <w:rsid w:val="00342A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2A63"/>
    <w:rPr>
      <w:rFonts w:ascii="Segoe UI" w:hAnsi="Segoe UI" w:cs="Segoe UI"/>
      <w:sz w:val="18"/>
      <w:szCs w:val="18"/>
      <w:lang w:eastAsia="en-US"/>
    </w:rPr>
  </w:style>
  <w:style w:type="character" w:styleId="Hyperlink">
    <w:name w:val="Hyperlink"/>
    <w:uiPriority w:val="99"/>
    <w:unhideWhenUsed/>
    <w:rsid w:val="00342A63"/>
    <w:rPr>
      <w:color w:val="0563C1"/>
      <w:u w:val="single"/>
    </w:rPr>
  </w:style>
  <w:style w:type="paragraph" w:styleId="Header">
    <w:name w:val="header"/>
    <w:basedOn w:val="Normal"/>
    <w:link w:val="HeaderChar"/>
    <w:uiPriority w:val="99"/>
    <w:unhideWhenUsed/>
    <w:rsid w:val="002E7BE6"/>
    <w:pPr>
      <w:tabs>
        <w:tab w:val="center" w:pos="4513"/>
        <w:tab w:val="right" w:pos="9026"/>
      </w:tabs>
    </w:pPr>
  </w:style>
  <w:style w:type="character" w:customStyle="1" w:styleId="HeaderChar">
    <w:name w:val="Header Char"/>
    <w:link w:val="Header"/>
    <w:uiPriority w:val="99"/>
    <w:rsid w:val="002E7BE6"/>
    <w:rPr>
      <w:sz w:val="22"/>
      <w:szCs w:val="22"/>
      <w:lang w:eastAsia="en-US"/>
    </w:rPr>
  </w:style>
  <w:style w:type="paragraph" w:styleId="Footer">
    <w:name w:val="footer"/>
    <w:basedOn w:val="Normal"/>
    <w:link w:val="FooterChar"/>
    <w:uiPriority w:val="99"/>
    <w:unhideWhenUsed/>
    <w:rsid w:val="002E7BE6"/>
    <w:pPr>
      <w:tabs>
        <w:tab w:val="center" w:pos="4513"/>
        <w:tab w:val="right" w:pos="9026"/>
      </w:tabs>
    </w:pPr>
  </w:style>
  <w:style w:type="character" w:customStyle="1" w:styleId="FooterChar">
    <w:name w:val="Footer Char"/>
    <w:link w:val="Footer"/>
    <w:uiPriority w:val="99"/>
    <w:rsid w:val="002E7BE6"/>
    <w:rPr>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5C13A6"/>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5C13A6"/>
    <w:rPr>
      <w:sz w:val="22"/>
      <w:szCs w:val="22"/>
      <w:lang w:eastAsia="en-US"/>
    </w:rPr>
  </w:style>
  <w:style w:type="character" w:styleId="UnresolvedMention">
    <w:name w:val="Unresolved Mention"/>
    <w:uiPriority w:val="99"/>
    <w:semiHidden/>
    <w:unhideWhenUsed/>
    <w:rsid w:val="00810511"/>
    <w:rPr>
      <w:color w:val="605E5C"/>
      <w:shd w:val="clear" w:color="auto" w:fill="E1DFDD"/>
    </w:rPr>
  </w:style>
  <w:style w:type="paragraph" w:styleId="Revision">
    <w:name w:val="Revision"/>
    <w:hidden/>
    <w:uiPriority w:val="99"/>
    <w:semiHidden/>
    <w:rsid w:val="00197F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e.morris@gwent.police.uk"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6AE25-07BE-4729-BE5E-8EC63DCC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EE60D-281B-4627-B730-F40239C955CD}">
  <ds:schemaRefs>
    <ds:schemaRef ds:uri="http://schemas.microsoft.com/sharepoint/v3/contenttype/forms"/>
  </ds:schemaRefs>
</ds:datastoreItem>
</file>

<file path=customXml/itemProps3.xml><?xml version="1.0" encoding="utf-8"?>
<ds:datastoreItem xmlns:ds="http://schemas.openxmlformats.org/officeDocument/2006/customXml" ds:itemID="{A05D9D90-FA76-4DFF-9D65-14AE7B3D6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8065</CharactersWithSpaces>
  <SharedDoc>false</SharedDoc>
  <HLinks>
    <vt:vector size="6" baseType="variant">
      <vt:variant>
        <vt:i4>2555918</vt:i4>
      </vt:variant>
      <vt:variant>
        <vt:i4>0</vt:i4>
      </vt:variant>
      <vt:variant>
        <vt:i4>0</vt:i4>
      </vt:variant>
      <vt:variant>
        <vt:i4>5</vt:i4>
      </vt:variant>
      <vt:variant>
        <vt:lpwstr>mailto:Darren.garwood@gwent.police.uk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14:33:00</dc:description>
  <cp:lastModifiedBy>Warren, Nicola</cp:lastModifiedBy>
  <cp:revision>5</cp:revision>
  <dcterms:created xsi:type="dcterms:W3CDTF">2024-03-01T11:51:00Z</dcterms:created>
  <dcterms:modified xsi:type="dcterms:W3CDTF">2024-03-07T07:56:00Z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2022-02-25T09:28:39Z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d03e0c39-17fa-40ae-b4e4-1fc7984a3f8f</vt:lpwstr>
  </property>
  <property fmtid="{D5CDD505-2E9C-101B-9397-08002B2CF9AE}" pid="15" name="MSIP_Label_f2acd28b-79a3-4a0f-b0ff-4b75658b1549_ContentBits">
    <vt:lpwstr>0</vt:lpwstr>
  </property>
</Properties>
</file>