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41B5" w14:textId="7C4F6C52" w:rsidR="00724945" w:rsidRPr="00371FDB" w:rsidRDefault="00371FDB" w:rsidP="00724945">
      <w:pPr>
        <w:rPr>
          <w:rFonts w:ascii="Arial" w:hAnsi="Arial" w:cs="Arial"/>
          <w:b/>
          <w:sz w:val="24"/>
          <w:szCs w:val="24"/>
        </w:rPr>
      </w:pPr>
      <w:r w:rsidRPr="00371FDB">
        <w:rPr>
          <w:rFonts w:ascii="Arial" w:hAnsi="Arial" w:cs="Arial"/>
          <w:b/>
          <w:sz w:val="24"/>
          <w:szCs w:val="24"/>
        </w:rPr>
        <w:t xml:space="preserve">DECISION </w:t>
      </w:r>
      <w:r w:rsidRPr="00B76884">
        <w:rPr>
          <w:rFonts w:ascii="Arial" w:hAnsi="Arial" w:cs="Arial"/>
          <w:b/>
          <w:sz w:val="24"/>
          <w:szCs w:val="24"/>
        </w:rPr>
        <w:t>NUMBER: PCCG-202</w:t>
      </w:r>
      <w:r w:rsidR="00B76884" w:rsidRPr="00B76884">
        <w:rPr>
          <w:rFonts w:ascii="Arial" w:hAnsi="Arial" w:cs="Arial"/>
          <w:b/>
          <w:sz w:val="24"/>
          <w:szCs w:val="24"/>
        </w:rPr>
        <w:t>2</w:t>
      </w:r>
      <w:r w:rsidRPr="00B76884">
        <w:rPr>
          <w:rFonts w:ascii="Arial" w:hAnsi="Arial" w:cs="Arial"/>
          <w:b/>
          <w:sz w:val="24"/>
          <w:szCs w:val="24"/>
        </w:rPr>
        <w:t>-0</w:t>
      </w:r>
      <w:r w:rsidR="00B76884" w:rsidRPr="00B76884">
        <w:rPr>
          <w:rFonts w:ascii="Arial" w:hAnsi="Arial" w:cs="Arial"/>
          <w:b/>
          <w:sz w:val="24"/>
          <w:szCs w:val="24"/>
        </w:rPr>
        <w:t>11</w:t>
      </w:r>
    </w:p>
    <w:p w14:paraId="23377926"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222F69B8" w14:textId="2A0DCC17" w:rsidR="00D26302" w:rsidRPr="000C54E6" w:rsidRDefault="00D26302" w:rsidP="00467877">
      <w:pPr>
        <w:ind w:left="1440" w:hanging="1440"/>
        <w:rPr>
          <w:rFonts w:ascii="Arial" w:hAnsi="Arial" w:cs="Arial"/>
          <w:b/>
          <w:sz w:val="28"/>
          <w:szCs w:val="24"/>
        </w:rPr>
      </w:pPr>
      <w:r w:rsidRPr="00D26302">
        <w:rPr>
          <w:rFonts w:ascii="Arial" w:hAnsi="Arial" w:cs="Arial"/>
          <w:b/>
          <w:sz w:val="24"/>
          <w:szCs w:val="24"/>
        </w:rPr>
        <w:t>TITLE:</w:t>
      </w:r>
      <w:r w:rsidR="00467877">
        <w:rPr>
          <w:rFonts w:ascii="Arial" w:hAnsi="Arial" w:cs="Arial"/>
          <w:b/>
          <w:sz w:val="24"/>
          <w:szCs w:val="24"/>
        </w:rPr>
        <w:tab/>
      </w:r>
      <w:r w:rsidR="000C54E6">
        <w:rPr>
          <w:rFonts w:ascii="Arial" w:hAnsi="Arial" w:cs="Arial"/>
          <w:b/>
          <w:sz w:val="24"/>
          <w:szCs w:val="24"/>
        </w:rPr>
        <w:t xml:space="preserve">Office of the Police and Crime Commissioner for Gwent </w:t>
      </w:r>
      <w:r w:rsidR="000C54E6" w:rsidRPr="000C54E6">
        <w:rPr>
          <w:rFonts w:ascii="Arial" w:hAnsi="Arial" w:cs="Arial"/>
          <w:b/>
          <w:sz w:val="24"/>
        </w:rPr>
        <w:t>Freedom o</w:t>
      </w:r>
      <w:r w:rsidR="00371FDB">
        <w:rPr>
          <w:rFonts w:ascii="Arial" w:hAnsi="Arial" w:cs="Arial"/>
          <w:b/>
          <w:sz w:val="24"/>
        </w:rPr>
        <w:t>f Information Annual Report 20</w:t>
      </w:r>
      <w:r w:rsidR="00467877">
        <w:rPr>
          <w:rFonts w:ascii="Arial" w:hAnsi="Arial" w:cs="Arial"/>
          <w:b/>
          <w:sz w:val="24"/>
        </w:rPr>
        <w:t>2</w:t>
      </w:r>
      <w:r w:rsidR="00132AA2">
        <w:rPr>
          <w:rFonts w:ascii="Arial" w:hAnsi="Arial" w:cs="Arial"/>
          <w:b/>
          <w:sz w:val="24"/>
        </w:rPr>
        <w:t>1</w:t>
      </w:r>
      <w:r w:rsidR="00371FDB">
        <w:rPr>
          <w:rFonts w:ascii="Arial" w:hAnsi="Arial" w:cs="Arial"/>
          <w:b/>
          <w:sz w:val="24"/>
        </w:rPr>
        <w:t>/2</w:t>
      </w:r>
      <w:r w:rsidR="00132AA2">
        <w:rPr>
          <w:rFonts w:ascii="Arial" w:hAnsi="Arial" w:cs="Arial"/>
          <w:b/>
          <w:sz w:val="24"/>
        </w:rPr>
        <w:t>2</w:t>
      </w:r>
    </w:p>
    <w:p w14:paraId="0FF77331" w14:textId="798F1CB6" w:rsidR="00BC5418" w:rsidRDefault="00BC5418" w:rsidP="00467877">
      <w:pPr>
        <w:ind w:left="1418" w:hanging="1418"/>
        <w:rPr>
          <w:rFonts w:ascii="Arial" w:hAnsi="Arial" w:cs="Arial"/>
          <w:b/>
          <w:sz w:val="24"/>
          <w:szCs w:val="24"/>
        </w:rPr>
      </w:pPr>
      <w:r>
        <w:rPr>
          <w:rFonts w:ascii="Arial" w:hAnsi="Arial" w:cs="Arial"/>
          <w:b/>
          <w:sz w:val="24"/>
          <w:szCs w:val="24"/>
        </w:rPr>
        <w:t>DATE</w:t>
      </w:r>
      <w:r w:rsidR="00467877">
        <w:rPr>
          <w:rFonts w:ascii="Arial" w:hAnsi="Arial" w:cs="Arial"/>
          <w:b/>
          <w:sz w:val="24"/>
          <w:szCs w:val="24"/>
        </w:rPr>
        <w:t>:</w:t>
      </w:r>
      <w:r w:rsidR="00467877">
        <w:rPr>
          <w:rFonts w:ascii="Arial" w:hAnsi="Arial" w:cs="Arial"/>
          <w:b/>
          <w:sz w:val="24"/>
          <w:szCs w:val="24"/>
        </w:rPr>
        <w:tab/>
      </w:r>
      <w:r w:rsidR="0059744C">
        <w:rPr>
          <w:rFonts w:ascii="Arial" w:hAnsi="Arial" w:cs="Arial"/>
          <w:b/>
          <w:sz w:val="24"/>
          <w:szCs w:val="24"/>
        </w:rPr>
        <w:t>May</w:t>
      </w:r>
      <w:r w:rsidR="00032144">
        <w:rPr>
          <w:rFonts w:ascii="Arial" w:hAnsi="Arial" w:cs="Arial"/>
          <w:b/>
          <w:sz w:val="24"/>
          <w:szCs w:val="24"/>
        </w:rPr>
        <w:t xml:space="preserve"> </w:t>
      </w:r>
      <w:r w:rsidR="00467877">
        <w:rPr>
          <w:rFonts w:ascii="Arial" w:hAnsi="Arial" w:cs="Arial"/>
          <w:b/>
          <w:sz w:val="24"/>
          <w:szCs w:val="24"/>
        </w:rPr>
        <w:t>202</w:t>
      </w:r>
      <w:r w:rsidR="00132AA2">
        <w:rPr>
          <w:rFonts w:ascii="Arial" w:hAnsi="Arial" w:cs="Arial"/>
          <w:b/>
          <w:sz w:val="24"/>
          <w:szCs w:val="24"/>
        </w:rPr>
        <w:t>2</w:t>
      </w:r>
    </w:p>
    <w:p w14:paraId="230ACCE2"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TIMING:</w:t>
      </w:r>
      <w:r w:rsidR="00467877">
        <w:rPr>
          <w:rFonts w:ascii="Arial" w:hAnsi="Arial" w:cs="Arial"/>
          <w:b/>
          <w:sz w:val="24"/>
          <w:szCs w:val="24"/>
        </w:rPr>
        <w:tab/>
      </w:r>
      <w:r w:rsidR="000C54E6" w:rsidRPr="0028549D">
        <w:rPr>
          <w:rFonts w:ascii="Arial" w:hAnsi="Arial" w:cs="Arial"/>
          <w:b/>
          <w:sz w:val="24"/>
          <w:szCs w:val="24"/>
        </w:rPr>
        <w:t>Annual</w:t>
      </w:r>
    </w:p>
    <w:p w14:paraId="7062C8C6" w14:textId="77777777" w:rsidR="00BC5418" w:rsidRDefault="00BC5418" w:rsidP="00BC5418">
      <w:pPr>
        <w:spacing w:after="0" w:line="240" w:lineRule="auto"/>
        <w:jc w:val="both"/>
        <w:rPr>
          <w:rFonts w:ascii="Arial" w:hAnsi="Arial" w:cs="Arial"/>
          <w:i/>
          <w:szCs w:val="24"/>
        </w:rPr>
      </w:pPr>
    </w:p>
    <w:p w14:paraId="18BD497F" w14:textId="5ABA19E2" w:rsidR="00BC5418" w:rsidRPr="00936558" w:rsidRDefault="00BC5418" w:rsidP="00BC5418">
      <w:pPr>
        <w:spacing w:after="0" w:line="240" w:lineRule="auto"/>
        <w:jc w:val="both"/>
        <w:rPr>
          <w:rFonts w:cs="Arial"/>
          <w:sz w:val="24"/>
          <w:szCs w:val="24"/>
        </w:rPr>
      </w:pPr>
      <w:r w:rsidRPr="00BC5418">
        <w:rPr>
          <w:rFonts w:ascii="Arial" w:hAnsi="Arial" w:cs="Arial"/>
          <w:b/>
          <w:sz w:val="24"/>
          <w:szCs w:val="24"/>
        </w:rPr>
        <w:t>PURPOSE:</w:t>
      </w:r>
      <w:r w:rsidR="00467877">
        <w:rPr>
          <w:rFonts w:ascii="Arial" w:hAnsi="Arial" w:cs="Arial"/>
          <w:b/>
          <w:sz w:val="24"/>
          <w:szCs w:val="24"/>
        </w:rPr>
        <w:tab/>
      </w:r>
      <w:r w:rsidR="000C54E6">
        <w:rPr>
          <w:rFonts w:ascii="Arial" w:hAnsi="Arial" w:cs="Arial"/>
          <w:b/>
          <w:sz w:val="24"/>
        </w:rPr>
        <w:t xml:space="preserve">For </w:t>
      </w:r>
      <w:r w:rsidR="0059744C">
        <w:rPr>
          <w:rFonts w:ascii="Arial" w:hAnsi="Arial" w:cs="Arial"/>
          <w:b/>
          <w:sz w:val="24"/>
        </w:rPr>
        <w:t>Approval</w:t>
      </w:r>
    </w:p>
    <w:p w14:paraId="30B94077"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510"/>
      </w:tblGrid>
      <w:tr w:rsidR="00D26302" w:rsidRPr="00055BFA" w14:paraId="3B398C8A" w14:textId="77777777" w:rsidTr="0028549D">
        <w:tc>
          <w:tcPr>
            <w:tcW w:w="534" w:type="dxa"/>
            <w:shd w:val="clear" w:color="auto" w:fill="auto"/>
          </w:tcPr>
          <w:p w14:paraId="4DEAD8F7"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28549D">
              <w:rPr>
                <w:rFonts w:ascii="Arial" w:hAnsi="Arial" w:cs="Arial"/>
                <w:b/>
                <w:sz w:val="24"/>
                <w:szCs w:val="24"/>
              </w:rPr>
              <w:t>.</w:t>
            </w:r>
          </w:p>
        </w:tc>
        <w:tc>
          <w:tcPr>
            <w:tcW w:w="8752" w:type="dxa"/>
            <w:shd w:val="clear" w:color="auto" w:fill="auto"/>
          </w:tcPr>
          <w:p w14:paraId="45925D5D" w14:textId="77777777" w:rsidR="00D26302" w:rsidRPr="00055BFA" w:rsidRDefault="00D26302" w:rsidP="006633F7">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1B148643" w14:textId="5E70F061" w:rsidR="00936558" w:rsidRDefault="00284E7D" w:rsidP="00284E7D">
            <w:pPr>
              <w:spacing w:after="0"/>
              <w:jc w:val="both"/>
              <w:rPr>
                <w:rFonts w:ascii="Arial" w:hAnsi="Arial" w:cs="Arial"/>
                <w:sz w:val="24"/>
              </w:rPr>
            </w:pPr>
            <w:r w:rsidRPr="006633F7">
              <w:rPr>
                <w:rFonts w:ascii="Arial" w:hAnsi="Arial" w:cs="Arial"/>
                <w:sz w:val="24"/>
              </w:rPr>
              <w:t xml:space="preserve">That the Police and Crime Commissioner for Gwent </w:t>
            </w:r>
            <w:r w:rsidR="00185283">
              <w:rPr>
                <w:rFonts w:ascii="Arial" w:hAnsi="Arial" w:cs="Arial"/>
                <w:sz w:val="24"/>
              </w:rPr>
              <w:t>monitors</w:t>
            </w:r>
            <w:r w:rsidRPr="006633F7">
              <w:rPr>
                <w:rFonts w:ascii="Arial" w:hAnsi="Arial" w:cs="Arial"/>
                <w:sz w:val="24"/>
              </w:rPr>
              <w:t xml:space="preserve"> the performance of his office</w:t>
            </w:r>
            <w:r w:rsidR="007D4B9D">
              <w:rPr>
                <w:rFonts w:ascii="Arial" w:hAnsi="Arial" w:cs="Arial"/>
                <w:sz w:val="24"/>
              </w:rPr>
              <w:t xml:space="preserve"> during 20</w:t>
            </w:r>
            <w:r w:rsidR="00467877">
              <w:rPr>
                <w:rFonts w:ascii="Arial" w:hAnsi="Arial" w:cs="Arial"/>
                <w:sz w:val="24"/>
              </w:rPr>
              <w:t>2</w:t>
            </w:r>
            <w:r w:rsidR="00132AA2">
              <w:rPr>
                <w:rFonts w:ascii="Arial" w:hAnsi="Arial" w:cs="Arial"/>
                <w:sz w:val="24"/>
              </w:rPr>
              <w:t>1</w:t>
            </w:r>
            <w:r w:rsidR="007D4B9D">
              <w:rPr>
                <w:rFonts w:ascii="Arial" w:hAnsi="Arial" w:cs="Arial"/>
                <w:sz w:val="24"/>
              </w:rPr>
              <w:t>/</w:t>
            </w:r>
            <w:r w:rsidR="006233D5">
              <w:rPr>
                <w:rFonts w:ascii="Arial" w:hAnsi="Arial" w:cs="Arial"/>
                <w:sz w:val="24"/>
              </w:rPr>
              <w:t>20</w:t>
            </w:r>
            <w:r w:rsidR="007D4B9D">
              <w:rPr>
                <w:rFonts w:ascii="Arial" w:hAnsi="Arial" w:cs="Arial"/>
                <w:sz w:val="24"/>
              </w:rPr>
              <w:t>2</w:t>
            </w:r>
            <w:r w:rsidR="00132AA2">
              <w:rPr>
                <w:rFonts w:ascii="Arial" w:hAnsi="Arial" w:cs="Arial"/>
                <w:sz w:val="24"/>
              </w:rPr>
              <w:t>2</w:t>
            </w:r>
            <w:r w:rsidRPr="006633F7">
              <w:rPr>
                <w:rFonts w:ascii="Arial" w:hAnsi="Arial" w:cs="Arial"/>
                <w:sz w:val="24"/>
              </w:rPr>
              <w:t xml:space="preserve"> </w:t>
            </w:r>
            <w:r w:rsidR="00185283">
              <w:rPr>
                <w:rFonts w:ascii="Arial" w:hAnsi="Arial" w:cs="Arial"/>
                <w:sz w:val="24"/>
              </w:rPr>
              <w:t>in relation to</w:t>
            </w:r>
            <w:r w:rsidRPr="006633F7">
              <w:rPr>
                <w:rFonts w:ascii="Arial" w:hAnsi="Arial" w:cs="Arial"/>
                <w:sz w:val="24"/>
              </w:rPr>
              <w:t xml:space="preserve"> </w:t>
            </w:r>
            <w:r w:rsidR="001D167B">
              <w:rPr>
                <w:rFonts w:ascii="Arial" w:hAnsi="Arial" w:cs="Arial"/>
                <w:sz w:val="24"/>
              </w:rPr>
              <w:t xml:space="preserve">our statutory duties under </w:t>
            </w:r>
            <w:r w:rsidRPr="006633F7">
              <w:rPr>
                <w:rFonts w:ascii="Arial" w:hAnsi="Arial" w:cs="Arial"/>
                <w:sz w:val="24"/>
              </w:rPr>
              <w:t>the Freedom of Information Act 200</w:t>
            </w:r>
            <w:r w:rsidR="006633F7">
              <w:rPr>
                <w:rFonts w:ascii="Arial" w:hAnsi="Arial" w:cs="Arial"/>
                <w:sz w:val="24"/>
              </w:rPr>
              <w:t>0</w:t>
            </w:r>
            <w:r w:rsidR="00DD159E">
              <w:rPr>
                <w:rFonts w:ascii="Arial" w:hAnsi="Arial" w:cs="Arial"/>
                <w:sz w:val="24"/>
              </w:rPr>
              <w:t xml:space="preserve"> (FOIA)</w:t>
            </w:r>
            <w:r w:rsidRPr="006633F7">
              <w:rPr>
                <w:rFonts w:ascii="Arial" w:hAnsi="Arial" w:cs="Arial"/>
                <w:sz w:val="24"/>
              </w:rPr>
              <w:t>.</w:t>
            </w:r>
          </w:p>
          <w:p w14:paraId="7D6F8B22" w14:textId="77777777" w:rsidR="006633F7" w:rsidRPr="00284E7D" w:rsidRDefault="006633F7" w:rsidP="00284E7D">
            <w:pPr>
              <w:spacing w:after="0"/>
              <w:jc w:val="both"/>
              <w:rPr>
                <w:rFonts w:ascii="Arial" w:hAnsi="Arial" w:cs="Arial"/>
                <w:sz w:val="24"/>
                <w:szCs w:val="24"/>
              </w:rPr>
            </w:pPr>
          </w:p>
        </w:tc>
      </w:tr>
      <w:tr w:rsidR="00D26302" w:rsidRPr="00055BFA" w14:paraId="46DF4184" w14:textId="77777777" w:rsidTr="0028549D">
        <w:tc>
          <w:tcPr>
            <w:tcW w:w="534" w:type="dxa"/>
            <w:shd w:val="clear" w:color="auto" w:fill="auto"/>
          </w:tcPr>
          <w:p w14:paraId="29D16745"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28549D">
              <w:rPr>
                <w:rFonts w:ascii="Arial" w:hAnsi="Arial" w:cs="Arial"/>
                <w:b/>
                <w:sz w:val="24"/>
                <w:szCs w:val="24"/>
              </w:rPr>
              <w:t>.</w:t>
            </w:r>
          </w:p>
        </w:tc>
        <w:tc>
          <w:tcPr>
            <w:tcW w:w="8752" w:type="dxa"/>
            <w:shd w:val="clear" w:color="auto" w:fill="auto"/>
          </w:tcPr>
          <w:p w14:paraId="61739370" w14:textId="77777777" w:rsidR="00D26302" w:rsidRPr="001B4232" w:rsidRDefault="00D26302" w:rsidP="009E19DB">
            <w:pPr>
              <w:spacing w:after="0"/>
              <w:jc w:val="both"/>
              <w:rPr>
                <w:rFonts w:ascii="Arial" w:hAnsi="Arial" w:cs="Arial"/>
                <w:b/>
                <w:sz w:val="24"/>
                <w:szCs w:val="24"/>
                <w:u w:val="single"/>
              </w:rPr>
            </w:pPr>
            <w:r w:rsidRPr="001B4232">
              <w:rPr>
                <w:rFonts w:ascii="Arial" w:hAnsi="Arial" w:cs="Arial"/>
                <w:b/>
                <w:sz w:val="24"/>
                <w:szCs w:val="24"/>
                <w:u w:val="single"/>
              </w:rPr>
              <w:t>INTRODUCTION &amp; BACKGROUN</w:t>
            </w:r>
            <w:r w:rsidR="009E19DB" w:rsidRPr="001B4232">
              <w:rPr>
                <w:rFonts w:ascii="Arial" w:hAnsi="Arial" w:cs="Arial"/>
                <w:b/>
                <w:sz w:val="24"/>
                <w:szCs w:val="24"/>
                <w:u w:val="single"/>
              </w:rPr>
              <w:t>D</w:t>
            </w:r>
          </w:p>
          <w:p w14:paraId="29EC1392" w14:textId="77777777" w:rsidR="008C7685" w:rsidRPr="001B4232" w:rsidRDefault="008C7685" w:rsidP="009E19DB">
            <w:pPr>
              <w:spacing w:after="0"/>
              <w:jc w:val="both"/>
              <w:rPr>
                <w:rFonts w:ascii="Arial" w:hAnsi="Arial" w:cs="Arial"/>
                <w:sz w:val="24"/>
                <w:szCs w:val="24"/>
              </w:rPr>
            </w:pPr>
            <w:r w:rsidRPr="001B4232">
              <w:rPr>
                <w:rFonts w:ascii="Arial" w:hAnsi="Arial" w:cs="Arial"/>
                <w:sz w:val="24"/>
                <w:szCs w:val="24"/>
              </w:rPr>
              <w:t>The FOIA provide</w:t>
            </w:r>
            <w:r w:rsidR="00A02601" w:rsidRPr="001B4232">
              <w:rPr>
                <w:rFonts w:ascii="Arial" w:hAnsi="Arial" w:cs="Arial"/>
                <w:sz w:val="24"/>
                <w:szCs w:val="24"/>
              </w:rPr>
              <w:t>s</w:t>
            </w:r>
            <w:r w:rsidRPr="001B4232">
              <w:rPr>
                <w:rFonts w:ascii="Arial" w:hAnsi="Arial" w:cs="Arial"/>
                <w:sz w:val="24"/>
                <w:szCs w:val="24"/>
              </w:rPr>
              <w:t xml:space="preserve"> access to information held by public authorities.  Under the FOIA</w:t>
            </w:r>
            <w:r w:rsidR="001F6741" w:rsidRPr="001B4232">
              <w:rPr>
                <w:rFonts w:ascii="Arial" w:hAnsi="Arial" w:cs="Arial"/>
                <w:sz w:val="24"/>
                <w:szCs w:val="24"/>
              </w:rPr>
              <w:t>,</w:t>
            </w:r>
            <w:r w:rsidRPr="001B4232">
              <w:rPr>
                <w:rFonts w:ascii="Arial" w:hAnsi="Arial" w:cs="Arial"/>
                <w:sz w:val="24"/>
                <w:szCs w:val="24"/>
              </w:rPr>
              <w:t xml:space="preserve"> public authorities are obliged to publish certain information about their activities, this is referre</w:t>
            </w:r>
            <w:r w:rsidR="001F6741" w:rsidRPr="001B4232">
              <w:rPr>
                <w:rFonts w:ascii="Arial" w:hAnsi="Arial" w:cs="Arial"/>
                <w:sz w:val="24"/>
                <w:szCs w:val="24"/>
              </w:rPr>
              <w:t>d to as a Publication Scheme.  M</w:t>
            </w:r>
            <w:r w:rsidRPr="001B4232">
              <w:rPr>
                <w:rFonts w:ascii="Arial" w:hAnsi="Arial" w:cs="Arial"/>
                <w:sz w:val="24"/>
                <w:szCs w:val="24"/>
              </w:rPr>
              <w:t xml:space="preserve">embers of the public are </w:t>
            </w:r>
            <w:r w:rsidR="001F6741" w:rsidRPr="001B4232">
              <w:rPr>
                <w:rFonts w:ascii="Arial" w:hAnsi="Arial" w:cs="Arial"/>
                <w:sz w:val="24"/>
                <w:szCs w:val="24"/>
              </w:rPr>
              <w:t xml:space="preserve">also </w:t>
            </w:r>
            <w:r w:rsidRPr="001B4232">
              <w:rPr>
                <w:rFonts w:ascii="Arial" w:hAnsi="Arial" w:cs="Arial"/>
                <w:sz w:val="24"/>
                <w:szCs w:val="24"/>
              </w:rPr>
              <w:t xml:space="preserve">entitled to request any recorded information held by them.  </w:t>
            </w:r>
          </w:p>
          <w:p w14:paraId="60B78062" w14:textId="77777777" w:rsidR="001F6741" w:rsidRPr="001B4232" w:rsidRDefault="001F6741" w:rsidP="009E19DB">
            <w:pPr>
              <w:spacing w:after="0"/>
              <w:jc w:val="both"/>
              <w:rPr>
                <w:rFonts w:ascii="Arial" w:hAnsi="Arial" w:cs="Arial"/>
                <w:sz w:val="24"/>
                <w:szCs w:val="24"/>
              </w:rPr>
            </w:pPr>
          </w:p>
          <w:p w14:paraId="7AC52037" w14:textId="77777777" w:rsidR="008C7685" w:rsidRPr="001B4232" w:rsidRDefault="00A02601" w:rsidP="009E19DB">
            <w:pPr>
              <w:spacing w:after="0"/>
              <w:jc w:val="both"/>
              <w:rPr>
                <w:rFonts w:ascii="Arial" w:hAnsi="Arial" w:cs="Arial"/>
                <w:sz w:val="24"/>
                <w:szCs w:val="24"/>
              </w:rPr>
            </w:pPr>
            <w:r w:rsidRPr="001B4232">
              <w:rPr>
                <w:rFonts w:ascii="Arial" w:hAnsi="Arial" w:cs="Arial"/>
                <w:sz w:val="24"/>
                <w:szCs w:val="24"/>
              </w:rPr>
              <w:t>T</w:t>
            </w:r>
            <w:r w:rsidR="006B70A4" w:rsidRPr="001B4232">
              <w:rPr>
                <w:rFonts w:ascii="Arial" w:hAnsi="Arial" w:cs="Arial"/>
                <w:sz w:val="24"/>
                <w:szCs w:val="24"/>
              </w:rPr>
              <w:t xml:space="preserve">he FOIA </w:t>
            </w:r>
            <w:r w:rsidRPr="001B4232">
              <w:rPr>
                <w:rFonts w:ascii="Arial" w:hAnsi="Arial" w:cs="Arial"/>
                <w:sz w:val="24"/>
                <w:szCs w:val="24"/>
              </w:rPr>
              <w:t xml:space="preserve">states </w:t>
            </w:r>
            <w:r w:rsidR="006B70A4" w:rsidRPr="001B4232">
              <w:rPr>
                <w:rFonts w:ascii="Arial" w:hAnsi="Arial" w:cs="Arial"/>
                <w:sz w:val="24"/>
                <w:szCs w:val="24"/>
              </w:rPr>
              <w:t>that disclosure of information should be the default and only kept private when there is a good reason.</w:t>
            </w:r>
          </w:p>
          <w:p w14:paraId="7771DE68" w14:textId="77777777" w:rsidR="006633F7" w:rsidRPr="00132AA2" w:rsidRDefault="006633F7" w:rsidP="009E19DB">
            <w:pPr>
              <w:spacing w:after="0"/>
              <w:jc w:val="both"/>
              <w:rPr>
                <w:rFonts w:ascii="Arial" w:hAnsi="Arial" w:cs="Arial"/>
                <w:sz w:val="24"/>
                <w:szCs w:val="24"/>
                <w:highlight w:val="yellow"/>
              </w:rPr>
            </w:pPr>
          </w:p>
          <w:p w14:paraId="666E2282" w14:textId="5E928793" w:rsidR="006633F7" w:rsidRPr="001B4232" w:rsidRDefault="007D4B9D" w:rsidP="009E19DB">
            <w:pPr>
              <w:spacing w:after="0"/>
              <w:jc w:val="both"/>
              <w:rPr>
                <w:rFonts w:ascii="Arial" w:hAnsi="Arial" w:cs="Arial"/>
                <w:sz w:val="24"/>
                <w:szCs w:val="24"/>
              </w:rPr>
            </w:pPr>
            <w:r w:rsidRPr="001B4232">
              <w:rPr>
                <w:rFonts w:ascii="Arial" w:hAnsi="Arial" w:cs="Arial"/>
                <w:sz w:val="24"/>
                <w:szCs w:val="24"/>
              </w:rPr>
              <w:t>During 20</w:t>
            </w:r>
            <w:r w:rsidR="005F7921" w:rsidRPr="001B4232">
              <w:rPr>
                <w:rFonts w:ascii="Arial" w:hAnsi="Arial" w:cs="Arial"/>
                <w:sz w:val="24"/>
                <w:szCs w:val="24"/>
              </w:rPr>
              <w:t>2</w:t>
            </w:r>
            <w:r w:rsidR="001B4232" w:rsidRPr="001B4232">
              <w:rPr>
                <w:rFonts w:ascii="Arial" w:hAnsi="Arial" w:cs="Arial"/>
                <w:sz w:val="24"/>
                <w:szCs w:val="24"/>
              </w:rPr>
              <w:t>1</w:t>
            </w:r>
            <w:r w:rsidRPr="001B4232">
              <w:rPr>
                <w:rFonts w:ascii="Arial" w:hAnsi="Arial" w:cs="Arial"/>
                <w:sz w:val="24"/>
                <w:szCs w:val="24"/>
              </w:rPr>
              <w:t>/2</w:t>
            </w:r>
            <w:r w:rsidR="001B4232" w:rsidRPr="001B4232">
              <w:rPr>
                <w:rFonts w:ascii="Arial" w:hAnsi="Arial" w:cs="Arial"/>
                <w:sz w:val="24"/>
                <w:szCs w:val="24"/>
              </w:rPr>
              <w:t>2</w:t>
            </w:r>
            <w:r w:rsidR="00D96DE6" w:rsidRPr="001B4232">
              <w:rPr>
                <w:rFonts w:ascii="Arial" w:hAnsi="Arial" w:cs="Arial"/>
                <w:sz w:val="24"/>
                <w:szCs w:val="24"/>
              </w:rPr>
              <w:t xml:space="preserve"> </w:t>
            </w:r>
            <w:r w:rsidRPr="001B4232">
              <w:rPr>
                <w:rFonts w:ascii="Arial" w:hAnsi="Arial" w:cs="Arial"/>
                <w:sz w:val="24"/>
                <w:szCs w:val="24"/>
              </w:rPr>
              <w:t>FOI</w:t>
            </w:r>
            <w:r w:rsidR="00DB31C5" w:rsidRPr="001B4232">
              <w:rPr>
                <w:rFonts w:ascii="Arial" w:hAnsi="Arial" w:cs="Arial"/>
                <w:sz w:val="24"/>
                <w:szCs w:val="24"/>
              </w:rPr>
              <w:t>A</w:t>
            </w:r>
            <w:r w:rsidRPr="001B4232">
              <w:rPr>
                <w:rFonts w:ascii="Arial" w:hAnsi="Arial" w:cs="Arial"/>
                <w:sz w:val="24"/>
                <w:szCs w:val="24"/>
              </w:rPr>
              <w:t xml:space="preserve"> requests were handled by the Governance Officer</w:t>
            </w:r>
            <w:r w:rsidR="00444CC2" w:rsidRPr="001B4232">
              <w:rPr>
                <w:rFonts w:ascii="Arial" w:hAnsi="Arial" w:cs="Arial"/>
                <w:sz w:val="24"/>
                <w:szCs w:val="24"/>
              </w:rPr>
              <w:t xml:space="preserve"> (GO)</w:t>
            </w:r>
            <w:r w:rsidRPr="001B4232">
              <w:rPr>
                <w:rFonts w:ascii="Arial" w:hAnsi="Arial" w:cs="Arial"/>
                <w:sz w:val="24"/>
                <w:szCs w:val="24"/>
              </w:rPr>
              <w:t xml:space="preserve"> with approval for requests provided by the Head of Assurance and Compliance (HoAC).</w:t>
            </w:r>
            <w:r w:rsidR="001B4232" w:rsidRPr="001B4232">
              <w:rPr>
                <w:rFonts w:ascii="Arial" w:hAnsi="Arial" w:cs="Arial"/>
                <w:sz w:val="24"/>
                <w:szCs w:val="24"/>
              </w:rPr>
              <w:t xml:space="preserve">  The Head of Communications and Engagement was also sighted on all </w:t>
            </w:r>
            <w:r w:rsidR="00D21043">
              <w:rPr>
                <w:rFonts w:ascii="Arial" w:hAnsi="Arial" w:cs="Arial"/>
                <w:sz w:val="24"/>
                <w:szCs w:val="24"/>
              </w:rPr>
              <w:t>request</w:t>
            </w:r>
            <w:r w:rsidR="00D21043" w:rsidRPr="001B4232">
              <w:rPr>
                <w:rFonts w:ascii="Arial" w:hAnsi="Arial" w:cs="Arial"/>
                <w:sz w:val="24"/>
                <w:szCs w:val="24"/>
              </w:rPr>
              <w:t xml:space="preserve">s </w:t>
            </w:r>
            <w:r w:rsidR="001B4232" w:rsidRPr="001B4232">
              <w:rPr>
                <w:rFonts w:ascii="Arial" w:hAnsi="Arial" w:cs="Arial"/>
                <w:sz w:val="24"/>
                <w:szCs w:val="24"/>
              </w:rPr>
              <w:t xml:space="preserve">in order to determine if any information </w:t>
            </w:r>
            <w:r w:rsidR="00D21043">
              <w:rPr>
                <w:rFonts w:ascii="Arial" w:hAnsi="Arial" w:cs="Arial"/>
                <w:sz w:val="24"/>
                <w:szCs w:val="24"/>
              </w:rPr>
              <w:t>provided</w:t>
            </w:r>
            <w:r w:rsidR="00D21043" w:rsidRPr="001B4232">
              <w:rPr>
                <w:rFonts w:ascii="Arial" w:hAnsi="Arial" w:cs="Arial"/>
                <w:sz w:val="24"/>
                <w:szCs w:val="24"/>
              </w:rPr>
              <w:t xml:space="preserve"> </w:t>
            </w:r>
            <w:r w:rsidR="001B4232" w:rsidRPr="001B4232">
              <w:rPr>
                <w:rFonts w:ascii="Arial" w:hAnsi="Arial" w:cs="Arial"/>
                <w:sz w:val="24"/>
                <w:szCs w:val="24"/>
              </w:rPr>
              <w:t>may result in press interest.</w:t>
            </w:r>
          </w:p>
          <w:p w14:paraId="2A2EB044" w14:textId="77777777" w:rsidR="006B70A4" w:rsidRPr="00132AA2" w:rsidRDefault="006B70A4" w:rsidP="009E19DB">
            <w:pPr>
              <w:spacing w:after="0"/>
              <w:jc w:val="both"/>
              <w:rPr>
                <w:rFonts w:ascii="Arial" w:hAnsi="Arial" w:cs="Arial"/>
                <w:sz w:val="24"/>
                <w:szCs w:val="24"/>
                <w:highlight w:val="yellow"/>
              </w:rPr>
            </w:pPr>
          </w:p>
          <w:p w14:paraId="5C2CEEC7" w14:textId="77777777" w:rsidR="006B70A4" w:rsidRPr="001B4232" w:rsidRDefault="006B70A4" w:rsidP="009E19DB">
            <w:pPr>
              <w:spacing w:after="0"/>
              <w:jc w:val="both"/>
              <w:rPr>
                <w:rFonts w:ascii="Arial" w:hAnsi="Arial" w:cs="Arial"/>
                <w:sz w:val="24"/>
                <w:szCs w:val="24"/>
              </w:rPr>
            </w:pPr>
            <w:r w:rsidRPr="001B4232">
              <w:rPr>
                <w:rFonts w:ascii="Arial" w:hAnsi="Arial" w:cs="Arial"/>
                <w:sz w:val="24"/>
                <w:szCs w:val="24"/>
              </w:rPr>
              <w:t>The main functions of dealing with requests are as follows:</w:t>
            </w:r>
          </w:p>
          <w:p w14:paraId="42D12C79"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Determine if the request falls within the legislation or if it could be treated as business as usual;</w:t>
            </w:r>
          </w:p>
          <w:p w14:paraId="6DA3F22D"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Acknowledge, record and ensure the request is completed within the required 20 working day timeframe and sent to the requester;</w:t>
            </w:r>
          </w:p>
          <w:p w14:paraId="458E887B"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Determine if information can be published or if an exemption needs to be invoked;</w:t>
            </w:r>
          </w:p>
          <w:p w14:paraId="0816B253"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 xml:space="preserve">Give a clear explanation </w:t>
            </w:r>
            <w:r w:rsidR="00D96DE6" w:rsidRPr="001B4232">
              <w:rPr>
                <w:rFonts w:ascii="Arial" w:hAnsi="Arial" w:cs="Arial"/>
                <w:sz w:val="24"/>
                <w:szCs w:val="24"/>
              </w:rPr>
              <w:t xml:space="preserve">as to </w:t>
            </w:r>
            <w:r w:rsidRPr="001B4232">
              <w:rPr>
                <w:rFonts w:ascii="Arial" w:hAnsi="Arial" w:cs="Arial"/>
                <w:sz w:val="24"/>
                <w:szCs w:val="24"/>
              </w:rPr>
              <w:t>why information has been withheld and the reasons why the balance of public interest is against disclosure;</w:t>
            </w:r>
          </w:p>
          <w:p w14:paraId="69C3D33F"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Provide advice and guidance to members of the public and staff asked to assist with requests;</w:t>
            </w:r>
          </w:p>
          <w:p w14:paraId="188C0177"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 xml:space="preserve">Ensure the correct process is followed if an appeal is received; and </w:t>
            </w:r>
          </w:p>
          <w:p w14:paraId="4E20E315" w14:textId="77777777" w:rsidR="006B70A4" w:rsidRPr="001B4232" w:rsidRDefault="006B70A4" w:rsidP="006B70A4">
            <w:pPr>
              <w:numPr>
                <w:ilvl w:val="0"/>
                <w:numId w:val="4"/>
              </w:numPr>
              <w:spacing w:after="0"/>
              <w:jc w:val="both"/>
              <w:rPr>
                <w:rFonts w:ascii="Arial" w:hAnsi="Arial" w:cs="Arial"/>
                <w:sz w:val="24"/>
                <w:szCs w:val="24"/>
              </w:rPr>
            </w:pPr>
            <w:r w:rsidRPr="001B4232">
              <w:rPr>
                <w:rFonts w:ascii="Arial" w:hAnsi="Arial" w:cs="Arial"/>
                <w:sz w:val="24"/>
                <w:szCs w:val="24"/>
              </w:rPr>
              <w:t>Be the point of contact for the Information Commissioner</w:t>
            </w:r>
            <w:r w:rsidR="006E767C" w:rsidRPr="001B4232">
              <w:rPr>
                <w:rFonts w:ascii="Arial" w:hAnsi="Arial" w:cs="Arial"/>
                <w:sz w:val="24"/>
                <w:szCs w:val="24"/>
              </w:rPr>
              <w:t>’s Office (ICO)</w:t>
            </w:r>
            <w:r w:rsidR="00DA7BA9" w:rsidRPr="001B4232">
              <w:rPr>
                <w:rFonts w:ascii="Arial" w:hAnsi="Arial" w:cs="Arial"/>
                <w:sz w:val="24"/>
                <w:szCs w:val="24"/>
              </w:rPr>
              <w:t>.</w:t>
            </w:r>
          </w:p>
          <w:p w14:paraId="5EB486F3" w14:textId="77777777" w:rsidR="00936558" w:rsidRPr="00132AA2" w:rsidRDefault="00936558" w:rsidP="000415D2">
            <w:pPr>
              <w:spacing w:after="0"/>
              <w:jc w:val="both"/>
              <w:rPr>
                <w:rFonts w:ascii="Arial" w:hAnsi="Arial" w:cs="Arial"/>
                <w:highlight w:val="yellow"/>
              </w:rPr>
            </w:pPr>
          </w:p>
          <w:p w14:paraId="4EAA0ED0" w14:textId="77777777" w:rsidR="00C51DC9" w:rsidRPr="00AA0CB1" w:rsidRDefault="00C51DC9" w:rsidP="000415D2">
            <w:pPr>
              <w:spacing w:after="0"/>
              <w:jc w:val="both"/>
              <w:rPr>
                <w:rFonts w:ascii="Arial" w:hAnsi="Arial" w:cs="Arial"/>
                <w:sz w:val="24"/>
              </w:rPr>
            </w:pPr>
            <w:r w:rsidRPr="00AA0CB1">
              <w:rPr>
                <w:rFonts w:ascii="Arial" w:hAnsi="Arial" w:cs="Arial"/>
                <w:sz w:val="24"/>
              </w:rPr>
              <w:lastRenderedPageBreak/>
              <w:t xml:space="preserve">Updates in relation to </w:t>
            </w:r>
            <w:r w:rsidR="005F7921" w:rsidRPr="00AA0CB1">
              <w:rPr>
                <w:rFonts w:ascii="Arial" w:hAnsi="Arial" w:cs="Arial"/>
                <w:sz w:val="24"/>
              </w:rPr>
              <w:t xml:space="preserve">compliance </w:t>
            </w:r>
            <w:r w:rsidRPr="00AA0CB1">
              <w:rPr>
                <w:rFonts w:ascii="Arial" w:hAnsi="Arial" w:cs="Arial"/>
                <w:sz w:val="24"/>
              </w:rPr>
              <w:t>with FOIA requests are provided to the OPCC Management Board on a monthly basis</w:t>
            </w:r>
            <w:r w:rsidR="007D4B9D" w:rsidRPr="00AA0CB1">
              <w:rPr>
                <w:rFonts w:ascii="Arial" w:hAnsi="Arial" w:cs="Arial"/>
                <w:sz w:val="24"/>
              </w:rPr>
              <w:t xml:space="preserve"> by the HoAC</w:t>
            </w:r>
            <w:r w:rsidRPr="00AA0CB1">
              <w:rPr>
                <w:rFonts w:ascii="Arial" w:hAnsi="Arial" w:cs="Arial"/>
                <w:sz w:val="24"/>
              </w:rPr>
              <w:t>.</w:t>
            </w:r>
          </w:p>
          <w:p w14:paraId="0A8C63D9" w14:textId="77777777" w:rsidR="00C914AF" w:rsidRPr="00132AA2" w:rsidRDefault="00C914AF" w:rsidP="00AA0CB1">
            <w:pPr>
              <w:spacing w:after="0"/>
              <w:jc w:val="both"/>
              <w:rPr>
                <w:rFonts w:ascii="Arial" w:hAnsi="Arial" w:cs="Arial"/>
                <w:sz w:val="24"/>
                <w:highlight w:val="yellow"/>
              </w:rPr>
            </w:pPr>
          </w:p>
        </w:tc>
      </w:tr>
      <w:tr w:rsidR="00D26302" w:rsidRPr="00055BFA" w14:paraId="48CA04FF" w14:textId="77777777" w:rsidTr="0028549D">
        <w:tc>
          <w:tcPr>
            <w:tcW w:w="534" w:type="dxa"/>
            <w:shd w:val="clear" w:color="auto" w:fill="auto"/>
          </w:tcPr>
          <w:p w14:paraId="7DE13BF1"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3</w:t>
            </w:r>
            <w:r w:rsidR="0028549D">
              <w:rPr>
                <w:rFonts w:ascii="Arial" w:hAnsi="Arial" w:cs="Arial"/>
                <w:b/>
                <w:sz w:val="24"/>
                <w:szCs w:val="24"/>
              </w:rPr>
              <w:t>.</w:t>
            </w:r>
          </w:p>
        </w:tc>
        <w:tc>
          <w:tcPr>
            <w:tcW w:w="8752" w:type="dxa"/>
            <w:shd w:val="clear" w:color="auto" w:fill="auto"/>
          </w:tcPr>
          <w:p w14:paraId="44C58855" w14:textId="77777777" w:rsidR="00DA7BA9" w:rsidRPr="00AA0CB1" w:rsidRDefault="00D26302" w:rsidP="00DA7BA9">
            <w:pPr>
              <w:spacing w:after="0"/>
              <w:jc w:val="both"/>
              <w:rPr>
                <w:rFonts w:ascii="Arial" w:hAnsi="Arial" w:cs="Arial"/>
                <w:b/>
                <w:sz w:val="24"/>
                <w:szCs w:val="24"/>
                <w:u w:val="single"/>
              </w:rPr>
            </w:pPr>
            <w:r w:rsidRPr="00AA0CB1">
              <w:rPr>
                <w:rFonts w:ascii="Arial" w:hAnsi="Arial" w:cs="Arial"/>
                <w:b/>
                <w:sz w:val="24"/>
                <w:szCs w:val="24"/>
                <w:u w:val="single"/>
              </w:rPr>
              <w:t>ISSUES FOR CONSIDERATION</w:t>
            </w:r>
          </w:p>
          <w:p w14:paraId="690C016A" w14:textId="0FA71097" w:rsidR="00901C13" w:rsidRPr="00AA0CB1" w:rsidRDefault="00783E7E" w:rsidP="00632622">
            <w:pPr>
              <w:spacing w:after="0"/>
              <w:jc w:val="both"/>
              <w:rPr>
                <w:rFonts w:ascii="Arial" w:hAnsi="Arial" w:cs="Arial"/>
                <w:sz w:val="24"/>
                <w:szCs w:val="24"/>
              </w:rPr>
            </w:pPr>
            <w:r w:rsidRPr="00AA0CB1">
              <w:rPr>
                <w:rFonts w:ascii="Arial" w:hAnsi="Arial" w:cs="Arial"/>
                <w:sz w:val="24"/>
                <w:szCs w:val="24"/>
              </w:rPr>
              <w:t xml:space="preserve">Between </w:t>
            </w:r>
            <w:r w:rsidR="006233D5" w:rsidRPr="00AA0CB1">
              <w:rPr>
                <w:rFonts w:ascii="Arial" w:hAnsi="Arial" w:cs="Arial"/>
                <w:sz w:val="24"/>
                <w:szCs w:val="24"/>
              </w:rPr>
              <w:t>1</w:t>
            </w:r>
            <w:r w:rsidR="006233D5" w:rsidRPr="00AA0CB1">
              <w:rPr>
                <w:rFonts w:ascii="Arial" w:hAnsi="Arial" w:cs="Arial"/>
                <w:sz w:val="24"/>
                <w:szCs w:val="24"/>
                <w:vertAlign w:val="superscript"/>
              </w:rPr>
              <w:t>st</w:t>
            </w:r>
            <w:r w:rsidR="006233D5" w:rsidRPr="00AA0CB1">
              <w:rPr>
                <w:rFonts w:ascii="Arial" w:hAnsi="Arial" w:cs="Arial"/>
                <w:sz w:val="24"/>
                <w:szCs w:val="24"/>
              </w:rPr>
              <w:t xml:space="preserve"> </w:t>
            </w:r>
            <w:r w:rsidRPr="00AA0CB1">
              <w:rPr>
                <w:rFonts w:ascii="Arial" w:hAnsi="Arial" w:cs="Arial"/>
                <w:sz w:val="24"/>
                <w:szCs w:val="24"/>
              </w:rPr>
              <w:t>April 20</w:t>
            </w:r>
            <w:r w:rsidR="009F53F7" w:rsidRPr="00AA0CB1">
              <w:rPr>
                <w:rFonts w:ascii="Arial" w:hAnsi="Arial" w:cs="Arial"/>
                <w:sz w:val="24"/>
                <w:szCs w:val="24"/>
              </w:rPr>
              <w:t>2</w:t>
            </w:r>
            <w:r w:rsidR="00AA0CB1" w:rsidRPr="00AA0CB1">
              <w:rPr>
                <w:rFonts w:ascii="Arial" w:hAnsi="Arial" w:cs="Arial"/>
                <w:sz w:val="24"/>
                <w:szCs w:val="24"/>
              </w:rPr>
              <w:t>1</w:t>
            </w:r>
            <w:r w:rsidRPr="00AA0CB1">
              <w:rPr>
                <w:rFonts w:ascii="Arial" w:hAnsi="Arial" w:cs="Arial"/>
                <w:sz w:val="24"/>
                <w:szCs w:val="24"/>
              </w:rPr>
              <w:t xml:space="preserve"> and </w:t>
            </w:r>
            <w:r w:rsidR="006233D5" w:rsidRPr="00AA0CB1">
              <w:rPr>
                <w:rFonts w:ascii="Arial" w:hAnsi="Arial" w:cs="Arial"/>
                <w:sz w:val="24"/>
                <w:szCs w:val="24"/>
              </w:rPr>
              <w:t>31</w:t>
            </w:r>
            <w:r w:rsidR="006233D5" w:rsidRPr="00AA0CB1">
              <w:rPr>
                <w:rFonts w:ascii="Arial" w:hAnsi="Arial" w:cs="Arial"/>
                <w:sz w:val="24"/>
                <w:szCs w:val="24"/>
                <w:vertAlign w:val="superscript"/>
              </w:rPr>
              <w:t>st</w:t>
            </w:r>
            <w:r w:rsidR="006233D5" w:rsidRPr="00AA0CB1">
              <w:rPr>
                <w:rFonts w:ascii="Arial" w:hAnsi="Arial" w:cs="Arial"/>
                <w:sz w:val="24"/>
                <w:szCs w:val="24"/>
              </w:rPr>
              <w:t xml:space="preserve"> </w:t>
            </w:r>
            <w:r w:rsidRPr="00AA0CB1">
              <w:rPr>
                <w:rFonts w:ascii="Arial" w:hAnsi="Arial" w:cs="Arial"/>
                <w:sz w:val="24"/>
                <w:szCs w:val="24"/>
              </w:rPr>
              <w:t>March 202</w:t>
            </w:r>
            <w:r w:rsidR="00AA0CB1" w:rsidRPr="00AA0CB1">
              <w:rPr>
                <w:rFonts w:ascii="Arial" w:hAnsi="Arial" w:cs="Arial"/>
                <w:sz w:val="24"/>
                <w:szCs w:val="24"/>
              </w:rPr>
              <w:t>2</w:t>
            </w:r>
            <w:r w:rsidR="00AA0CB1">
              <w:rPr>
                <w:rFonts w:ascii="Arial" w:hAnsi="Arial" w:cs="Arial"/>
                <w:sz w:val="24"/>
                <w:szCs w:val="24"/>
              </w:rPr>
              <w:t>,</w:t>
            </w:r>
            <w:r w:rsidR="00DA7BA9" w:rsidRPr="00AA0CB1">
              <w:rPr>
                <w:rFonts w:ascii="Arial" w:hAnsi="Arial" w:cs="Arial"/>
                <w:sz w:val="24"/>
                <w:szCs w:val="24"/>
              </w:rPr>
              <w:t xml:space="preserve"> the OPCC received </w:t>
            </w:r>
            <w:r w:rsidR="00AA0CB1" w:rsidRPr="00AA0CB1">
              <w:rPr>
                <w:rFonts w:ascii="Arial" w:hAnsi="Arial" w:cs="Arial"/>
                <w:sz w:val="24"/>
                <w:szCs w:val="24"/>
              </w:rPr>
              <w:t xml:space="preserve">65 </w:t>
            </w:r>
            <w:r w:rsidR="00DB0FEB" w:rsidRPr="00AA0CB1">
              <w:rPr>
                <w:rFonts w:ascii="Arial" w:hAnsi="Arial" w:cs="Arial"/>
                <w:sz w:val="24"/>
                <w:szCs w:val="24"/>
              </w:rPr>
              <w:t>F</w:t>
            </w:r>
            <w:r w:rsidR="00DB31C5" w:rsidRPr="00AA0CB1">
              <w:rPr>
                <w:rFonts w:ascii="Arial" w:hAnsi="Arial" w:cs="Arial"/>
                <w:sz w:val="24"/>
                <w:szCs w:val="24"/>
              </w:rPr>
              <w:t>OIA requests;</w:t>
            </w:r>
            <w:r w:rsidR="009F53F7" w:rsidRPr="00AA0CB1">
              <w:rPr>
                <w:rFonts w:ascii="Arial" w:hAnsi="Arial" w:cs="Arial"/>
                <w:sz w:val="24"/>
                <w:szCs w:val="24"/>
              </w:rPr>
              <w:t xml:space="preserve"> 1 of these requests </w:t>
            </w:r>
            <w:r w:rsidR="00AA0CB1" w:rsidRPr="00AA0CB1">
              <w:rPr>
                <w:rFonts w:ascii="Arial" w:hAnsi="Arial" w:cs="Arial"/>
                <w:sz w:val="24"/>
                <w:szCs w:val="24"/>
              </w:rPr>
              <w:t xml:space="preserve">did not fall within FOIA legislation and was subsequently passed to </w:t>
            </w:r>
            <w:r w:rsidR="009F53F7" w:rsidRPr="00AA0CB1">
              <w:rPr>
                <w:rFonts w:ascii="Arial" w:hAnsi="Arial" w:cs="Arial"/>
                <w:sz w:val="24"/>
                <w:szCs w:val="24"/>
              </w:rPr>
              <w:t xml:space="preserve">Gwent Police </w:t>
            </w:r>
            <w:r w:rsidR="00AA0CB1" w:rsidRPr="00AA0CB1">
              <w:rPr>
                <w:rFonts w:ascii="Arial" w:hAnsi="Arial" w:cs="Arial"/>
                <w:sz w:val="24"/>
                <w:szCs w:val="24"/>
              </w:rPr>
              <w:t>for a response to be provided</w:t>
            </w:r>
            <w:r w:rsidR="00901C13" w:rsidRPr="00AA0CB1">
              <w:rPr>
                <w:rFonts w:ascii="Arial" w:hAnsi="Arial" w:cs="Arial"/>
                <w:sz w:val="24"/>
                <w:szCs w:val="24"/>
              </w:rPr>
              <w:t xml:space="preserve">.  As such only </w:t>
            </w:r>
            <w:r w:rsidR="00AA0CB1" w:rsidRPr="00AA0CB1">
              <w:rPr>
                <w:rFonts w:ascii="Arial" w:hAnsi="Arial" w:cs="Arial"/>
                <w:sz w:val="24"/>
                <w:szCs w:val="24"/>
              </w:rPr>
              <w:t>64</w:t>
            </w:r>
            <w:r w:rsidR="00901C13" w:rsidRPr="00AA0CB1">
              <w:rPr>
                <w:rFonts w:ascii="Arial" w:hAnsi="Arial" w:cs="Arial"/>
                <w:sz w:val="24"/>
                <w:szCs w:val="24"/>
              </w:rPr>
              <w:t xml:space="preserve"> requests are considered for statistical purposes.</w:t>
            </w:r>
          </w:p>
          <w:p w14:paraId="0C9F25DD" w14:textId="77777777" w:rsidR="00901C13" w:rsidRPr="00132AA2" w:rsidRDefault="00901C13" w:rsidP="00632622">
            <w:pPr>
              <w:spacing w:after="0"/>
              <w:jc w:val="both"/>
              <w:rPr>
                <w:rFonts w:ascii="Arial" w:hAnsi="Arial" w:cs="Arial"/>
                <w:sz w:val="24"/>
                <w:szCs w:val="24"/>
                <w:highlight w:val="yellow"/>
              </w:rPr>
            </w:pPr>
          </w:p>
          <w:p w14:paraId="6D5F27BA" w14:textId="2BC8FEAA" w:rsidR="009413BD" w:rsidRPr="00216E40" w:rsidRDefault="00901C13" w:rsidP="00632622">
            <w:pPr>
              <w:spacing w:after="0"/>
              <w:jc w:val="both"/>
              <w:rPr>
                <w:rFonts w:ascii="Arial" w:hAnsi="Arial" w:cs="Arial"/>
                <w:sz w:val="24"/>
                <w:szCs w:val="24"/>
              </w:rPr>
            </w:pPr>
            <w:r w:rsidRPr="00216E40">
              <w:rPr>
                <w:rFonts w:ascii="Arial" w:hAnsi="Arial" w:cs="Arial"/>
                <w:sz w:val="24"/>
                <w:szCs w:val="24"/>
              </w:rPr>
              <w:t>T</w:t>
            </w:r>
            <w:r w:rsidR="00DB31C5" w:rsidRPr="00216E40">
              <w:rPr>
                <w:rFonts w:ascii="Arial" w:hAnsi="Arial" w:cs="Arial"/>
                <w:sz w:val="24"/>
                <w:szCs w:val="24"/>
              </w:rPr>
              <w:t xml:space="preserve">he number of </w:t>
            </w:r>
            <w:r w:rsidR="00DB0FEB" w:rsidRPr="00216E40">
              <w:rPr>
                <w:rFonts w:ascii="Arial" w:hAnsi="Arial" w:cs="Arial"/>
                <w:sz w:val="24"/>
                <w:szCs w:val="24"/>
              </w:rPr>
              <w:t>requests received</w:t>
            </w:r>
            <w:r w:rsidR="00750F4A" w:rsidRPr="00216E40">
              <w:rPr>
                <w:rFonts w:ascii="Arial" w:hAnsi="Arial" w:cs="Arial"/>
                <w:sz w:val="24"/>
                <w:szCs w:val="24"/>
              </w:rPr>
              <w:t xml:space="preserve"> </w:t>
            </w:r>
            <w:r w:rsidR="009413BD" w:rsidRPr="00216E40">
              <w:rPr>
                <w:rFonts w:ascii="Arial" w:hAnsi="Arial" w:cs="Arial"/>
                <w:sz w:val="24"/>
                <w:szCs w:val="24"/>
              </w:rPr>
              <w:t>has increased significantly when compared to previous years with 24 received in 2018/9, 28 in 2019/20 and 29 in 2020/21.  The number of requests received by the OPCC in 2021/22 that were for information held by Gwent Police saw the largest rise</w:t>
            </w:r>
            <w:r w:rsidR="007A46D1" w:rsidRPr="00216E40">
              <w:rPr>
                <w:rFonts w:ascii="Arial" w:hAnsi="Arial" w:cs="Arial"/>
                <w:sz w:val="24"/>
                <w:szCs w:val="24"/>
              </w:rPr>
              <w:t xml:space="preserve"> with 39 received compared to 14 in 2020/21, an increase of 25 (</w:t>
            </w:r>
            <w:r w:rsidR="0059744C">
              <w:rPr>
                <w:rFonts w:ascii="Arial" w:hAnsi="Arial" w:cs="Arial"/>
                <w:sz w:val="24"/>
                <w:szCs w:val="24"/>
              </w:rPr>
              <w:t>179</w:t>
            </w:r>
            <w:r w:rsidR="00216E40" w:rsidRPr="00216E40">
              <w:rPr>
                <w:rFonts w:ascii="Arial" w:hAnsi="Arial" w:cs="Arial"/>
                <w:sz w:val="24"/>
                <w:szCs w:val="24"/>
              </w:rPr>
              <w:t>%)</w:t>
            </w:r>
            <w:r w:rsidR="009413BD" w:rsidRPr="00216E40">
              <w:rPr>
                <w:rFonts w:ascii="Arial" w:hAnsi="Arial" w:cs="Arial"/>
                <w:sz w:val="24"/>
                <w:szCs w:val="24"/>
              </w:rPr>
              <w:t xml:space="preserve">.  There is no obvious reason for the increase in requests to the OPCC other than it correlates to the move by Gwent Police to </w:t>
            </w:r>
            <w:r w:rsidR="007A46D1" w:rsidRPr="00216E40">
              <w:rPr>
                <w:rFonts w:ascii="Arial" w:hAnsi="Arial" w:cs="Arial"/>
                <w:sz w:val="24"/>
                <w:szCs w:val="24"/>
              </w:rPr>
              <w:t>Single Online Home (SOH) which is the national website format adopted by all police forces in England and Wales.  In order to submit an FOI request, the public must now find the relevant section of the force website and submit their request via an online form; this is more compli</w:t>
            </w:r>
            <w:r w:rsidR="00216E40" w:rsidRPr="00216E40">
              <w:rPr>
                <w:rFonts w:ascii="Arial" w:hAnsi="Arial" w:cs="Arial"/>
                <w:sz w:val="24"/>
                <w:szCs w:val="24"/>
              </w:rPr>
              <w:t>cated than writing and submitting an email</w:t>
            </w:r>
            <w:r w:rsidR="00D21043">
              <w:rPr>
                <w:rFonts w:ascii="Arial" w:hAnsi="Arial" w:cs="Arial"/>
                <w:sz w:val="24"/>
                <w:szCs w:val="24"/>
              </w:rPr>
              <w:t xml:space="preserve"> and the</w:t>
            </w:r>
            <w:r w:rsidR="0059744C">
              <w:rPr>
                <w:rFonts w:ascii="Arial" w:hAnsi="Arial" w:cs="Arial"/>
                <w:sz w:val="24"/>
                <w:szCs w:val="24"/>
              </w:rPr>
              <w:t xml:space="preserve"> requester</w:t>
            </w:r>
            <w:r w:rsidR="00D21043">
              <w:rPr>
                <w:rFonts w:ascii="Arial" w:hAnsi="Arial" w:cs="Arial"/>
                <w:sz w:val="24"/>
                <w:szCs w:val="24"/>
              </w:rPr>
              <w:t xml:space="preserve"> no longer ha</w:t>
            </w:r>
            <w:r w:rsidR="0059744C">
              <w:rPr>
                <w:rFonts w:ascii="Arial" w:hAnsi="Arial" w:cs="Arial"/>
                <w:sz w:val="24"/>
                <w:szCs w:val="24"/>
              </w:rPr>
              <w:t>s</w:t>
            </w:r>
            <w:r w:rsidR="00D21043">
              <w:rPr>
                <w:rFonts w:ascii="Arial" w:hAnsi="Arial" w:cs="Arial"/>
                <w:sz w:val="24"/>
                <w:szCs w:val="24"/>
              </w:rPr>
              <w:t xml:space="preserve"> a record of that request being made</w:t>
            </w:r>
            <w:r w:rsidR="00216E40" w:rsidRPr="00216E40">
              <w:rPr>
                <w:rFonts w:ascii="Arial" w:hAnsi="Arial" w:cs="Arial"/>
                <w:sz w:val="24"/>
                <w:szCs w:val="24"/>
              </w:rPr>
              <w:t>.  Significant increases have also been seen by the OPCC in relation to the number of Subject Access Requests we have received during 2021/22 that were for information held by Gwent Police which may support the theory behind the increase being the move to SOH.</w:t>
            </w:r>
          </w:p>
          <w:p w14:paraId="56680688" w14:textId="6FCF7C20" w:rsidR="00216E40" w:rsidRPr="00216E40" w:rsidRDefault="00216E40" w:rsidP="00632622">
            <w:pPr>
              <w:spacing w:after="0"/>
              <w:jc w:val="both"/>
              <w:rPr>
                <w:rFonts w:ascii="Arial" w:hAnsi="Arial" w:cs="Arial"/>
                <w:sz w:val="24"/>
                <w:szCs w:val="24"/>
              </w:rPr>
            </w:pPr>
          </w:p>
          <w:p w14:paraId="05D9C6F9" w14:textId="6A8D42EB" w:rsidR="00216E40" w:rsidRPr="00216E40" w:rsidRDefault="00216E40" w:rsidP="00632622">
            <w:pPr>
              <w:spacing w:after="0"/>
              <w:jc w:val="both"/>
              <w:rPr>
                <w:rFonts w:ascii="Arial" w:hAnsi="Arial" w:cs="Arial"/>
                <w:sz w:val="24"/>
                <w:szCs w:val="24"/>
              </w:rPr>
            </w:pPr>
            <w:r w:rsidRPr="00216E40">
              <w:rPr>
                <w:rFonts w:ascii="Arial" w:hAnsi="Arial" w:cs="Arial"/>
                <w:sz w:val="24"/>
                <w:szCs w:val="24"/>
              </w:rPr>
              <w:t>This has been raised with Gwent Police and it has been acknowledged</w:t>
            </w:r>
            <w:r w:rsidR="002736CE">
              <w:rPr>
                <w:rFonts w:ascii="Arial" w:hAnsi="Arial" w:cs="Arial"/>
                <w:sz w:val="24"/>
                <w:szCs w:val="24"/>
              </w:rPr>
              <w:t xml:space="preserve"> and has</w:t>
            </w:r>
            <w:r w:rsidRPr="00216E40">
              <w:rPr>
                <w:rFonts w:ascii="Arial" w:hAnsi="Arial" w:cs="Arial"/>
                <w:sz w:val="24"/>
                <w:szCs w:val="24"/>
              </w:rPr>
              <w:t xml:space="preserve"> been fed back to the national SOH team for consideration.  In the interim, the OPCC ensure</w:t>
            </w:r>
            <w:r w:rsidR="002736CE">
              <w:rPr>
                <w:rFonts w:ascii="Arial" w:hAnsi="Arial" w:cs="Arial"/>
                <w:sz w:val="24"/>
                <w:szCs w:val="24"/>
              </w:rPr>
              <w:t>s</w:t>
            </w:r>
            <w:r w:rsidRPr="00216E40">
              <w:rPr>
                <w:rFonts w:ascii="Arial" w:hAnsi="Arial" w:cs="Arial"/>
                <w:sz w:val="24"/>
                <w:szCs w:val="24"/>
              </w:rPr>
              <w:t xml:space="preserve"> </w:t>
            </w:r>
            <w:r w:rsidR="002736CE">
              <w:rPr>
                <w:rFonts w:ascii="Arial" w:hAnsi="Arial" w:cs="Arial"/>
                <w:sz w:val="24"/>
                <w:szCs w:val="24"/>
              </w:rPr>
              <w:t>any</w:t>
            </w:r>
            <w:r w:rsidRPr="00216E40">
              <w:rPr>
                <w:rFonts w:ascii="Arial" w:hAnsi="Arial" w:cs="Arial"/>
                <w:sz w:val="24"/>
                <w:szCs w:val="24"/>
              </w:rPr>
              <w:t xml:space="preserve">one submitting </w:t>
            </w:r>
            <w:r w:rsidR="002736CE">
              <w:rPr>
                <w:rFonts w:ascii="Arial" w:hAnsi="Arial" w:cs="Arial"/>
                <w:sz w:val="24"/>
                <w:szCs w:val="24"/>
              </w:rPr>
              <w:t xml:space="preserve">a </w:t>
            </w:r>
            <w:r w:rsidRPr="00216E40">
              <w:rPr>
                <w:rFonts w:ascii="Arial" w:hAnsi="Arial" w:cs="Arial"/>
                <w:sz w:val="24"/>
                <w:szCs w:val="24"/>
              </w:rPr>
              <w:t>request incorrectly</w:t>
            </w:r>
            <w:r w:rsidR="002736CE">
              <w:rPr>
                <w:rFonts w:ascii="Arial" w:hAnsi="Arial" w:cs="Arial"/>
                <w:sz w:val="24"/>
                <w:szCs w:val="24"/>
              </w:rPr>
              <w:t xml:space="preserve"> is</w:t>
            </w:r>
            <w:r w:rsidRPr="00216E40">
              <w:rPr>
                <w:rFonts w:ascii="Arial" w:hAnsi="Arial" w:cs="Arial"/>
                <w:sz w:val="24"/>
                <w:szCs w:val="24"/>
              </w:rPr>
              <w:t xml:space="preserve"> provided with the correct contact details for Gwent Police in order to ensure they receive a timely response to </w:t>
            </w:r>
            <w:r w:rsidR="002736CE">
              <w:rPr>
                <w:rFonts w:ascii="Arial" w:hAnsi="Arial" w:cs="Arial"/>
                <w:sz w:val="24"/>
                <w:szCs w:val="24"/>
              </w:rPr>
              <w:t xml:space="preserve">any future </w:t>
            </w:r>
            <w:r w:rsidRPr="00216E40">
              <w:rPr>
                <w:rFonts w:ascii="Arial" w:hAnsi="Arial" w:cs="Arial"/>
                <w:sz w:val="24"/>
                <w:szCs w:val="24"/>
              </w:rPr>
              <w:t xml:space="preserve">requests they </w:t>
            </w:r>
            <w:r w:rsidR="002736CE">
              <w:rPr>
                <w:rFonts w:ascii="Arial" w:hAnsi="Arial" w:cs="Arial"/>
                <w:sz w:val="24"/>
                <w:szCs w:val="24"/>
              </w:rPr>
              <w:t>may</w:t>
            </w:r>
            <w:r w:rsidRPr="00216E40">
              <w:rPr>
                <w:rFonts w:ascii="Arial" w:hAnsi="Arial" w:cs="Arial"/>
                <w:sz w:val="24"/>
                <w:szCs w:val="24"/>
              </w:rPr>
              <w:t xml:space="preserve"> mak</w:t>
            </w:r>
            <w:r w:rsidR="002736CE">
              <w:rPr>
                <w:rFonts w:ascii="Arial" w:hAnsi="Arial" w:cs="Arial"/>
                <w:sz w:val="24"/>
                <w:szCs w:val="24"/>
              </w:rPr>
              <w:t>e</w:t>
            </w:r>
            <w:r w:rsidRPr="00216E40">
              <w:rPr>
                <w:rFonts w:ascii="Arial" w:hAnsi="Arial" w:cs="Arial"/>
                <w:sz w:val="24"/>
                <w:szCs w:val="24"/>
              </w:rPr>
              <w:t>.</w:t>
            </w:r>
          </w:p>
          <w:p w14:paraId="3DBE97CE" w14:textId="77777777" w:rsidR="009413BD" w:rsidRDefault="009413BD" w:rsidP="00632622">
            <w:pPr>
              <w:spacing w:after="0"/>
              <w:jc w:val="both"/>
              <w:rPr>
                <w:rFonts w:ascii="Arial" w:hAnsi="Arial" w:cs="Arial"/>
                <w:sz w:val="24"/>
                <w:szCs w:val="24"/>
                <w:highlight w:val="yellow"/>
              </w:rPr>
            </w:pPr>
          </w:p>
          <w:p w14:paraId="507C4768" w14:textId="691275BB" w:rsidR="00901C13" w:rsidRPr="00216E40" w:rsidRDefault="00A068A6" w:rsidP="00632622">
            <w:pPr>
              <w:spacing w:after="0"/>
              <w:jc w:val="both"/>
              <w:rPr>
                <w:rFonts w:ascii="Arial" w:hAnsi="Arial" w:cs="Arial"/>
                <w:sz w:val="24"/>
                <w:szCs w:val="24"/>
              </w:rPr>
            </w:pPr>
            <w:r>
              <w:rPr>
                <w:rFonts w:ascii="Arial" w:hAnsi="Arial" w:cs="Arial"/>
                <w:sz w:val="24"/>
                <w:szCs w:val="24"/>
              </w:rPr>
              <w:t xml:space="preserve">63 </w:t>
            </w:r>
            <w:r w:rsidR="008D48F5" w:rsidRPr="00216E40">
              <w:rPr>
                <w:rFonts w:ascii="Arial" w:hAnsi="Arial" w:cs="Arial"/>
                <w:sz w:val="24"/>
                <w:szCs w:val="24"/>
              </w:rPr>
              <w:t>requests were received via email</w:t>
            </w:r>
            <w:r>
              <w:rPr>
                <w:rFonts w:ascii="Arial" w:hAnsi="Arial" w:cs="Arial"/>
                <w:sz w:val="24"/>
                <w:szCs w:val="24"/>
              </w:rPr>
              <w:t>, with 1 request received via Twitter</w:t>
            </w:r>
            <w:r w:rsidR="008D48F5" w:rsidRPr="00216E40">
              <w:rPr>
                <w:rFonts w:ascii="Arial" w:hAnsi="Arial" w:cs="Arial"/>
                <w:sz w:val="24"/>
                <w:szCs w:val="24"/>
              </w:rPr>
              <w:t xml:space="preserve"> in 202</w:t>
            </w:r>
            <w:r w:rsidR="00216E40">
              <w:rPr>
                <w:rFonts w:ascii="Arial" w:hAnsi="Arial" w:cs="Arial"/>
                <w:sz w:val="24"/>
                <w:szCs w:val="24"/>
              </w:rPr>
              <w:t>1</w:t>
            </w:r>
            <w:r w:rsidR="008D48F5" w:rsidRPr="00216E40">
              <w:rPr>
                <w:rFonts w:ascii="Arial" w:hAnsi="Arial" w:cs="Arial"/>
                <w:sz w:val="24"/>
                <w:szCs w:val="24"/>
              </w:rPr>
              <w:t>/2</w:t>
            </w:r>
            <w:r w:rsidR="00216E40">
              <w:rPr>
                <w:rFonts w:ascii="Arial" w:hAnsi="Arial" w:cs="Arial"/>
                <w:sz w:val="24"/>
                <w:szCs w:val="24"/>
              </w:rPr>
              <w:t>2</w:t>
            </w:r>
            <w:r w:rsidR="008D48F5" w:rsidRPr="00216E40">
              <w:rPr>
                <w:rFonts w:ascii="Arial" w:hAnsi="Arial" w:cs="Arial"/>
                <w:sz w:val="24"/>
                <w:szCs w:val="24"/>
              </w:rPr>
              <w:t>.</w:t>
            </w:r>
          </w:p>
          <w:p w14:paraId="4ACC3C7E" w14:textId="77777777" w:rsidR="0028549D" w:rsidRPr="00326D8B" w:rsidRDefault="0028549D" w:rsidP="00632622">
            <w:pPr>
              <w:spacing w:after="0"/>
              <w:jc w:val="both"/>
              <w:rPr>
                <w:rFonts w:ascii="Arial" w:hAnsi="Arial" w:cs="Arial"/>
                <w:sz w:val="24"/>
                <w:szCs w:val="24"/>
              </w:rPr>
            </w:pPr>
          </w:p>
          <w:p w14:paraId="18399434" w14:textId="77777777" w:rsidR="0028549D" w:rsidRPr="00326D8B" w:rsidRDefault="0028549D" w:rsidP="00632622">
            <w:pPr>
              <w:spacing w:after="0"/>
              <w:jc w:val="both"/>
              <w:rPr>
                <w:rFonts w:ascii="Arial" w:hAnsi="Arial" w:cs="Arial"/>
                <w:sz w:val="24"/>
                <w:szCs w:val="24"/>
                <w:u w:val="single"/>
              </w:rPr>
            </w:pPr>
            <w:r w:rsidRPr="00326D8B">
              <w:rPr>
                <w:rFonts w:ascii="Arial" w:hAnsi="Arial" w:cs="Arial"/>
                <w:sz w:val="24"/>
                <w:szCs w:val="24"/>
                <w:u w:val="single"/>
              </w:rPr>
              <w:t>Identification of Requester</w:t>
            </w:r>
          </w:p>
          <w:p w14:paraId="73F74DFA" w14:textId="07D32C86" w:rsidR="00DB0FEB" w:rsidRPr="00326D8B" w:rsidRDefault="00DB0FEB" w:rsidP="00632622">
            <w:pPr>
              <w:spacing w:after="0"/>
              <w:jc w:val="both"/>
              <w:rPr>
                <w:rFonts w:ascii="Arial" w:hAnsi="Arial" w:cs="Arial"/>
                <w:sz w:val="24"/>
                <w:szCs w:val="24"/>
              </w:rPr>
            </w:pPr>
            <w:r w:rsidRPr="00326D8B">
              <w:rPr>
                <w:rFonts w:ascii="Arial" w:hAnsi="Arial" w:cs="Arial"/>
                <w:sz w:val="24"/>
                <w:szCs w:val="24"/>
              </w:rPr>
              <w:t>There is no requirement under the FOIA for a requester to detail the reason for the request, they do however have to provide a name and address for correspondence.  Based only on the information freely provided by requesters, the table below shows where the requests came from</w:t>
            </w:r>
            <w:r w:rsidR="00EE50DA" w:rsidRPr="00326D8B">
              <w:rPr>
                <w:rFonts w:ascii="Arial" w:hAnsi="Arial" w:cs="Arial"/>
                <w:sz w:val="24"/>
                <w:szCs w:val="24"/>
              </w:rPr>
              <w:t xml:space="preserve"> in 20</w:t>
            </w:r>
            <w:r w:rsidR="008D48F5" w:rsidRPr="00326D8B">
              <w:rPr>
                <w:rFonts w:ascii="Arial" w:hAnsi="Arial" w:cs="Arial"/>
                <w:sz w:val="24"/>
                <w:szCs w:val="24"/>
              </w:rPr>
              <w:t>2</w:t>
            </w:r>
            <w:r w:rsidR="00326D8B" w:rsidRPr="00326D8B">
              <w:rPr>
                <w:rFonts w:ascii="Arial" w:hAnsi="Arial" w:cs="Arial"/>
                <w:sz w:val="24"/>
                <w:szCs w:val="24"/>
              </w:rPr>
              <w:t>1</w:t>
            </w:r>
            <w:r w:rsidR="00EE50DA" w:rsidRPr="00326D8B">
              <w:rPr>
                <w:rFonts w:ascii="Arial" w:hAnsi="Arial" w:cs="Arial"/>
                <w:sz w:val="24"/>
                <w:szCs w:val="24"/>
              </w:rPr>
              <w:t>/2</w:t>
            </w:r>
            <w:r w:rsidR="00326D8B" w:rsidRPr="00326D8B">
              <w:rPr>
                <w:rFonts w:ascii="Arial" w:hAnsi="Arial" w:cs="Arial"/>
                <w:sz w:val="24"/>
                <w:szCs w:val="24"/>
              </w:rPr>
              <w:t>2</w:t>
            </w:r>
            <w:r w:rsidR="00EE50DA" w:rsidRPr="00326D8B">
              <w:rPr>
                <w:rFonts w:ascii="Arial" w:hAnsi="Arial" w:cs="Arial"/>
                <w:sz w:val="24"/>
                <w:szCs w:val="24"/>
              </w:rPr>
              <w:t xml:space="preserve"> when compared to 20</w:t>
            </w:r>
            <w:r w:rsidR="00326D8B" w:rsidRPr="00326D8B">
              <w:rPr>
                <w:rFonts w:ascii="Arial" w:hAnsi="Arial" w:cs="Arial"/>
                <w:sz w:val="24"/>
                <w:szCs w:val="24"/>
              </w:rPr>
              <w:t>20</w:t>
            </w:r>
            <w:r w:rsidR="00EE50DA" w:rsidRPr="00326D8B">
              <w:rPr>
                <w:rFonts w:ascii="Arial" w:hAnsi="Arial" w:cs="Arial"/>
                <w:sz w:val="24"/>
                <w:szCs w:val="24"/>
              </w:rPr>
              <w:t>/</w:t>
            </w:r>
            <w:r w:rsidR="008D48F5" w:rsidRPr="00326D8B">
              <w:rPr>
                <w:rFonts w:ascii="Arial" w:hAnsi="Arial" w:cs="Arial"/>
                <w:sz w:val="24"/>
                <w:szCs w:val="24"/>
              </w:rPr>
              <w:t>2</w:t>
            </w:r>
            <w:r w:rsidR="00326D8B" w:rsidRPr="00326D8B">
              <w:rPr>
                <w:rFonts w:ascii="Arial" w:hAnsi="Arial" w:cs="Arial"/>
                <w:sz w:val="24"/>
                <w:szCs w:val="24"/>
              </w:rPr>
              <w:t>1</w:t>
            </w:r>
            <w:r w:rsidRPr="00326D8B">
              <w:rPr>
                <w:rFonts w:ascii="Arial" w:hAnsi="Arial" w:cs="Arial"/>
                <w:sz w:val="24"/>
                <w:szCs w:val="24"/>
              </w:rPr>
              <w:t>:</w:t>
            </w:r>
          </w:p>
          <w:p w14:paraId="71776DC6" w14:textId="77777777" w:rsidR="00DB0FEB" w:rsidRPr="00132AA2" w:rsidRDefault="00DB0FEB" w:rsidP="00DB0FEB">
            <w:pPr>
              <w:spacing w:after="0"/>
              <w:jc w:val="both"/>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701"/>
              <w:gridCol w:w="1760"/>
              <w:gridCol w:w="1256"/>
              <w:gridCol w:w="1538"/>
            </w:tblGrid>
            <w:tr w:rsidR="00B44D6F" w:rsidRPr="00132AA2" w14:paraId="29386E7A" w14:textId="77777777" w:rsidTr="0099083A">
              <w:tc>
                <w:tcPr>
                  <w:tcW w:w="2029" w:type="dxa"/>
                  <w:shd w:val="clear" w:color="auto" w:fill="auto"/>
                </w:tcPr>
                <w:p w14:paraId="0DBB2BCF" w14:textId="77777777" w:rsidR="00B44D6F" w:rsidRPr="00326D8B" w:rsidRDefault="00B44D6F" w:rsidP="005C4088">
                  <w:pPr>
                    <w:spacing w:after="0"/>
                    <w:jc w:val="center"/>
                    <w:rPr>
                      <w:rFonts w:ascii="Arial" w:hAnsi="Arial" w:cs="Arial"/>
                      <w:b/>
                      <w:sz w:val="24"/>
                      <w:szCs w:val="24"/>
                    </w:rPr>
                  </w:pPr>
                  <w:r w:rsidRPr="00326D8B">
                    <w:rPr>
                      <w:rFonts w:ascii="Arial" w:hAnsi="Arial" w:cs="Arial"/>
                      <w:b/>
                      <w:sz w:val="24"/>
                      <w:szCs w:val="24"/>
                    </w:rPr>
                    <w:t>Requester</w:t>
                  </w:r>
                </w:p>
              </w:tc>
              <w:tc>
                <w:tcPr>
                  <w:tcW w:w="1701" w:type="dxa"/>
                  <w:shd w:val="clear" w:color="auto" w:fill="auto"/>
                </w:tcPr>
                <w:p w14:paraId="608C66CF" w14:textId="567551A8" w:rsidR="00B44D6F" w:rsidRPr="00326D8B" w:rsidRDefault="00B44D6F" w:rsidP="005C4088">
                  <w:pPr>
                    <w:spacing w:after="0"/>
                    <w:jc w:val="center"/>
                    <w:rPr>
                      <w:rFonts w:ascii="Arial" w:hAnsi="Arial" w:cs="Arial"/>
                      <w:b/>
                      <w:sz w:val="24"/>
                      <w:szCs w:val="24"/>
                    </w:rPr>
                  </w:pPr>
                  <w:r w:rsidRPr="00326D8B">
                    <w:rPr>
                      <w:rFonts w:ascii="Arial" w:hAnsi="Arial" w:cs="Arial"/>
                      <w:b/>
                      <w:sz w:val="24"/>
                      <w:szCs w:val="24"/>
                    </w:rPr>
                    <w:t xml:space="preserve">Number </w:t>
                  </w:r>
                  <w:r w:rsidR="00326D8B" w:rsidRPr="00326D8B">
                    <w:rPr>
                      <w:rFonts w:ascii="Arial" w:hAnsi="Arial" w:cs="Arial"/>
                      <w:b/>
                      <w:sz w:val="24"/>
                      <w:szCs w:val="24"/>
                    </w:rPr>
                    <w:t>2</w:t>
                  </w:r>
                  <w:r w:rsidR="00E4292B">
                    <w:rPr>
                      <w:rFonts w:ascii="Arial" w:hAnsi="Arial" w:cs="Arial"/>
                      <w:b/>
                      <w:sz w:val="24"/>
                      <w:szCs w:val="24"/>
                    </w:rPr>
                    <w:t>1</w:t>
                  </w:r>
                  <w:r w:rsidRPr="00326D8B">
                    <w:rPr>
                      <w:rFonts w:ascii="Arial" w:hAnsi="Arial" w:cs="Arial"/>
                      <w:b/>
                      <w:sz w:val="24"/>
                      <w:szCs w:val="24"/>
                    </w:rPr>
                    <w:t>/</w:t>
                  </w:r>
                  <w:r w:rsidR="008D48F5" w:rsidRPr="00326D8B">
                    <w:rPr>
                      <w:rFonts w:ascii="Arial" w:hAnsi="Arial" w:cs="Arial"/>
                      <w:b/>
                      <w:sz w:val="24"/>
                      <w:szCs w:val="24"/>
                    </w:rPr>
                    <w:t>2</w:t>
                  </w:r>
                  <w:r w:rsidR="00E4292B">
                    <w:rPr>
                      <w:rFonts w:ascii="Arial" w:hAnsi="Arial" w:cs="Arial"/>
                      <w:b/>
                      <w:sz w:val="24"/>
                      <w:szCs w:val="24"/>
                    </w:rPr>
                    <w:t>2</w:t>
                  </w:r>
                </w:p>
              </w:tc>
              <w:tc>
                <w:tcPr>
                  <w:tcW w:w="1760" w:type="dxa"/>
                  <w:shd w:val="clear" w:color="auto" w:fill="auto"/>
                </w:tcPr>
                <w:p w14:paraId="0550FF66" w14:textId="04047D31" w:rsidR="00B44D6F" w:rsidRPr="00326D8B" w:rsidRDefault="00B44D6F" w:rsidP="005C4088">
                  <w:pPr>
                    <w:spacing w:after="0"/>
                    <w:jc w:val="center"/>
                    <w:rPr>
                      <w:rFonts w:ascii="Arial" w:hAnsi="Arial" w:cs="Arial"/>
                      <w:b/>
                      <w:sz w:val="24"/>
                      <w:szCs w:val="24"/>
                    </w:rPr>
                  </w:pPr>
                  <w:r w:rsidRPr="00326D8B">
                    <w:rPr>
                      <w:rFonts w:ascii="Arial" w:hAnsi="Arial" w:cs="Arial"/>
                      <w:b/>
                      <w:sz w:val="24"/>
                      <w:szCs w:val="24"/>
                    </w:rPr>
                    <w:t xml:space="preserve">Percentage </w:t>
                  </w:r>
                  <w:r w:rsidR="00326D8B" w:rsidRPr="00326D8B">
                    <w:rPr>
                      <w:rFonts w:ascii="Arial" w:hAnsi="Arial" w:cs="Arial"/>
                      <w:b/>
                      <w:sz w:val="24"/>
                      <w:szCs w:val="24"/>
                    </w:rPr>
                    <w:t>2</w:t>
                  </w:r>
                  <w:r w:rsidR="00E4292B">
                    <w:rPr>
                      <w:rFonts w:ascii="Arial" w:hAnsi="Arial" w:cs="Arial"/>
                      <w:b/>
                      <w:sz w:val="24"/>
                      <w:szCs w:val="24"/>
                    </w:rPr>
                    <w:t>1</w:t>
                  </w:r>
                  <w:r w:rsidRPr="00326D8B">
                    <w:rPr>
                      <w:rFonts w:ascii="Arial" w:hAnsi="Arial" w:cs="Arial"/>
                      <w:b/>
                      <w:sz w:val="24"/>
                      <w:szCs w:val="24"/>
                    </w:rPr>
                    <w:t>/</w:t>
                  </w:r>
                  <w:r w:rsidR="008D48F5" w:rsidRPr="00326D8B">
                    <w:rPr>
                      <w:rFonts w:ascii="Arial" w:hAnsi="Arial" w:cs="Arial"/>
                      <w:b/>
                      <w:sz w:val="24"/>
                      <w:szCs w:val="24"/>
                    </w:rPr>
                    <w:t>2</w:t>
                  </w:r>
                  <w:r w:rsidR="00E4292B">
                    <w:rPr>
                      <w:rFonts w:ascii="Arial" w:hAnsi="Arial" w:cs="Arial"/>
                      <w:b/>
                      <w:sz w:val="24"/>
                      <w:szCs w:val="24"/>
                    </w:rPr>
                    <w:t>2</w:t>
                  </w:r>
                </w:p>
              </w:tc>
              <w:tc>
                <w:tcPr>
                  <w:tcW w:w="1256" w:type="dxa"/>
                  <w:shd w:val="clear" w:color="auto" w:fill="auto"/>
                </w:tcPr>
                <w:p w14:paraId="0F62AAA0" w14:textId="6E8FA30C" w:rsidR="00B44D6F" w:rsidRPr="00196677" w:rsidRDefault="00B44D6F" w:rsidP="005C4088">
                  <w:pPr>
                    <w:spacing w:after="0"/>
                    <w:jc w:val="center"/>
                    <w:rPr>
                      <w:rFonts w:ascii="Arial" w:hAnsi="Arial" w:cs="Arial"/>
                      <w:b/>
                      <w:sz w:val="24"/>
                      <w:szCs w:val="24"/>
                    </w:rPr>
                  </w:pPr>
                  <w:r w:rsidRPr="00196677">
                    <w:rPr>
                      <w:rFonts w:ascii="Arial" w:hAnsi="Arial" w:cs="Arial"/>
                      <w:b/>
                      <w:sz w:val="24"/>
                      <w:szCs w:val="24"/>
                    </w:rPr>
                    <w:t xml:space="preserve">Number </w:t>
                  </w:r>
                  <w:r w:rsidR="008D48F5" w:rsidRPr="00196677">
                    <w:rPr>
                      <w:rFonts w:ascii="Arial" w:hAnsi="Arial" w:cs="Arial"/>
                      <w:b/>
                      <w:sz w:val="24"/>
                      <w:szCs w:val="24"/>
                    </w:rPr>
                    <w:t>2</w:t>
                  </w:r>
                  <w:r w:rsidR="00E4292B">
                    <w:rPr>
                      <w:rFonts w:ascii="Arial" w:hAnsi="Arial" w:cs="Arial"/>
                      <w:b/>
                      <w:sz w:val="24"/>
                      <w:szCs w:val="24"/>
                    </w:rPr>
                    <w:t>1</w:t>
                  </w:r>
                  <w:r w:rsidRPr="00196677">
                    <w:rPr>
                      <w:rFonts w:ascii="Arial" w:hAnsi="Arial" w:cs="Arial"/>
                      <w:b/>
                      <w:sz w:val="24"/>
                      <w:szCs w:val="24"/>
                    </w:rPr>
                    <w:t>/2</w:t>
                  </w:r>
                  <w:r w:rsidR="00E4292B">
                    <w:rPr>
                      <w:rFonts w:ascii="Arial" w:hAnsi="Arial" w:cs="Arial"/>
                      <w:b/>
                      <w:sz w:val="24"/>
                      <w:szCs w:val="24"/>
                    </w:rPr>
                    <w:t>2</w:t>
                  </w:r>
                </w:p>
              </w:tc>
              <w:tc>
                <w:tcPr>
                  <w:tcW w:w="1538" w:type="dxa"/>
                  <w:shd w:val="clear" w:color="auto" w:fill="auto"/>
                </w:tcPr>
                <w:p w14:paraId="573862F0" w14:textId="79D75C92" w:rsidR="00B44D6F" w:rsidRPr="00196677" w:rsidRDefault="00B44D6F" w:rsidP="005C4088">
                  <w:pPr>
                    <w:spacing w:after="0"/>
                    <w:jc w:val="center"/>
                    <w:rPr>
                      <w:rFonts w:ascii="Arial" w:hAnsi="Arial" w:cs="Arial"/>
                      <w:b/>
                      <w:sz w:val="24"/>
                      <w:szCs w:val="24"/>
                    </w:rPr>
                  </w:pPr>
                  <w:r w:rsidRPr="00196677">
                    <w:rPr>
                      <w:rFonts w:ascii="Arial" w:hAnsi="Arial" w:cs="Arial"/>
                      <w:b/>
                      <w:sz w:val="24"/>
                      <w:szCs w:val="24"/>
                    </w:rPr>
                    <w:t xml:space="preserve">Percentage </w:t>
                  </w:r>
                  <w:r w:rsidR="008D48F5" w:rsidRPr="00196677">
                    <w:rPr>
                      <w:rFonts w:ascii="Arial" w:hAnsi="Arial" w:cs="Arial"/>
                      <w:b/>
                      <w:sz w:val="24"/>
                      <w:szCs w:val="24"/>
                    </w:rPr>
                    <w:t>2</w:t>
                  </w:r>
                  <w:r w:rsidR="00E4292B">
                    <w:rPr>
                      <w:rFonts w:ascii="Arial" w:hAnsi="Arial" w:cs="Arial"/>
                      <w:b/>
                      <w:sz w:val="24"/>
                      <w:szCs w:val="24"/>
                    </w:rPr>
                    <w:t>1</w:t>
                  </w:r>
                  <w:r w:rsidRPr="00196677">
                    <w:rPr>
                      <w:rFonts w:ascii="Arial" w:hAnsi="Arial" w:cs="Arial"/>
                      <w:b/>
                      <w:sz w:val="24"/>
                      <w:szCs w:val="24"/>
                    </w:rPr>
                    <w:t>/2</w:t>
                  </w:r>
                  <w:r w:rsidR="00E4292B">
                    <w:rPr>
                      <w:rFonts w:ascii="Arial" w:hAnsi="Arial" w:cs="Arial"/>
                      <w:b/>
                      <w:sz w:val="24"/>
                      <w:szCs w:val="24"/>
                    </w:rPr>
                    <w:t>2</w:t>
                  </w:r>
                </w:p>
              </w:tc>
            </w:tr>
            <w:tr w:rsidR="00326D8B" w:rsidRPr="00132AA2" w14:paraId="58F5033C" w14:textId="77777777" w:rsidTr="0099083A">
              <w:tc>
                <w:tcPr>
                  <w:tcW w:w="2029" w:type="dxa"/>
                  <w:shd w:val="clear" w:color="auto" w:fill="auto"/>
                </w:tcPr>
                <w:p w14:paraId="74F2F743" w14:textId="77777777" w:rsidR="00326D8B" w:rsidRPr="00326D8B" w:rsidRDefault="00326D8B" w:rsidP="00326D8B">
                  <w:pPr>
                    <w:spacing w:after="0"/>
                    <w:rPr>
                      <w:rFonts w:ascii="Arial" w:hAnsi="Arial" w:cs="Arial"/>
                      <w:sz w:val="24"/>
                      <w:szCs w:val="24"/>
                    </w:rPr>
                  </w:pPr>
                  <w:r w:rsidRPr="00326D8B">
                    <w:rPr>
                      <w:rFonts w:ascii="Arial" w:hAnsi="Arial" w:cs="Arial"/>
                      <w:sz w:val="24"/>
                      <w:szCs w:val="24"/>
                    </w:rPr>
                    <w:t>General Public</w:t>
                  </w:r>
                </w:p>
              </w:tc>
              <w:tc>
                <w:tcPr>
                  <w:tcW w:w="1701" w:type="dxa"/>
                  <w:shd w:val="clear" w:color="auto" w:fill="auto"/>
                </w:tcPr>
                <w:p w14:paraId="2804C758" w14:textId="7014B87A"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20</w:t>
                  </w:r>
                </w:p>
              </w:tc>
              <w:tc>
                <w:tcPr>
                  <w:tcW w:w="1760" w:type="dxa"/>
                  <w:shd w:val="clear" w:color="auto" w:fill="auto"/>
                </w:tcPr>
                <w:p w14:paraId="5A603423" w14:textId="5D75D622"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70%</w:t>
                  </w:r>
                </w:p>
              </w:tc>
              <w:tc>
                <w:tcPr>
                  <w:tcW w:w="1256" w:type="dxa"/>
                  <w:shd w:val="clear" w:color="auto" w:fill="auto"/>
                </w:tcPr>
                <w:p w14:paraId="37BD1342" w14:textId="54206130"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36</w:t>
                  </w:r>
                </w:p>
              </w:tc>
              <w:tc>
                <w:tcPr>
                  <w:tcW w:w="1538" w:type="dxa"/>
                  <w:shd w:val="clear" w:color="auto" w:fill="auto"/>
                </w:tcPr>
                <w:p w14:paraId="6B989E12" w14:textId="5A15E1A1" w:rsidR="00196677" w:rsidRPr="00196677" w:rsidRDefault="00196677" w:rsidP="00196677">
                  <w:pPr>
                    <w:spacing w:after="0"/>
                    <w:jc w:val="center"/>
                    <w:rPr>
                      <w:rFonts w:ascii="Arial" w:hAnsi="Arial" w:cs="Arial"/>
                      <w:sz w:val="24"/>
                      <w:szCs w:val="24"/>
                    </w:rPr>
                  </w:pPr>
                  <w:r w:rsidRPr="00196677">
                    <w:rPr>
                      <w:rFonts w:ascii="Arial" w:hAnsi="Arial" w:cs="Arial"/>
                      <w:sz w:val="24"/>
                      <w:szCs w:val="24"/>
                    </w:rPr>
                    <w:t>56%</w:t>
                  </w:r>
                </w:p>
              </w:tc>
            </w:tr>
            <w:tr w:rsidR="00326D8B" w:rsidRPr="00132AA2" w14:paraId="464F6679" w14:textId="77777777" w:rsidTr="0099083A">
              <w:tc>
                <w:tcPr>
                  <w:tcW w:w="2029" w:type="dxa"/>
                  <w:shd w:val="clear" w:color="auto" w:fill="auto"/>
                </w:tcPr>
                <w:p w14:paraId="4A8A07D0" w14:textId="77777777" w:rsidR="00326D8B" w:rsidRPr="00326D8B" w:rsidRDefault="00326D8B" w:rsidP="00326D8B">
                  <w:pPr>
                    <w:spacing w:after="0"/>
                    <w:jc w:val="both"/>
                    <w:rPr>
                      <w:rFonts w:ascii="Arial" w:hAnsi="Arial" w:cs="Arial"/>
                      <w:sz w:val="24"/>
                      <w:szCs w:val="24"/>
                    </w:rPr>
                  </w:pPr>
                  <w:r w:rsidRPr="00326D8B">
                    <w:rPr>
                      <w:rFonts w:ascii="Arial" w:hAnsi="Arial" w:cs="Arial"/>
                      <w:sz w:val="24"/>
                      <w:szCs w:val="24"/>
                    </w:rPr>
                    <w:t>Media</w:t>
                  </w:r>
                </w:p>
              </w:tc>
              <w:tc>
                <w:tcPr>
                  <w:tcW w:w="1701" w:type="dxa"/>
                  <w:shd w:val="clear" w:color="auto" w:fill="auto"/>
                </w:tcPr>
                <w:p w14:paraId="2C5A896F" w14:textId="65F601BA"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2</w:t>
                  </w:r>
                </w:p>
              </w:tc>
              <w:tc>
                <w:tcPr>
                  <w:tcW w:w="1760" w:type="dxa"/>
                  <w:shd w:val="clear" w:color="auto" w:fill="auto"/>
                </w:tcPr>
                <w:p w14:paraId="28573D1E" w14:textId="0CA4BBE2"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7%</w:t>
                  </w:r>
                </w:p>
              </w:tc>
              <w:tc>
                <w:tcPr>
                  <w:tcW w:w="1256" w:type="dxa"/>
                  <w:shd w:val="clear" w:color="auto" w:fill="auto"/>
                </w:tcPr>
                <w:p w14:paraId="35D080EA" w14:textId="793D4234"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3</w:t>
                  </w:r>
                </w:p>
              </w:tc>
              <w:tc>
                <w:tcPr>
                  <w:tcW w:w="1538" w:type="dxa"/>
                  <w:shd w:val="clear" w:color="auto" w:fill="auto"/>
                </w:tcPr>
                <w:p w14:paraId="1AEE62C2" w14:textId="147DCFE8"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5%</w:t>
                  </w:r>
                </w:p>
              </w:tc>
            </w:tr>
            <w:tr w:rsidR="00326D8B" w:rsidRPr="00132AA2" w14:paraId="13A15E68" w14:textId="77777777" w:rsidTr="0099083A">
              <w:tc>
                <w:tcPr>
                  <w:tcW w:w="2029" w:type="dxa"/>
                  <w:shd w:val="clear" w:color="auto" w:fill="auto"/>
                </w:tcPr>
                <w:p w14:paraId="6F1AFA0F" w14:textId="77777777" w:rsidR="00326D8B" w:rsidRPr="00326D8B" w:rsidRDefault="00326D8B" w:rsidP="00326D8B">
                  <w:pPr>
                    <w:spacing w:after="0"/>
                    <w:jc w:val="both"/>
                    <w:rPr>
                      <w:rFonts w:ascii="Arial" w:hAnsi="Arial" w:cs="Arial"/>
                      <w:sz w:val="24"/>
                      <w:szCs w:val="24"/>
                    </w:rPr>
                  </w:pPr>
                  <w:r w:rsidRPr="00326D8B">
                    <w:rPr>
                      <w:rFonts w:ascii="Arial" w:hAnsi="Arial" w:cs="Arial"/>
                      <w:sz w:val="24"/>
                      <w:szCs w:val="24"/>
                    </w:rPr>
                    <w:t>Business</w:t>
                  </w:r>
                </w:p>
              </w:tc>
              <w:tc>
                <w:tcPr>
                  <w:tcW w:w="1701" w:type="dxa"/>
                  <w:shd w:val="clear" w:color="auto" w:fill="auto"/>
                </w:tcPr>
                <w:p w14:paraId="78F803F0" w14:textId="29AD1B82"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3</w:t>
                  </w:r>
                </w:p>
              </w:tc>
              <w:tc>
                <w:tcPr>
                  <w:tcW w:w="1760" w:type="dxa"/>
                  <w:shd w:val="clear" w:color="auto" w:fill="auto"/>
                </w:tcPr>
                <w:p w14:paraId="5DBBFD01" w14:textId="26C8854D"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10%</w:t>
                  </w:r>
                </w:p>
              </w:tc>
              <w:tc>
                <w:tcPr>
                  <w:tcW w:w="1256" w:type="dxa"/>
                  <w:shd w:val="clear" w:color="auto" w:fill="auto"/>
                </w:tcPr>
                <w:p w14:paraId="0FE60215" w14:textId="3100368D"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17</w:t>
                  </w:r>
                </w:p>
              </w:tc>
              <w:tc>
                <w:tcPr>
                  <w:tcW w:w="1538" w:type="dxa"/>
                  <w:shd w:val="clear" w:color="auto" w:fill="auto"/>
                </w:tcPr>
                <w:p w14:paraId="05EA96A1" w14:textId="399DB8C5"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27%</w:t>
                  </w:r>
                </w:p>
              </w:tc>
            </w:tr>
            <w:tr w:rsidR="00326D8B" w:rsidRPr="00132AA2" w14:paraId="61F45301" w14:textId="77777777" w:rsidTr="0099083A">
              <w:tc>
                <w:tcPr>
                  <w:tcW w:w="2029" w:type="dxa"/>
                  <w:shd w:val="clear" w:color="auto" w:fill="auto"/>
                </w:tcPr>
                <w:p w14:paraId="30AF6CEF" w14:textId="77777777" w:rsidR="00326D8B" w:rsidRPr="00326D8B" w:rsidRDefault="00326D8B" w:rsidP="00326D8B">
                  <w:pPr>
                    <w:spacing w:after="0"/>
                    <w:jc w:val="both"/>
                    <w:rPr>
                      <w:rFonts w:ascii="Arial" w:hAnsi="Arial" w:cs="Arial"/>
                      <w:sz w:val="24"/>
                      <w:szCs w:val="24"/>
                    </w:rPr>
                  </w:pPr>
                  <w:r w:rsidRPr="00326D8B">
                    <w:rPr>
                      <w:rFonts w:ascii="Arial" w:hAnsi="Arial" w:cs="Arial"/>
                      <w:sz w:val="24"/>
                      <w:szCs w:val="24"/>
                    </w:rPr>
                    <w:lastRenderedPageBreak/>
                    <w:t>Charities</w:t>
                  </w:r>
                </w:p>
              </w:tc>
              <w:tc>
                <w:tcPr>
                  <w:tcW w:w="1701" w:type="dxa"/>
                  <w:shd w:val="clear" w:color="auto" w:fill="auto"/>
                </w:tcPr>
                <w:p w14:paraId="54F2ECA8" w14:textId="71050305"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1</w:t>
                  </w:r>
                </w:p>
              </w:tc>
              <w:tc>
                <w:tcPr>
                  <w:tcW w:w="1760" w:type="dxa"/>
                  <w:shd w:val="clear" w:color="auto" w:fill="auto"/>
                </w:tcPr>
                <w:p w14:paraId="066DCF16" w14:textId="75AE9749"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3%</w:t>
                  </w:r>
                </w:p>
              </w:tc>
              <w:tc>
                <w:tcPr>
                  <w:tcW w:w="1256" w:type="dxa"/>
                  <w:shd w:val="clear" w:color="auto" w:fill="auto"/>
                </w:tcPr>
                <w:p w14:paraId="3DAE419B" w14:textId="70399C6E"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3</w:t>
                  </w:r>
                </w:p>
              </w:tc>
              <w:tc>
                <w:tcPr>
                  <w:tcW w:w="1538" w:type="dxa"/>
                  <w:shd w:val="clear" w:color="auto" w:fill="auto"/>
                </w:tcPr>
                <w:p w14:paraId="61179D24" w14:textId="72C62DF6"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5%</w:t>
                  </w:r>
                </w:p>
              </w:tc>
            </w:tr>
            <w:tr w:rsidR="00326D8B" w:rsidRPr="00132AA2" w14:paraId="037F6543" w14:textId="77777777" w:rsidTr="0099083A">
              <w:tc>
                <w:tcPr>
                  <w:tcW w:w="2029" w:type="dxa"/>
                  <w:shd w:val="clear" w:color="auto" w:fill="auto"/>
                </w:tcPr>
                <w:p w14:paraId="752140E6" w14:textId="77777777" w:rsidR="00326D8B" w:rsidRPr="00326D8B" w:rsidRDefault="00326D8B" w:rsidP="00326D8B">
                  <w:pPr>
                    <w:spacing w:after="0"/>
                    <w:jc w:val="both"/>
                    <w:rPr>
                      <w:rFonts w:ascii="Arial" w:hAnsi="Arial" w:cs="Arial"/>
                      <w:sz w:val="24"/>
                      <w:szCs w:val="24"/>
                    </w:rPr>
                  </w:pPr>
                  <w:r w:rsidRPr="00326D8B">
                    <w:rPr>
                      <w:rFonts w:ascii="Arial" w:hAnsi="Arial" w:cs="Arial"/>
                      <w:sz w:val="24"/>
                      <w:szCs w:val="24"/>
                    </w:rPr>
                    <w:t>Political Parties</w:t>
                  </w:r>
                </w:p>
              </w:tc>
              <w:tc>
                <w:tcPr>
                  <w:tcW w:w="1701" w:type="dxa"/>
                  <w:shd w:val="clear" w:color="auto" w:fill="auto"/>
                </w:tcPr>
                <w:p w14:paraId="17C3BB35" w14:textId="6851CAE1"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2</w:t>
                  </w:r>
                </w:p>
              </w:tc>
              <w:tc>
                <w:tcPr>
                  <w:tcW w:w="1760" w:type="dxa"/>
                  <w:shd w:val="clear" w:color="auto" w:fill="auto"/>
                </w:tcPr>
                <w:p w14:paraId="4AF19946" w14:textId="45EED430"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7%</w:t>
                  </w:r>
                </w:p>
              </w:tc>
              <w:tc>
                <w:tcPr>
                  <w:tcW w:w="1256" w:type="dxa"/>
                  <w:shd w:val="clear" w:color="auto" w:fill="auto"/>
                </w:tcPr>
                <w:p w14:paraId="3191F509" w14:textId="6D3326AA"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1</w:t>
                  </w:r>
                </w:p>
              </w:tc>
              <w:tc>
                <w:tcPr>
                  <w:tcW w:w="1538" w:type="dxa"/>
                  <w:shd w:val="clear" w:color="auto" w:fill="auto"/>
                </w:tcPr>
                <w:p w14:paraId="4772359B" w14:textId="37DE32C0"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1%</w:t>
                  </w:r>
                </w:p>
              </w:tc>
            </w:tr>
            <w:tr w:rsidR="00326D8B" w:rsidRPr="00326D8B" w14:paraId="49E3040E" w14:textId="77777777" w:rsidTr="0099083A">
              <w:tc>
                <w:tcPr>
                  <w:tcW w:w="2029" w:type="dxa"/>
                  <w:shd w:val="clear" w:color="auto" w:fill="auto"/>
                </w:tcPr>
                <w:p w14:paraId="495C68AC" w14:textId="77777777" w:rsidR="00326D8B" w:rsidRPr="00326D8B" w:rsidRDefault="00326D8B" w:rsidP="00326D8B">
                  <w:pPr>
                    <w:spacing w:after="0"/>
                    <w:jc w:val="both"/>
                    <w:rPr>
                      <w:rFonts w:ascii="Arial" w:hAnsi="Arial" w:cs="Arial"/>
                      <w:sz w:val="24"/>
                      <w:szCs w:val="24"/>
                    </w:rPr>
                  </w:pPr>
                  <w:r w:rsidRPr="00326D8B">
                    <w:rPr>
                      <w:rFonts w:ascii="Arial" w:hAnsi="Arial" w:cs="Arial"/>
                      <w:sz w:val="24"/>
                      <w:szCs w:val="24"/>
                    </w:rPr>
                    <w:t>Students</w:t>
                  </w:r>
                </w:p>
              </w:tc>
              <w:tc>
                <w:tcPr>
                  <w:tcW w:w="1701" w:type="dxa"/>
                  <w:shd w:val="clear" w:color="auto" w:fill="auto"/>
                </w:tcPr>
                <w:p w14:paraId="79286433" w14:textId="33E5E0F7"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1</w:t>
                  </w:r>
                </w:p>
              </w:tc>
              <w:tc>
                <w:tcPr>
                  <w:tcW w:w="1760" w:type="dxa"/>
                  <w:shd w:val="clear" w:color="auto" w:fill="auto"/>
                </w:tcPr>
                <w:p w14:paraId="1D98F0F1" w14:textId="14F43448" w:rsidR="00326D8B" w:rsidRPr="00326D8B" w:rsidRDefault="00326D8B" w:rsidP="00326D8B">
                  <w:pPr>
                    <w:spacing w:after="0"/>
                    <w:jc w:val="center"/>
                    <w:rPr>
                      <w:rFonts w:ascii="Arial" w:hAnsi="Arial" w:cs="Arial"/>
                      <w:sz w:val="24"/>
                      <w:szCs w:val="24"/>
                    </w:rPr>
                  </w:pPr>
                  <w:r w:rsidRPr="00326D8B">
                    <w:rPr>
                      <w:rFonts w:ascii="Arial" w:hAnsi="Arial" w:cs="Arial"/>
                      <w:sz w:val="24"/>
                      <w:szCs w:val="24"/>
                    </w:rPr>
                    <w:t>3%</w:t>
                  </w:r>
                </w:p>
              </w:tc>
              <w:tc>
                <w:tcPr>
                  <w:tcW w:w="1256" w:type="dxa"/>
                  <w:shd w:val="clear" w:color="auto" w:fill="auto"/>
                </w:tcPr>
                <w:p w14:paraId="0F5FFD22" w14:textId="5E5F2797"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2</w:t>
                  </w:r>
                </w:p>
              </w:tc>
              <w:tc>
                <w:tcPr>
                  <w:tcW w:w="1538" w:type="dxa"/>
                  <w:shd w:val="clear" w:color="auto" w:fill="auto"/>
                </w:tcPr>
                <w:p w14:paraId="707EC1F0" w14:textId="624DB74E" w:rsidR="00326D8B" w:rsidRPr="00196677" w:rsidRDefault="00196677" w:rsidP="00326D8B">
                  <w:pPr>
                    <w:spacing w:after="0"/>
                    <w:jc w:val="center"/>
                    <w:rPr>
                      <w:rFonts w:ascii="Arial" w:hAnsi="Arial" w:cs="Arial"/>
                      <w:sz w:val="24"/>
                      <w:szCs w:val="24"/>
                    </w:rPr>
                  </w:pPr>
                  <w:r w:rsidRPr="00196677">
                    <w:rPr>
                      <w:rFonts w:ascii="Arial" w:hAnsi="Arial" w:cs="Arial"/>
                      <w:sz w:val="24"/>
                      <w:szCs w:val="24"/>
                    </w:rPr>
                    <w:t>3%</w:t>
                  </w:r>
                </w:p>
              </w:tc>
            </w:tr>
            <w:tr w:rsidR="00196677" w:rsidRPr="00326D8B" w14:paraId="4CB3EA97" w14:textId="77777777" w:rsidTr="0099083A">
              <w:tc>
                <w:tcPr>
                  <w:tcW w:w="2029" w:type="dxa"/>
                  <w:shd w:val="clear" w:color="auto" w:fill="auto"/>
                </w:tcPr>
                <w:p w14:paraId="4DC8EF73" w14:textId="2711995E" w:rsidR="00196677" w:rsidRPr="00326D8B" w:rsidRDefault="00196677" w:rsidP="00326D8B">
                  <w:pPr>
                    <w:spacing w:after="0"/>
                    <w:jc w:val="both"/>
                    <w:rPr>
                      <w:rFonts w:ascii="Arial" w:hAnsi="Arial" w:cs="Arial"/>
                      <w:sz w:val="24"/>
                      <w:szCs w:val="24"/>
                    </w:rPr>
                  </w:pPr>
                  <w:r>
                    <w:rPr>
                      <w:rFonts w:ascii="Arial" w:hAnsi="Arial" w:cs="Arial"/>
                      <w:sz w:val="24"/>
                      <w:szCs w:val="24"/>
                    </w:rPr>
                    <w:t>Other</w:t>
                  </w:r>
                </w:p>
              </w:tc>
              <w:tc>
                <w:tcPr>
                  <w:tcW w:w="1701" w:type="dxa"/>
                  <w:shd w:val="clear" w:color="auto" w:fill="auto"/>
                </w:tcPr>
                <w:p w14:paraId="3096F01C" w14:textId="69357241" w:rsidR="00196677" w:rsidRPr="00326D8B" w:rsidRDefault="00196677" w:rsidP="00326D8B">
                  <w:pPr>
                    <w:spacing w:after="0"/>
                    <w:jc w:val="center"/>
                    <w:rPr>
                      <w:rFonts w:ascii="Arial" w:hAnsi="Arial" w:cs="Arial"/>
                      <w:sz w:val="24"/>
                      <w:szCs w:val="24"/>
                    </w:rPr>
                  </w:pPr>
                  <w:r>
                    <w:rPr>
                      <w:rFonts w:ascii="Arial" w:hAnsi="Arial" w:cs="Arial"/>
                      <w:sz w:val="24"/>
                      <w:szCs w:val="24"/>
                    </w:rPr>
                    <w:t>-</w:t>
                  </w:r>
                </w:p>
              </w:tc>
              <w:tc>
                <w:tcPr>
                  <w:tcW w:w="1760" w:type="dxa"/>
                  <w:shd w:val="clear" w:color="auto" w:fill="auto"/>
                </w:tcPr>
                <w:p w14:paraId="29863A24" w14:textId="426D0FEA" w:rsidR="00196677" w:rsidRPr="00326D8B" w:rsidRDefault="00196677" w:rsidP="00326D8B">
                  <w:pPr>
                    <w:spacing w:after="0"/>
                    <w:jc w:val="center"/>
                    <w:rPr>
                      <w:rFonts w:ascii="Arial" w:hAnsi="Arial" w:cs="Arial"/>
                      <w:sz w:val="24"/>
                      <w:szCs w:val="24"/>
                    </w:rPr>
                  </w:pPr>
                  <w:r>
                    <w:rPr>
                      <w:rFonts w:ascii="Arial" w:hAnsi="Arial" w:cs="Arial"/>
                      <w:sz w:val="24"/>
                      <w:szCs w:val="24"/>
                    </w:rPr>
                    <w:t>-</w:t>
                  </w:r>
                </w:p>
              </w:tc>
              <w:tc>
                <w:tcPr>
                  <w:tcW w:w="1256" w:type="dxa"/>
                  <w:shd w:val="clear" w:color="auto" w:fill="auto"/>
                </w:tcPr>
                <w:p w14:paraId="1D7133FF" w14:textId="6D0857DA" w:rsidR="00196677" w:rsidRDefault="00196677" w:rsidP="00326D8B">
                  <w:pPr>
                    <w:spacing w:after="0"/>
                    <w:jc w:val="center"/>
                    <w:rPr>
                      <w:rFonts w:ascii="Arial" w:hAnsi="Arial" w:cs="Arial"/>
                      <w:sz w:val="24"/>
                      <w:szCs w:val="24"/>
                    </w:rPr>
                  </w:pPr>
                  <w:r>
                    <w:rPr>
                      <w:rFonts w:ascii="Arial" w:hAnsi="Arial" w:cs="Arial"/>
                      <w:sz w:val="24"/>
                      <w:szCs w:val="24"/>
                    </w:rPr>
                    <w:t>2</w:t>
                  </w:r>
                </w:p>
              </w:tc>
              <w:tc>
                <w:tcPr>
                  <w:tcW w:w="1538" w:type="dxa"/>
                  <w:shd w:val="clear" w:color="auto" w:fill="auto"/>
                </w:tcPr>
                <w:p w14:paraId="1AE48AF7" w14:textId="5A7E1715" w:rsidR="00196677" w:rsidRPr="00196677" w:rsidRDefault="00196677" w:rsidP="00326D8B">
                  <w:pPr>
                    <w:spacing w:after="0"/>
                    <w:jc w:val="center"/>
                    <w:rPr>
                      <w:rFonts w:ascii="Arial" w:hAnsi="Arial" w:cs="Arial"/>
                      <w:sz w:val="24"/>
                      <w:szCs w:val="24"/>
                    </w:rPr>
                  </w:pPr>
                  <w:r w:rsidRPr="00196677">
                    <w:rPr>
                      <w:rFonts w:ascii="Arial" w:hAnsi="Arial" w:cs="Arial"/>
                      <w:sz w:val="24"/>
                      <w:szCs w:val="24"/>
                    </w:rPr>
                    <w:t>3%</w:t>
                  </w:r>
                </w:p>
              </w:tc>
            </w:tr>
          </w:tbl>
          <w:p w14:paraId="251F6E45" w14:textId="77777777" w:rsidR="00DB0FEB" w:rsidRPr="00326D8B" w:rsidRDefault="00DB0FEB" w:rsidP="00632622">
            <w:pPr>
              <w:spacing w:after="0"/>
              <w:jc w:val="both"/>
              <w:rPr>
                <w:rFonts w:ascii="Arial" w:hAnsi="Arial" w:cs="Arial"/>
                <w:sz w:val="24"/>
                <w:szCs w:val="24"/>
              </w:rPr>
            </w:pPr>
          </w:p>
          <w:p w14:paraId="41D61719" w14:textId="6BA0D7D1" w:rsidR="0028549D" w:rsidRDefault="00F303F6" w:rsidP="00632622">
            <w:pPr>
              <w:spacing w:after="0"/>
              <w:jc w:val="both"/>
              <w:rPr>
                <w:rFonts w:ascii="Arial" w:hAnsi="Arial" w:cs="Arial"/>
                <w:sz w:val="24"/>
                <w:szCs w:val="24"/>
              </w:rPr>
            </w:pPr>
            <w:r w:rsidRPr="00196677">
              <w:rPr>
                <w:rFonts w:ascii="Arial" w:hAnsi="Arial" w:cs="Arial"/>
                <w:sz w:val="24"/>
                <w:szCs w:val="24"/>
              </w:rPr>
              <w:t>The above table shows that most FOIA requests were submitted by the general public although it is possible that those submitting requests did not identify themselves to the OPCC as falling within another category</w:t>
            </w:r>
            <w:r w:rsidR="00D21043">
              <w:rPr>
                <w:rFonts w:ascii="Arial" w:hAnsi="Arial" w:cs="Arial"/>
                <w:sz w:val="24"/>
                <w:szCs w:val="24"/>
              </w:rPr>
              <w:t>.</w:t>
            </w:r>
            <w:r w:rsidR="00B44D6F" w:rsidRPr="00196677">
              <w:rPr>
                <w:rFonts w:ascii="Arial" w:hAnsi="Arial" w:cs="Arial"/>
                <w:sz w:val="24"/>
                <w:szCs w:val="24"/>
              </w:rPr>
              <w:t xml:space="preserve"> </w:t>
            </w:r>
          </w:p>
          <w:p w14:paraId="5218013B" w14:textId="7DF42340" w:rsidR="002736CE" w:rsidRDefault="002736CE" w:rsidP="00632622">
            <w:pPr>
              <w:spacing w:after="0"/>
              <w:jc w:val="both"/>
              <w:rPr>
                <w:rFonts w:ascii="Arial" w:hAnsi="Arial" w:cs="Arial"/>
                <w:sz w:val="24"/>
                <w:szCs w:val="24"/>
              </w:rPr>
            </w:pPr>
          </w:p>
          <w:p w14:paraId="19F940E5" w14:textId="69887F04" w:rsidR="002736CE" w:rsidRPr="00196677" w:rsidRDefault="002736CE" w:rsidP="00632622">
            <w:pPr>
              <w:spacing w:after="0"/>
              <w:jc w:val="both"/>
              <w:rPr>
                <w:rFonts w:ascii="Arial" w:hAnsi="Arial" w:cs="Arial"/>
                <w:sz w:val="24"/>
                <w:szCs w:val="24"/>
              </w:rPr>
            </w:pPr>
            <w:r>
              <w:rPr>
                <w:rFonts w:ascii="Arial" w:hAnsi="Arial" w:cs="Arial"/>
                <w:sz w:val="24"/>
                <w:szCs w:val="24"/>
              </w:rPr>
              <w:t>Despite being informed on numerous occasions that operational policing information was not held by the OPCC but that contact would need to be made by Gwent Police, one particular business continued to submit multiple requests to the OPCC.  A separate email was sent to the business highlighting that we are not the correct organisation to send these requests to and requested that they update their contact list.  Hopefully this will resolve the issue in future.</w:t>
            </w:r>
          </w:p>
          <w:p w14:paraId="4D40DF3E" w14:textId="77777777" w:rsidR="00C914AF" w:rsidRPr="00132AA2" w:rsidRDefault="00C914AF" w:rsidP="00632622">
            <w:pPr>
              <w:spacing w:after="0"/>
              <w:jc w:val="both"/>
              <w:rPr>
                <w:rFonts w:ascii="Arial" w:hAnsi="Arial" w:cs="Arial"/>
                <w:sz w:val="24"/>
                <w:szCs w:val="24"/>
                <w:highlight w:val="yellow"/>
              </w:rPr>
            </w:pPr>
          </w:p>
          <w:p w14:paraId="4CC11A1A" w14:textId="77777777" w:rsidR="003C736B" w:rsidRPr="00196677" w:rsidRDefault="0028549D" w:rsidP="00632622">
            <w:pPr>
              <w:spacing w:after="0"/>
              <w:jc w:val="both"/>
              <w:rPr>
                <w:rFonts w:ascii="Arial" w:hAnsi="Arial" w:cs="Arial"/>
                <w:sz w:val="24"/>
                <w:szCs w:val="24"/>
                <w:u w:val="single"/>
              </w:rPr>
            </w:pPr>
            <w:r w:rsidRPr="00196677">
              <w:rPr>
                <w:rFonts w:ascii="Arial" w:hAnsi="Arial" w:cs="Arial"/>
                <w:sz w:val="24"/>
                <w:szCs w:val="24"/>
                <w:u w:val="single"/>
              </w:rPr>
              <w:t>Requests per Work Stream</w:t>
            </w:r>
          </w:p>
          <w:p w14:paraId="27132359" w14:textId="77777777" w:rsidR="007B3A8B" w:rsidRPr="00196677" w:rsidRDefault="003C736B" w:rsidP="00632622">
            <w:pPr>
              <w:jc w:val="both"/>
              <w:rPr>
                <w:rFonts w:ascii="Arial" w:hAnsi="Arial" w:cs="Arial"/>
                <w:sz w:val="24"/>
                <w:szCs w:val="26"/>
              </w:rPr>
            </w:pPr>
            <w:r w:rsidRPr="00196677">
              <w:rPr>
                <w:rFonts w:ascii="Arial" w:hAnsi="Arial" w:cs="Arial"/>
                <w:sz w:val="24"/>
                <w:szCs w:val="26"/>
              </w:rPr>
              <w:t>The table below provides evidence of the most popular work streams for requests to be submitted against:</w:t>
            </w:r>
          </w:p>
          <w:p w14:paraId="3DC6F450" w14:textId="14845B13" w:rsidR="00966D08" w:rsidRPr="00196677" w:rsidRDefault="00D21043" w:rsidP="00966D08">
            <w:pPr>
              <w:spacing w:after="0"/>
              <w:jc w:val="both"/>
              <w:rPr>
                <w:rFonts w:ascii="Arial" w:hAnsi="Arial" w:cs="Arial"/>
                <w:b/>
                <w:sz w:val="24"/>
                <w:szCs w:val="26"/>
              </w:rPr>
            </w:pPr>
            <w:r>
              <w:rPr>
                <w:rFonts w:ascii="Arial" w:hAnsi="Arial" w:cs="Arial"/>
                <w:b/>
                <w:sz w:val="24"/>
                <w:szCs w:val="26"/>
              </w:rPr>
              <w:t>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9"/>
              <w:gridCol w:w="2699"/>
            </w:tblGrid>
            <w:tr w:rsidR="00966D08" w:rsidRPr="00132AA2" w14:paraId="46D51BB2" w14:textId="77777777" w:rsidTr="007977BB">
              <w:tc>
                <w:tcPr>
                  <w:tcW w:w="2698" w:type="dxa"/>
                  <w:shd w:val="clear" w:color="auto" w:fill="auto"/>
                </w:tcPr>
                <w:p w14:paraId="14976FAA" w14:textId="77777777" w:rsidR="00966D08" w:rsidRPr="00196677" w:rsidRDefault="00966D08" w:rsidP="00966D08">
                  <w:pPr>
                    <w:spacing w:after="0"/>
                    <w:jc w:val="center"/>
                    <w:rPr>
                      <w:rFonts w:ascii="Arial" w:hAnsi="Arial" w:cs="Arial"/>
                      <w:b/>
                      <w:sz w:val="24"/>
                      <w:szCs w:val="26"/>
                    </w:rPr>
                  </w:pPr>
                  <w:r w:rsidRPr="00196677">
                    <w:rPr>
                      <w:rFonts w:ascii="Arial" w:hAnsi="Arial" w:cs="Arial"/>
                      <w:b/>
                      <w:sz w:val="24"/>
                      <w:szCs w:val="26"/>
                    </w:rPr>
                    <w:t>Work stream</w:t>
                  </w:r>
                </w:p>
              </w:tc>
              <w:tc>
                <w:tcPr>
                  <w:tcW w:w="2699" w:type="dxa"/>
                  <w:shd w:val="clear" w:color="auto" w:fill="auto"/>
                </w:tcPr>
                <w:p w14:paraId="10A394FE" w14:textId="77777777" w:rsidR="00966D08" w:rsidRPr="00196677" w:rsidRDefault="00966D08" w:rsidP="00966D08">
                  <w:pPr>
                    <w:spacing w:after="0"/>
                    <w:jc w:val="center"/>
                    <w:rPr>
                      <w:rFonts w:ascii="Arial" w:hAnsi="Arial" w:cs="Arial"/>
                      <w:b/>
                      <w:sz w:val="24"/>
                      <w:szCs w:val="26"/>
                    </w:rPr>
                  </w:pPr>
                  <w:r w:rsidRPr="00196677">
                    <w:rPr>
                      <w:rFonts w:ascii="Arial" w:hAnsi="Arial" w:cs="Arial"/>
                      <w:b/>
                      <w:sz w:val="24"/>
                      <w:szCs w:val="26"/>
                    </w:rPr>
                    <w:t>Number</w:t>
                  </w:r>
                </w:p>
              </w:tc>
              <w:tc>
                <w:tcPr>
                  <w:tcW w:w="2699" w:type="dxa"/>
                  <w:shd w:val="clear" w:color="auto" w:fill="auto"/>
                </w:tcPr>
                <w:p w14:paraId="6E978BA5" w14:textId="77777777" w:rsidR="00966D08" w:rsidRPr="00196677" w:rsidRDefault="00966D08" w:rsidP="00966D08">
                  <w:pPr>
                    <w:spacing w:after="0"/>
                    <w:jc w:val="center"/>
                    <w:rPr>
                      <w:rFonts w:ascii="Arial" w:hAnsi="Arial" w:cs="Arial"/>
                      <w:b/>
                      <w:sz w:val="24"/>
                      <w:szCs w:val="26"/>
                    </w:rPr>
                  </w:pPr>
                  <w:r w:rsidRPr="00196677">
                    <w:rPr>
                      <w:rFonts w:ascii="Arial" w:hAnsi="Arial" w:cs="Arial"/>
                      <w:b/>
                      <w:sz w:val="24"/>
                      <w:szCs w:val="26"/>
                    </w:rPr>
                    <w:t>Percentage</w:t>
                  </w:r>
                </w:p>
              </w:tc>
            </w:tr>
            <w:tr w:rsidR="00966D08" w:rsidRPr="00132AA2" w14:paraId="4739991C" w14:textId="77777777" w:rsidTr="007977BB">
              <w:tc>
                <w:tcPr>
                  <w:tcW w:w="2698" w:type="dxa"/>
                  <w:shd w:val="clear" w:color="auto" w:fill="auto"/>
                </w:tcPr>
                <w:p w14:paraId="78946516" w14:textId="1A08B9C0" w:rsidR="00966D08" w:rsidRPr="00196677" w:rsidRDefault="00966D08" w:rsidP="00966D08">
                  <w:pPr>
                    <w:spacing w:after="0"/>
                    <w:jc w:val="both"/>
                    <w:rPr>
                      <w:rFonts w:ascii="Arial" w:hAnsi="Arial" w:cs="Arial"/>
                      <w:sz w:val="24"/>
                      <w:szCs w:val="26"/>
                    </w:rPr>
                  </w:pPr>
                  <w:r w:rsidRPr="00196677">
                    <w:rPr>
                      <w:rFonts w:ascii="Arial" w:hAnsi="Arial" w:cs="Arial"/>
                      <w:sz w:val="24"/>
                      <w:szCs w:val="26"/>
                    </w:rPr>
                    <w:t>Commissioning</w:t>
                  </w:r>
                </w:p>
              </w:tc>
              <w:tc>
                <w:tcPr>
                  <w:tcW w:w="2699" w:type="dxa"/>
                  <w:shd w:val="clear" w:color="auto" w:fill="auto"/>
                </w:tcPr>
                <w:p w14:paraId="6FF6ECA2" w14:textId="5F171352" w:rsidR="00966D08" w:rsidRPr="00196677" w:rsidRDefault="00196677" w:rsidP="00966D08">
                  <w:pPr>
                    <w:spacing w:after="0"/>
                    <w:jc w:val="center"/>
                    <w:rPr>
                      <w:rFonts w:ascii="Arial" w:hAnsi="Arial" w:cs="Arial"/>
                      <w:sz w:val="24"/>
                      <w:szCs w:val="26"/>
                    </w:rPr>
                  </w:pPr>
                  <w:r w:rsidRPr="00196677">
                    <w:rPr>
                      <w:rFonts w:ascii="Arial" w:hAnsi="Arial" w:cs="Arial"/>
                      <w:sz w:val="24"/>
                      <w:szCs w:val="26"/>
                    </w:rPr>
                    <w:t>3</w:t>
                  </w:r>
                </w:p>
              </w:tc>
              <w:tc>
                <w:tcPr>
                  <w:tcW w:w="2699" w:type="dxa"/>
                  <w:shd w:val="clear" w:color="auto" w:fill="auto"/>
                </w:tcPr>
                <w:p w14:paraId="6EE0F590" w14:textId="742DB822" w:rsidR="00966D08" w:rsidRPr="00091DC3" w:rsidRDefault="00091DC3" w:rsidP="00966D08">
                  <w:pPr>
                    <w:spacing w:after="0"/>
                    <w:jc w:val="center"/>
                    <w:rPr>
                      <w:rFonts w:ascii="Arial" w:hAnsi="Arial" w:cs="Arial"/>
                      <w:sz w:val="24"/>
                      <w:szCs w:val="26"/>
                    </w:rPr>
                  </w:pPr>
                  <w:r w:rsidRPr="00091DC3">
                    <w:rPr>
                      <w:rFonts w:ascii="Arial" w:hAnsi="Arial" w:cs="Arial"/>
                      <w:sz w:val="24"/>
                      <w:szCs w:val="26"/>
                    </w:rPr>
                    <w:t>5%</w:t>
                  </w:r>
                </w:p>
              </w:tc>
            </w:tr>
            <w:tr w:rsidR="00966D08" w:rsidRPr="00132AA2" w14:paraId="05742D62" w14:textId="77777777" w:rsidTr="007977BB">
              <w:tc>
                <w:tcPr>
                  <w:tcW w:w="2698" w:type="dxa"/>
                  <w:shd w:val="clear" w:color="auto" w:fill="auto"/>
                </w:tcPr>
                <w:p w14:paraId="07B3B47F" w14:textId="1DA75BF0" w:rsidR="00966D08" w:rsidRPr="00196677" w:rsidRDefault="00966D08" w:rsidP="00966D08">
                  <w:pPr>
                    <w:spacing w:after="0"/>
                    <w:jc w:val="both"/>
                    <w:rPr>
                      <w:rFonts w:ascii="Arial" w:hAnsi="Arial" w:cs="Arial"/>
                      <w:sz w:val="24"/>
                      <w:szCs w:val="26"/>
                    </w:rPr>
                  </w:pPr>
                  <w:r w:rsidRPr="00196677">
                    <w:rPr>
                      <w:rFonts w:ascii="Arial" w:hAnsi="Arial" w:cs="Arial"/>
                      <w:sz w:val="24"/>
                      <w:szCs w:val="26"/>
                    </w:rPr>
                    <w:t>OPCC Staff</w:t>
                  </w:r>
                  <w:r w:rsidR="00091DC3">
                    <w:rPr>
                      <w:rFonts w:ascii="Arial" w:hAnsi="Arial" w:cs="Arial"/>
                      <w:sz w:val="24"/>
                      <w:szCs w:val="26"/>
                    </w:rPr>
                    <w:t>ing and Costs</w:t>
                  </w:r>
                </w:p>
              </w:tc>
              <w:tc>
                <w:tcPr>
                  <w:tcW w:w="2699" w:type="dxa"/>
                  <w:shd w:val="clear" w:color="auto" w:fill="auto"/>
                </w:tcPr>
                <w:p w14:paraId="14202024" w14:textId="0E209A59" w:rsidR="00966D08" w:rsidRPr="00196677" w:rsidRDefault="00196677" w:rsidP="00966D08">
                  <w:pPr>
                    <w:spacing w:after="0"/>
                    <w:jc w:val="center"/>
                    <w:rPr>
                      <w:rFonts w:ascii="Arial" w:hAnsi="Arial" w:cs="Arial"/>
                      <w:sz w:val="24"/>
                      <w:szCs w:val="26"/>
                    </w:rPr>
                  </w:pPr>
                  <w:r w:rsidRPr="00196677">
                    <w:rPr>
                      <w:rFonts w:ascii="Arial" w:hAnsi="Arial" w:cs="Arial"/>
                      <w:sz w:val="24"/>
                      <w:szCs w:val="26"/>
                    </w:rPr>
                    <w:t>4</w:t>
                  </w:r>
                </w:p>
              </w:tc>
              <w:tc>
                <w:tcPr>
                  <w:tcW w:w="2699" w:type="dxa"/>
                  <w:shd w:val="clear" w:color="auto" w:fill="auto"/>
                </w:tcPr>
                <w:p w14:paraId="2F7DBACE" w14:textId="6A9457FB" w:rsidR="00966D08" w:rsidRPr="00091DC3" w:rsidRDefault="00091DC3" w:rsidP="00966D08">
                  <w:pPr>
                    <w:spacing w:after="0"/>
                    <w:jc w:val="center"/>
                    <w:rPr>
                      <w:rFonts w:ascii="Arial" w:hAnsi="Arial" w:cs="Arial"/>
                      <w:sz w:val="24"/>
                      <w:szCs w:val="26"/>
                    </w:rPr>
                  </w:pPr>
                  <w:r w:rsidRPr="00091DC3">
                    <w:rPr>
                      <w:rFonts w:ascii="Arial" w:hAnsi="Arial" w:cs="Arial"/>
                      <w:sz w:val="24"/>
                      <w:szCs w:val="26"/>
                    </w:rPr>
                    <w:t>6%</w:t>
                  </w:r>
                </w:p>
              </w:tc>
            </w:tr>
            <w:tr w:rsidR="00196677" w:rsidRPr="00132AA2" w14:paraId="65466EA2" w14:textId="77777777" w:rsidTr="007977BB">
              <w:tc>
                <w:tcPr>
                  <w:tcW w:w="2698" w:type="dxa"/>
                  <w:shd w:val="clear" w:color="auto" w:fill="auto"/>
                </w:tcPr>
                <w:p w14:paraId="4420E95F" w14:textId="7F380661" w:rsidR="00196677" w:rsidRPr="00196677" w:rsidRDefault="00196677" w:rsidP="00966D08">
                  <w:pPr>
                    <w:spacing w:after="0"/>
                    <w:jc w:val="both"/>
                    <w:rPr>
                      <w:rFonts w:ascii="Arial" w:hAnsi="Arial" w:cs="Arial"/>
                      <w:sz w:val="24"/>
                      <w:szCs w:val="26"/>
                    </w:rPr>
                  </w:pPr>
                  <w:r w:rsidRPr="00196677">
                    <w:rPr>
                      <w:rFonts w:ascii="Arial" w:hAnsi="Arial" w:cs="Arial"/>
                      <w:sz w:val="24"/>
                      <w:szCs w:val="26"/>
                    </w:rPr>
                    <w:t>Estates</w:t>
                  </w:r>
                </w:p>
              </w:tc>
              <w:tc>
                <w:tcPr>
                  <w:tcW w:w="2699" w:type="dxa"/>
                  <w:shd w:val="clear" w:color="auto" w:fill="auto"/>
                </w:tcPr>
                <w:p w14:paraId="3DA5BF66" w14:textId="2359ABFB" w:rsidR="00196677" w:rsidRPr="00196677" w:rsidRDefault="00196677" w:rsidP="00966D08">
                  <w:pPr>
                    <w:spacing w:after="0"/>
                    <w:jc w:val="center"/>
                    <w:rPr>
                      <w:rFonts w:ascii="Arial" w:hAnsi="Arial" w:cs="Arial"/>
                      <w:sz w:val="24"/>
                      <w:szCs w:val="26"/>
                    </w:rPr>
                  </w:pPr>
                  <w:r w:rsidRPr="00196677">
                    <w:rPr>
                      <w:rFonts w:ascii="Arial" w:hAnsi="Arial" w:cs="Arial"/>
                      <w:sz w:val="24"/>
                      <w:szCs w:val="26"/>
                    </w:rPr>
                    <w:t>4</w:t>
                  </w:r>
                </w:p>
              </w:tc>
              <w:tc>
                <w:tcPr>
                  <w:tcW w:w="2699" w:type="dxa"/>
                  <w:shd w:val="clear" w:color="auto" w:fill="auto"/>
                </w:tcPr>
                <w:p w14:paraId="1AAC7663" w14:textId="4A0BB909" w:rsidR="00196677" w:rsidRPr="00091DC3" w:rsidRDefault="00091DC3" w:rsidP="00966D08">
                  <w:pPr>
                    <w:spacing w:after="0"/>
                    <w:jc w:val="center"/>
                    <w:rPr>
                      <w:rFonts w:ascii="Arial" w:hAnsi="Arial" w:cs="Arial"/>
                      <w:sz w:val="24"/>
                      <w:szCs w:val="26"/>
                    </w:rPr>
                  </w:pPr>
                  <w:r w:rsidRPr="00091DC3">
                    <w:rPr>
                      <w:rFonts w:ascii="Arial" w:hAnsi="Arial" w:cs="Arial"/>
                      <w:sz w:val="24"/>
                      <w:szCs w:val="26"/>
                    </w:rPr>
                    <w:t>6%</w:t>
                  </w:r>
                </w:p>
              </w:tc>
            </w:tr>
            <w:tr w:rsidR="00091DC3" w:rsidRPr="00132AA2" w14:paraId="3A499DFD" w14:textId="77777777" w:rsidTr="007977BB">
              <w:tc>
                <w:tcPr>
                  <w:tcW w:w="2698" w:type="dxa"/>
                  <w:shd w:val="clear" w:color="auto" w:fill="auto"/>
                </w:tcPr>
                <w:p w14:paraId="54BBB5C3" w14:textId="0F4941F1" w:rsidR="00091DC3" w:rsidRPr="00196677" w:rsidRDefault="00091DC3" w:rsidP="00966D08">
                  <w:pPr>
                    <w:spacing w:after="0"/>
                    <w:jc w:val="both"/>
                    <w:rPr>
                      <w:rFonts w:ascii="Arial" w:hAnsi="Arial" w:cs="Arial"/>
                      <w:sz w:val="24"/>
                      <w:szCs w:val="26"/>
                    </w:rPr>
                  </w:pPr>
                  <w:r>
                    <w:rPr>
                      <w:rFonts w:ascii="Arial" w:hAnsi="Arial" w:cs="Arial"/>
                      <w:sz w:val="24"/>
                      <w:szCs w:val="26"/>
                    </w:rPr>
                    <w:t>Procurement</w:t>
                  </w:r>
                </w:p>
              </w:tc>
              <w:tc>
                <w:tcPr>
                  <w:tcW w:w="2699" w:type="dxa"/>
                  <w:shd w:val="clear" w:color="auto" w:fill="auto"/>
                </w:tcPr>
                <w:p w14:paraId="4038E896" w14:textId="087364D0" w:rsidR="00091DC3" w:rsidRPr="00196677" w:rsidRDefault="00091DC3" w:rsidP="00966D08">
                  <w:pPr>
                    <w:spacing w:after="0"/>
                    <w:jc w:val="center"/>
                    <w:rPr>
                      <w:rFonts w:ascii="Arial" w:hAnsi="Arial" w:cs="Arial"/>
                      <w:sz w:val="24"/>
                      <w:szCs w:val="26"/>
                    </w:rPr>
                  </w:pPr>
                  <w:r>
                    <w:rPr>
                      <w:rFonts w:ascii="Arial" w:hAnsi="Arial" w:cs="Arial"/>
                      <w:sz w:val="24"/>
                      <w:szCs w:val="26"/>
                    </w:rPr>
                    <w:t>6</w:t>
                  </w:r>
                </w:p>
              </w:tc>
              <w:tc>
                <w:tcPr>
                  <w:tcW w:w="2699" w:type="dxa"/>
                  <w:shd w:val="clear" w:color="auto" w:fill="auto"/>
                </w:tcPr>
                <w:p w14:paraId="623F87CD" w14:textId="6DC49445" w:rsidR="00091DC3" w:rsidRPr="00091DC3" w:rsidRDefault="00091DC3" w:rsidP="00091DC3">
                  <w:pPr>
                    <w:spacing w:after="0"/>
                    <w:jc w:val="center"/>
                    <w:rPr>
                      <w:rFonts w:ascii="Arial" w:hAnsi="Arial" w:cs="Arial"/>
                      <w:sz w:val="24"/>
                      <w:szCs w:val="26"/>
                    </w:rPr>
                  </w:pPr>
                  <w:r>
                    <w:rPr>
                      <w:rFonts w:ascii="Arial" w:hAnsi="Arial" w:cs="Arial"/>
                      <w:sz w:val="24"/>
                      <w:szCs w:val="26"/>
                    </w:rPr>
                    <w:t>10%</w:t>
                  </w:r>
                </w:p>
              </w:tc>
            </w:tr>
            <w:tr w:rsidR="00966D08" w:rsidRPr="00132AA2" w14:paraId="22C7EFA9" w14:textId="77777777" w:rsidTr="007977BB">
              <w:tc>
                <w:tcPr>
                  <w:tcW w:w="2698" w:type="dxa"/>
                  <w:shd w:val="clear" w:color="auto" w:fill="auto"/>
                </w:tcPr>
                <w:p w14:paraId="54FDB316" w14:textId="156DB5F5" w:rsidR="00091DC3" w:rsidRPr="00196677" w:rsidRDefault="00966D08" w:rsidP="00966D08">
                  <w:pPr>
                    <w:spacing w:after="0"/>
                    <w:jc w:val="both"/>
                    <w:rPr>
                      <w:rFonts w:ascii="Arial" w:hAnsi="Arial" w:cs="Arial"/>
                      <w:sz w:val="24"/>
                      <w:szCs w:val="26"/>
                    </w:rPr>
                  </w:pPr>
                  <w:r w:rsidRPr="00196677">
                    <w:rPr>
                      <w:rFonts w:ascii="Arial" w:hAnsi="Arial" w:cs="Arial"/>
                      <w:sz w:val="24"/>
                      <w:szCs w:val="26"/>
                    </w:rPr>
                    <w:t>Other</w:t>
                  </w:r>
                  <w:r w:rsidRPr="00196677">
                    <w:rPr>
                      <w:rStyle w:val="FootnoteReference"/>
                      <w:rFonts w:ascii="Arial" w:hAnsi="Arial" w:cs="Arial"/>
                      <w:sz w:val="24"/>
                      <w:szCs w:val="26"/>
                    </w:rPr>
                    <w:footnoteReference w:id="1"/>
                  </w:r>
                  <w:r w:rsidRPr="00196677">
                    <w:rPr>
                      <w:rFonts w:ascii="Arial" w:hAnsi="Arial" w:cs="Arial"/>
                      <w:sz w:val="24"/>
                      <w:szCs w:val="26"/>
                    </w:rPr>
                    <w:t xml:space="preserve"> </w:t>
                  </w:r>
                </w:p>
              </w:tc>
              <w:tc>
                <w:tcPr>
                  <w:tcW w:w="2699" w:type="dxa"/>
                  <w:shd w:val="clear" w:color="auto" w:fill="auto"/>
                </w:tcPr>
                <w:p w14:paraId="23CC2C75" w14:textId="34EE791A" w:rsidR="00091DC3" w:rsidRPr="00196677" w:rsidRDefault="00091DC3" w:rsidP="00091DC3">
                  <w:pPr>
                    <w:spacing w:after="0"/>
                    <w:jc w:val="center"/>
                    <w:rPr>
                      <w:rFonts w:ascii="Arial" w:hAnsi="Arial" w:cs="Arial"/>
                      <w:sz w:val="24"/>
                      <w:szCs w:val="26"/>
                    </w:rPr>
                  </w:pPr>
                  <w:r>
                    <w:rPr>
                      <w:rFonts w:ascii="Arial" w:hAnsi="Arial" w:cs="Arial"/>
                      <w:sz w:val="24"/>
                      <w:szCs w:val="26"/>
                    </w:rPr>
                    <w:t>47</w:t>
                  </w:r>
                </w:p>
              </w:tc>
              <w:tc>
                <w:tcPr>
                  <w:tcW w:w="2699" w:type="dxa"/>
                  <w:shd w:val="clear" w:color="auto" w:fill="auto"/>
                </w:tcPr>
                <w:p w14:paraId="6AD259B2" w14:textId="516F8DD2" w:rsidR="00966D08" w:rsidRPr="00091DC3" w:rsidRDefault="00091DC3" w:rsidP="00966D08">
                  <w:pPr>
                    <w:spacing w:after="0"/>
                    <w:jc w:val="center"/>
                    <w:rPr>
                      <w:rFonts w:ascii="Arial" w:hAnsi="Arial" w:cs="Arial"/>
                      <w:sz w:val="24"/>
                      <w:szCs w:val="26"/>
                    </w:rPr>
                  </w:pPr>
                  <w:r>
                    <w:rPr>
                      <w:rFonts w:ascii="Arial" w:hAnsi="Arial" w:cs="Arial"/>
                      <w:sz w:val="24"/>
                      <w:szCs w:val="26"/>
                    </w:rPr>
                    <w:t>7</w:t>
                  </w:r>
                  <w:r w:rsidRPr="00091DC3">
                    <w:rPr>
                      <w:rFonts w:ascii="Arial" w:hAnsi="Arial" w:cs="Arial"/>
                      <w:sz w:val="24"/>
                      <w:szCs w:val="26"/>
                    </w:rPr>
                    <w:t>3%</w:t>
                  </w:r>
                </w:p>
              </w:tc>
            </w:tr>
          </w:tbl>
          <w:p w14:paraId="6B41F2BF" w14:textId="77777777" w:rsidR="00966D08" w:rsidRPr="00132AA2" w:rsidRDefault="00966D08" w:rsidP="00632622">
            <w:pPr>
              <w:jc w:val="both"/>
              <w:rPr>
                <w:rFonts w:ascii="Arial" w:hAnsi="Arial" w:cs="Arial"/>
                <w:b/>
                <w:sz w:val="24"/>
                <w:szCs w:val="26"/>
                <w:highlight w:val="yellow"/>
              </w:rPr>
            </w:pPr>
          </w:p>
          <w:p w14:paraId="5C0A66BF" w14:textId="33EB416F" w:rsidR="00262B29" w:rsidRPr="00091DC3" w:rsidRDefault="007B3A8B" w:rsidP="00262B29">
            <w:pPr>
              <w:spacing w:after="0"/>
              <w:jc w:val="both"/>
              <w:rPr>
                <w:rFonts w:ascii="Arial" w:hAnsi="Arial" w:cs="Arial"/>
                <w:sz w:val="24"/>
                <w:szCs w:val="26"/>
              </w:rPr>
            </w:pPr>
            <w:r w:rsidRPr="00091DC3">
              <w:rPr>
                <w:rFonts w:ascii="Arial" w:hAnsi="Arial" w:cs="Arial"/>
                <w:sz w:val="24"/>
                <w:szCs w:val="26"/>
              </w:rPr>
              <w:t>In 20</w:t>
            </w:r>
            <w:r w:rsidR="00FC0FB0" w:rsidRPr="00091DC3">
              <w:rPr>
                <w:rFonts w:ascii="Arial" w:hAnsi="Arial" w:cs="Arial"/>
                <w:sz w:val="24"/>
                <w:szCs w:val="26"/>
              </w:rPr>
              <w:t>2</w:t>
            </w:r>
            <w:r w:rsidR="00091DC3" w:rsidRPr="00091DC3">
              <w:rPr>
                <w:rFonts w:ascii="Arial" w:hAnsi="Arial" w:cs="Arial"/>
                <w:sz w:val="24"/>
                <w:szCs w:val="26"/>
              </w:rPr>
              <w:t>1</w:t>
            </w:r>
            <w:r w:rsidRPr="00091DC3">
              <w:rPr>
                <w:rFonts w:ascii="Arial" w:hAnsi="Arial" w:cs="Arial"/>
                <w:sz w:val="24"/>
                <w:szCs w:val="26"/>
              </w:rPr>
              <w:t>/2</w:t>
            </w:r>
            <w:r w:rsidR="00091DC3" w:rsidRPr="00091DC3">
              <w:rPr>
                <w:rFonts w:ascii="Arial" w:hAnsi="Arial" w:cs="Arial"/>
                <w:sz w:val="24"/>
                <w:szCs w:val="26"/>
              </w:rPr>
              <w:t>2</w:t>
            </w:r>
            <w:r w:rsidRPr="00091DC3">
              <w:rPr>
                <w:rFonts w:ascii="Arial" w:hAnsi="Arial" w:cs="Arial"/>
                <w:sz w:val="24"/>
                <w:szCs w:val="26"/>
              </w:rPr>
              <w:t>, t</w:t>
            </w:r>
            <w:r w:rsidR="00F10BAF" w:rsidRPr="00091DC3">
              <w:rPr>
                <w:rFonts w:ascii="Arial" w:hAnsi="Arial" w:cs="Arial"/>
                <w:sz w:val="24"/>
                <w:szCs w:val="26"/>
              </w:rPr>
              <w:t>he ‘</w:t>
            </w:r>
            <w:r w:rsidR="003C736B" w:rsidRPr="00091DC3">
              <w:rPr>
                <w:rFonts w:ascii="Arial" w:hAnsi="Arial" w:cs="Arial"/>
                <w:sz w:val="24"/>
                <w:szCs w:val="26"/>
              </w:rPr>
              <w:t>Other</w:t>
            </w:r>
            <w:r w:rsidR="00F10BAF" w:rsidRPr="00091DC3">
              <w:rPr>
                <w:rFonts w:ascii="Arial" w:hAnsi="Arial" w:cs="Arial"/>
                <w:sz w:val="24"/>
                <w:szCs w:val="26"/>
              </w:rPr>
              <w:t>’ category</w:t>
            </w:r>
            <w:r w:rsidR="003C736B" w:rsidRPr="00091DC3">
              <w:rPr>
                <w:rFonts w:ascii="Arial" w:hAnsi="Arial" w:cs="Arial"/>
                <w:sz w:val="24"/>
                <w:szCs w:val="26"/>
              </w:rPr>
              <w:t xml:space="preserve"> show</w:t>
            </w:r>
            <w:r w:rsidR="00196677" w:rsidRPr="00091DC3">
              <w:rPr>
                <w:rFonts w:ascii="Arial" w:hAnsi="Arial" w:cs="Arial"/>
                <w:sz w:val="24"/>
                <w:szCs w:val="26"/>
              </w:rPr>
              <w:t>ed</w:t>
            </w:r>
            <w:r w:rsidR="003C736B" w:rsidRPr="00091DC3">
              <w:rPr>
                <w:rFonts w:ascii="Arial" w:hAnsi="Arial" w:cs="Arial"/>
                <w:sz w:val="24"/>
                <w:szCs w:val="26"/>
              </w:rPr>
              <w:t xml:space="preserve"> the highes</w:t>
            </w:r>
            <w:r w:rsidR="00D82644" w:rsidRPr="00091DC3">
              <w:rPr>
                <w:rFonts w:ascii="Arial" w:hAnsi="Arial" w:cs="Arial"/>
                <w:sz w:val="24"/>
                <w:szCs w:val="26"/>
              </w:rPr>
              <w:t>t number of requests</w:t>
            </w:r>
            <w:r w:rsidR="00196677" w:rsidRPr="00091DC3">
              <w:rPr>
                <w:rFonts w:ascii="Arial" w:hAnsi="Arial" w:cs="Arial"/>
                <w:sz w:val="24"/>
                <w:szCs w:val="26"/>
              </w:rPr>
              <w:t xml:space="preserve"> which was </w:t>
            </w:r>
            <w:r w:rsidR="003B346E" w:rsidRPr="00091DC3">
              <w:rPr>
                <w:rFonts w:ascii="Arial" w:hAnsi="Arial" w:cs="Arial"/>
                <w:sz w:val="24"/>
                <w:szCs w:val="26"/>
              </w:rPr>
              <w:t xml:space="preserve">consistent with </w:t>
            </w:r>
            <w:r w:rsidR="00091DC3" w:rsidRPr="00091DC3">
              <w:rPr>
                <w:rFonts w:ascii="Arial" w:hAnsi="Arial" w:cs="Arial"/>
                <w:sz w:val="24"/>
                <w:szCs w:val="26"/>
              </w:rPr>
              <w:t xml:space="preserve">2020/21 and </w:t>
            </w:r>
            <w:r w:rsidR="003B346E" w:rsidRPr="00091DC3">
              <w:rPr>
                <w:rFonts w:ascii="Arial" w:hAnsi="Arial" w:cs="Arial"/>
                <w:sz w:val="24"/>
                <w:szCs w:val="26"/>
              </w:rPr>
              <w:t>2019/20.</w:t>
            </w:r>
            <w:r w:rsidR="00D82644" w:rsidRPr="00091DC3">
              <w:rPr>
                <w:rFonts w:ascii="Arial" w:hAnsi="Arial" w:cs="Arial"/>
                <w:sz w:val="24"/>
                <w:szCs w:val="26"/>
              </w:rPr>
              <w:t xml:space="preserve">  ‘Other’ covers singular requests</w:t>
            </w:r>
            <w:r w:rsidR="006233D5" w:rsidRPr="00091DC3">
              <w:rPr>
                <w:rFonts w:ascii="Arial" w:hAnsi="Arial" w:cs="Arial"/>
                <w:sz w:val="24"/>
                <w:szCs w:val="26"/>
              </w:rPr>
              <w:t>, for example where</w:t>
            </w:r>
            <w:r w:rsidR="005F1B83" w:rsidRPr="00091DC3">
              <w:rPr>
                <w:rFonts w:ascii="Arial" w:hAnsi="Arial" w:cs="Arial"/>
                <w:sz w:val="24"/>
                <w:szCs w:val="26"/>
              </w:rPr>
              <w:t xml:space="preserve"> </w:t>
            </w:r>
            <w:r w:rsidR="00D82644" w:rsidRPr="00091DC3">
              <w:rPr>
                <w:rFonts w:ascii="Arial" w:hAnsi="Arial" w:cs="Arial"/>
                <w:sz w:val="24"/>
                <w:szCs w:val="26"/>
              </w:rPr>
              <w:t xml:space="preserve">only one </w:t>
            </w:r>
            <w:r w:rsidR="006233D5" w:rsidRPr="00091DC3">
              <w:rPr>
                <w:rFonts w:ascii="Arial" w:hAnsi="Arial" w:cs="Arial"/>
                <w:sz w:val="24"/>
                <w:szCs w:val="26"/>
              </w:rPr>
              <w:t>request of that nature</w:t>
            </w:r>
            <w:r w:rsidR="005F1B83" w:rsidRPr="00091DC3">
              <w:rPr>
                <w:rFonts w:ascii="Arial" w:hAnsi="Arial" w:cs="Arial"/>
                <w:sz w:val="24"/>
                <w:szCs w:val="26"/>
              </w:rPr>
              <w:t xml:space="preserve"> </w:t>
            </w:r>
            <w:r w:rsidR="00D82644" w:rsidRPr="00091DC3">
              <w:rPr>
                <w:rFonts w:ascii="Arial" w:hAnsi="Arial" w:cs="Arial"/>
                <w:sz w:val="24"/>
                <w:szCs w:val="26"/>
              </w:rPr>
              <w:t>has been received</w:t>
            </w:r>
            <w:r w:rsidR="00FC0FB0" w:rsidRPr="00091DC3">
              <w:rPr>
                <w:rFonts w:ascii="Arial" w:hAnsi="Arial" w:cs="Arial"/>
                <w:sz w:val="24"/>
                <w:szCs w:val="26"/>
              </w:rPr>
              <w:t xml:space="preserve"> and </w:t>
            </w:r>
            <w:r w:rsidRPr="00091DC3">
              <w:rPr>
                <w:rFonts w:ascii="Arial" w:hAnsi="Arial" w:cs="Arial"/>
                <w:sz w:val="24"/>
                <w:szCs w:val="26"/>
              </w:rPr>
              <w:t>also covers those requests where the information requested was operational and therefore held by Gwent Police</w:t>
            </w:r>
            <w:r w:rsidR="00091DC3" w:rsidRPr="00091DC3">
              <w:rPr>
                <w:rFonts w:ascii="Arial" w:hAnsi="Arial" w:cs="Arial"/>
                <w:sz w:val="24"/>
                <w:szCs w:val="26"/>
              </w:rPr>
              <w:t>.  To provide some context, of the 39 requests received for information held by Gwent Police, 31 of these related to statistical information relating to crime/ASB.</w:t>
            </w:r>
            <w:r w:rsidR="003C736B" w:rsidRPr="00091DC3">
              <w:rPr>
                <w:rFonts w:ascii="Arial" w:hAnsi="Arial" w:cs="Arial"/>
                <w:sz w:val="24"/>
                <w:szCs w:val="26"/>
              </w:rPr>
              <w:t xml:space="preserve">  </w:t>
            </w:r>
            <w:r w:rsidR="00091DC3" w:rsidRPr="00091DC3">
              <w:rPr>
                <w:rFonts w:ascii="Arial" w:hAnsi="Arial" w:cs="Arial"/>
                <w:sz w:val="24"/>
                <w:szCs w:val="26"/>
              </w:rPr>
              <w:t xml:space="preserve">In 2021/22, 4 requests were received requesting information on the </w:t>
            </w:r>
            <w:r w:rsidR="002736CE">
              <w:rPr>
                <w:rFonts w:ascii="Arial" w:hAnsi="Arial" w:cs="Arial"/>
                <w:sz w:val="24"/>
                <w:szCs w:val="26"/>
              </w:rPr>
              <w:t>e</w:t>
            </w:r>
            <w:r w:rsidR="00091DC3" w:rsidRPr="00091DC3">
              <w:rPr>
                <w:rFonts w:ascii="Arial" w:hAnsi="Arial" w:cs="Arial"/>
                <w:sz w:val="24"/>
                <w:szCs w:val="26"/>
              </w:rPr>
              <w:t>state, request</w:t>
            </w:r>
            <w:r w:rsidR="002736CE">
              <w:rPr>
                <w:rFonts w:ascii="Arial" w:hAnsi="Arial" w:cs="Arial"/>
                <w:sz w:val="24"/>
                <w:szCs w:val="26"/>
              </w:rPr>
              <w:t>s</w:t>
            </w:r>
            <w:r w:rsidR="00091DC3" w:rsidRPr="00091DC3">
              <w:rPr>
                <w:rFonts w:ascii="Arial" w:hAnsi="Arial" w:cs="Arial"/>
                <w:sz w:val="24"/>
                <w:szCs w:val="26"/>
              </w:rPr>
              <w:t xml:space="preserve"> such as these had not previously been received by the OPCC.  OPCC </w:t>
            </w:r>
            <w:r w:rsidR="002736CE">
              <w:rPr>
                <w:rFonts w:ascii="Arial" w:hAnsi="Arial" w:cs="Arial"/>
                <w:sz w:val="24"/>
                <w:szCs w:val="26"/>
              </w:rPr>
              <w:t>s</w:t>
            </w:r>
            <w:r w:rsidR="00091DC3" w:rsidRPr="00091DC3">
              <w:rPr>
                <w:rFonts w:ascii="Arial" w:hAnsi="Arial" w:cs="Arial"/>
                <w:sz w:val="24"/>
                <w:szCs w:val="26"/>
              </w:rPr>
              <w:t xml:space="preserve">taffing and </w:t>
            </w:r>
            <w:r w:rsidR="002736CE">
              <w:rPr>
                <w:rFonts w:ascii="Arial" w:hAnsi="Arial" w:cs="Arial"/>
                <w:sz w:val="24"/>
                <w:szCs w:val="26"/>
              </w:rPr>
              <w:t>c</w:t>
            </w:r>
            <w:r w:rsidR="00091DC3" w:rsidRPr="00091DC3">
              <w:rPr>
                <w:rFonts w:ascii="Arial" w:hAnsi="Arial" w:cs="Arial"/>
                <w:sz w:val="24"/>
                <w:szCs w:val="26"/>
              </w:rPr>
              <w:t xml:space="preserve">osts </w:t>
            </w:r>
            <w:r w:rsidRPr="00091DC3">
              <w:rPr>
                <w:rFonts w:ascii="Arial" w:hAnsi="Arial" w:cs="Arial"/>
                <w:sz w:val="24"/>
                <w:szCs w:val="26"/>
              </w:rPr>
              <w:t>continues to be one of the most popular workstreams</w:t>
            </w:r>
            <w:r w:rsidR="00D82644" w:rsidRPr="00091DC3">
              <w:rPr>
                <w:rFonts w:ascii="Arial" w:hAnsi="Arial" w:cs="Arial"/>
                <w:sz w:val="24"/>
                <w:szCs w:val="26"/>
              </w:rPr>
              <w:t xml:space="preserve"> </w:t>
            </w:r>
            <w:r w:rsidR="00091DC3" w:rsidRPr="00091DC3">
              <w:rPr>
                <w:rFonts w:ascii="Arial" w:hAnsi="Arial" w:cs="Arial"/>
                <w:sz w:val="24"/>
                <w:szCs w:val="26"/>
              </w:rPr>
              <w:t>with similar requests submitted year on year</w:t>
            </w:r>
            <w:r w:rsidR="002736CE">
              <w:rPr>
                <w:rFonts w:ascii="Arial" w:hAnsi="Arial" w:cs="Arial"/>
                <w:sz w:val="24"/>
                <w:szCs w:val="26"/>
              </w:rPr>
              <w:t xml:space="preserve"> despite the majority of this information being freely available on the OPCC website.</w:t>
            </w:r>
            <w:r w:rsidR="00FC0FB0" w:rsidRPr="00091DC3">
              <w:rPr>
                <w:rFonts w:ascii="Arial" w:hAnsi="Arial" w:cs="Arial"/>
                <w:sz w:val="24"/>
                <w:szCs w:val="26"/>
              </w:rPr>
              <w:t xml:space="preserve">  </w:t>
            </w:r>
          </w:p>
          <w:p w14:paraId="161493D1" w14:textId="77777777" w:rsidR="00FC0FB0" w:rsidRPr="00132AA2" w:rsidRDefault="00FC0FB0" w:rsidP="00262B29">
            <w:pPr>
              <w:spacing w:after="0"/>
              <w:jc w:val="both"/>
              <w:rPr>
                <w:rFonts w:ascii="Arial" w:hAnsi="Arial" w:cs="Arial"/>
                <w:sz w:val="24"/>
                <w:szCs w:val="26"/>
                <w:highlight w:val="yellow"/>
              </w:rPr>
            </w:pPr>
          </w:p>
          <w:p w14:paraId="251BD1CD" w14:textId="7F2244E0" w:rsidR="00FC0FB0" w:rsidRPr="00277AC1" w:rsidRDefault="00632622" w:rsidP="00262B29">
            <w:pPr>
              <w:spacing w:after="0"/>
              <w:jc w:val="both"/>
              <w:rPr>
                <w:rFonts w:ascii="Arial" w:hAnsi="Arial" w:cs="Arial"/>
                <w:sz w:val="24"/>
                <w:szCs w:val="26"/>
              </w:rPr>
            </w:pPr>
            <w:r w:rsidRPr="00277AC1">
              <w:rPr>
                <w:rFonts w:ascii="Arial" w:hAnsi="Arial" w:cs="Arial"/>
                <w:sz w:val="24"/>
                <w:szCs w:val="26"/>
                <w:u w:val="single"/>
              </w:rPr>
              <w:lastRenderedPageBreak/>
              <w:t>Timeliness</w:t>
            </w:r>
            <w:r w:rsidRPr="00277AC1">
              <w:rPr>
                <w:rFonts w:ascii="Arial" w:hAnsi="Arial" w:cs="Arial"/>
                <w:sz w:val="24"/>
                <w:szCs w:val="26"/>
              </w:rPr>
              <w:br/>
            </w:r>
            <w:r w:rsidR="007B3A8B" w:rsidRPr="00277AC1">
              <w:rPr>
                <w:rFonts w:ascii="Arial" w:hAnsi="Arial" w:cs="Arial"/>
                <w:sz w:val="24"/>
                <w:szCs w:val="26"/>
              </w:rPr>
              <w:t>Timeliness in responding to requests for information during 20</w:t>
            </w:r>
            <w:r w:rsidR="00FC0FB0" w:rsidRPr="00277AC1">
              <w:rPr>
                <w:rFonts w:ascii="Arial" w:hAnsi="Arial" w:cs="Arial"/>
                <w:sz w:val="24"/>
                <w:szCs w:val="26"/>
              </w:rPr>
              <w:t>2</w:t>
            </w:r>
            <w:r w:rsidR="00277AC1" w:rsidRPr="00277AC1">
              <w:rPr>
                <w:rFonts w:ascii="Arial" w:hAnsi="Arial" w:cs="Arial"/>
                <w:sz w:val="24"/>
                <w:szCs w:val="26"/>
              </w:rPr>
              <w:t>1</w:t>
            </w:r>
            <w:r w:rsidR="007B3A8B" w:rsidRPr="00277AC1">
              <w:rPr>
                <w:rFonts w:ascii="Arial" w:hAnsi="Arial" w:cs="Arial"/>
                <w:sz w:val="24"/>
                <w:szCs w:val="26"/>
              </w:rPr>
              <w:t>/2</w:t>
            </w:r>
            <w:r w:rsidR="00277AC1" w:rsidRPr="00277AC1">
              <w:rPr>
                <w:rFonts w:ascii="Arial" w:hAnsi="Arial" w:cs="Arial"/>
                <w:sz w:val="24"/>
                <w:szCs w:val="26"/>
              </w:rPr>
              <w:t>2 was maintained at 100%.</w:t>
            </w:r>
          </w:p>
          <w:p w14:paraId="374C610B" w14:textId="77777777" w:rsidR="00360B07" w:rsidRPr="00277AC1" w:rsidRDefault="00360B07" w:rsidP="00262B29">
            <w:pPr>
              <w:spacing w:after="0"/>
              <w:jc w:val="both"/>
              <w:rPr>
                <w:rFonts w:ascii="Arial" w:hAnsi="Arial" w:cs="Arial"/>
                <w:sz w:val="24"/>
                <w:szCs w:val="26"/>
              </w:rPr>
            </w:pPr>
            <w:r w:rsidRPr="00277AC1">
              <w:rPr>
                <w:rFonts w:ascii="Arial" w:hAnsi="Arial" w:cs="Arial"/>
                <w:sz w:val="24"/>
                <w:szCs w:val="26"/>
              </w:rPr>
              <w:br/>
            </w:r>
            <w:r w:rsidRPr="00277AC1">
              <w:rPr>
                <w:rFonts w:ascii="Arial" w:hAnsi="Arial" w:cs="Arial"/>
                <w:sz w:val="24"/>
                <w:szCs w:val="26"/>
                <w:u w:val="single"/>
              </w:rPr>
              <w:t>Exemptions and Refusals</w:t>
            </w:r>
          </w:p>
          <w:p w14:paraId="0833A5FC" w14:textId="77777777" w:rsidR="00B74046" w:rsidRPr="00277AC1" w:rsidRDefault="00B74046" w:rsidP="00360B07">
            <w:pPr>
              <w:spacing w:after="0"/>
              <w:jc w:val="both"/>
              <w:rPr>
                <w:rFonts w:ascii="Arial" w:hAnsi="Arial" w:cs="Arial"/>
                <w:sz w:val="24"/>
                <w:szCs w:val="26"/>
              </w:rPr>
            </w:pPr>
            <w:r w:rsidRPr="00277AC1">
              <w:rPr>
                <w:rFonts w:ascii="Arial" w:hAnsi="Arial" w:cs="Arial"/>
                <w:sz w:val="24"/>
                <w:szCs w:val="26"/>
              </w:rPr>
              <w:t xml:space="preserve">The FOIA outlines a number of exemptions that can be utilised to prevent the release of sensitive information.    </w:t>
            </w:r>
            <w:r w:rsidR="006233D5" w:rsidRPr="00277AC1">
              <w:rPr>
                <w:rFonts w:ascii="Arial" w:hAnsi="Arial" w:cs="Arial"/>
                <w:sz w:val="24"/>
                <w:szCs w:val="26"/>
              </w:rPr>
              <w:t>There is a</w:t>
            </w:r>
            <w:r w:rsidRPr="00277AC1">
              <w:rPr>
                <w:rFonts w:ascii="Arial" w:hAnsi="Arial" w:cs="Arial"/>
                <w:sz w:val="24"/>
                <w:szCs w:val="26"/>
              </w:rPr>
              <w:t xml:space="preserve"> presumption that information will be released unless there is a good reason for it to be withheld.</w:t>
            </w:r>
          </w:p>
          <w:p w14:paraId="407376DC" w14:textId="77777777" w:rsidR="00360B07" w:rsidRPr="00277AC1" w:rsidRDefault="00360B07" w:rsidP="00360B07">
            <w:pPr>
              <w:spacing w:after="0"/>
              <w:jc w:val="both"/>
              <w:rPr>
                <w:rFonts w:ascii="Arial" w:hAnsi="Arial" w:cs="Arial"/>
                <w:sz w:val="24"/>
                <w:szCs w:val="26"/>
              </w:rPr>
            </w:pPr>
          </w:p>
          <w:p w14:paraId="28A3A63F" w14:textId="6D3DF780" w:rsidR="00D82644" w:rsidRPr="00277AC1" w:rsidRDefault="0014580B" w:rsidP="00262B29">
            <w:pPr>
              <w:spacing w:after="0"/>
              <w:jc w:val="both"/>
              <w:rPr>
                <w:rFonts w:ascii="Arial" w:hAnsi="Arial" w:cs="Arial"/>
                <w:sz w:val="24"/>
                <w:szCs w:val="26"/>
              </w:rPr>
            </w:pPr>
            <w:r w:rsidRPr="00277AC1">
              <w:rPr>
                <w:rFonts w:ascii="Arial" w:hAnsi="Arial" w:cs="Arial"/>
                <w:sz w:val="24"/>
                <w:szCs w:val="26"/>
              </w:rPr>
              <w:t xml:space="preserve">Of the </w:t>
            </w:r>
            <w:r w:rsidR="00277AC1" w:rsidRPr="00277AC1">
              <w:rPr>
                <w:rFonts w:ascii="Arial" w:hAnsi="Arial" w:cs="Arial"/>
                <w:sz w:val="24"/>
                <w:szCs w:val="26"/>
              </w:rPr>
              <w:t>64</w:t>
            </w:r>
            <w:r w:rsidRPr="00277AC1">
              <w:rPr>
                <w:rFonts w:ascii="Arial" w:hAnsi="Arial" w:cs="Arial"/>
                <w:sz w:val="24"/>
                <w:szCs w:val="26"/>
              </w:rPr>
              <w:t xml:space="preserve"> requests received, </w:t>
            </w:r>
            <w:r w:rsidR="00277AC1" w:rsidRPr="00277AC1">
              <w:rPr>
                <w:rFonts w:ascii="Arial" w:hAnsi="Arial" w:cs="Arial"/>
                <w:sz w:val="24"/>
                <w:szCs w:val="26"/>
              </w:rPr>
              <w:t>39</w:t>
            </w:r>
            <w:r w:rsidR="00B74046" w:rsidRPr="00277AC1">
              <w:rPr>
                <w:rFonts w:ascii="Arial" w:hAnsi="Arial" w:cs="Arial"/>
                <w:sz w:val="24"/>
                <w:szCs w:val="26"/>
              </w:rPr>
              <w:t xml:space="preserve"> were </w:t>
            </w:r>
            <w:r w:rsidR="00D75BD6" w:rsidRPr="00277AC1">
              <w:rPr>
                <w:rFonts w:ascii="Arial" w:hAnsi="Arial" w:cs="Arial"/>
                <w:sz w:val="24"/>
                <w:szCs w:val="26"/>
              </w:rPr>
              <w:t xml:space="preserve">refused </w:t>
            </w:r>
            <w:r w:rsidR="00B74046" w:rsidRPr="00277AC1">
              <w:rPr>
                <w:rFonts w:ascii="Arial" w:hAnsi="Arial" w:cs="Arial"/>
                <w:sz w:val="24"/>
                <w:szCs w:val="26"/>
              </w:rPr>
              <w:t>because the OPCC did no</w:t>
            </w:r>
            <w:r w:rsidR="00360B07" w:rsidRPr="00277AC1">
              <w:rPr>
                <w:rFonts w:ascii="Arial" w:hAnsi="Arial" w:cs="Arial"/>
                <w:sz w:val="24"/>
                <w:szCs w:val="26"/>
              </w:rPr>
              <w:t>t</w:t>
            </w:r>
            <w:r w:rsidR="00B74046" w:rsidRPr="00277AC1">
              <w:rPr>
                <w:rFonts w:ascii="Arial" w:hAnsi="Arial" w:cs="Arial"/>
                <w:sz w:val="24"/>
                <w:szCs w:val="26"/>
              </w:rPr>
              <w:t xml:space="preserve"> hold the</w:t>
            </w:r>
            <w:r w:rsidR="004228B2" w:rsidRPr="00277AC1">
              <w:rPr>
                <w:rFonts w:ascii="Arial" w:hAnsi="Arial" w:cs="Arial"/>
                <w:sz w:val="24"/>
                <w:szCs w:val="26"/>
              </w:rPr>
              <w:t xml:space="preserve"> information that was requested</w:t>
            </w:r>
            <w:r w:rsidR="002736CE">
              <w:rPr>
                <w:rFonts w:ascii="Arial" w:hAnsi="Arial" w:cs="Arial"/>
                <w:sz w:val="24"/>
                <w:szCs w:val="26"/>
              </w:rPr>
              <w:t xml:space="preserve"> with an additional </w:t>
            </w:r>
            <w:r w:rsidR="00277AC1" w:rsidRPr="00277AC1">
              <w:rPr>
                <w:rFonts w:ascii="Arial" w:hAnsi="Arial" w:cs="Arial"/>
                <w:sz w:val="24"/>
                <w:szCs w:val="26"/>
              </w:rPr>
              <w:t>4</w:t>
            </w:r>
            <w:r w:rsidR="00FC0FB0" w:rsidRPr="00277AC1">
              <w:rPr>
                <w:rFonts w:ascii="Arial" w:hAnsi="Arial" w:cs="Arial"/>
                <w:sz w:val="24"/>
                <w:szCs w:val="26"/>
              </w:rPr>
              <w:t xml:space="preserve"> refused utilising an exemption</w:t>
            </w:r>
            <w:r w:rsidR="004228B2" w:rsidRPr="00277AC1">
              <w:rPr>
                <w:rFonts w:ascii="Arial" w:hAnsi="Arial" w:cs="Arial"/>
                <w:sz w:val="24"/>
                <w:szCs w:val="26"/>
              </w:rPr>
              <w:t xml:space="preserve">.  </w:t>
            </w:r>
          </w:p>
          <w:p w14:paraId="292D8DF0" w14:textId="77777777" w:rsidR="00FC0FB0" w:rsidRPr="00277AC1" w:rsidRDefault="00FC0FB0" w:rsidP="00C914AF">
            <w:pPr>
              <w:spacing w:after="0"/>
              <w:jc w:val="both"/>
              <w:rPr>
                <w:rFonts w:ascii="Arial" w:hAnsi="Arial" w:cs="Arial"/>
                <w:sz w:val="24"/>
                <w:szCs w:val="26"/>
              </w:rPr>
            </w:pPr>
          </w:p>
          <w:p w14:paraId="53AAFBDD" w14:textId="76BAA8DF" w:rsidR="00262B29" w:rsidRPr="00277AC1" w:rsidRDefault="00C914AF" w:rsidP="00C914AF">
            <w:pPr>
              <w:spacing w:after="0"/>
              <w:jc w:val="both"/>
              <w:rPr>
                <w:rFonts w:ascii="Arial" w:hAnsi="Arial" w:cs="Arial"/>
                <w:sz w:val="24"/>
                <w:szCs w:val="26"/>
              </w:rPr>
            </w:pPr>
            <w:r w:rsidRPr="00277AC1">
              <w:rPr>
                <w:rFonts w:ascii="Arial" w:hAnsi="Arial" w:cs="Arial"/>
                <w:sz w:val="24"/>
                <w:szCs w:val="26"/>
              </w:rPr>
              <w:t>The m</w:t>
            </w:r>
            <w:r w:rsidR="00FC0FB0" w:rsidRPr="00277AC1">
              <w:rPr>
                <w:rFonts w:ascii="Arial" w:hAnsi="Arial" w:cs="Arial"/>
                <w:sz w:val="24"/>
                <w:szCs w:val="26"/>
              </w:rPr>
              <w:t xml:space="preserve">ajority </w:t>
            </w:r>
            <w:r w:rsidRPr="00277AC1">
              <w:rPr>
                <w:rFonts w:ascii="Arial" w:hAnsi="Arial" w:cs="Arial"/>
                <w:sz w:val="24"/>
                <w:szCs w:val="26"/>
              </w:rPr>
              <w:t>of the requests</w:t>
            </w:r>
            <w:r w:rsidR="00FC0FB0" w:rsidRPr="00277AC1">
              <w:rPr>
                <w:rFonts w:ascii="Arial" w:hAnsi="Arial" w:cs="Arial"/>
                <w:sz w:val="24"/>
                <w:szCs w:val="26"/>
              </w:rPr>
              <w:t xml:space="preserve"> refused</w:t>
            </w:r>
            <w:r w:rsidRPr="00277AC1">
              <w:rPr>
                <w:rFonts w:ascii="Arial" w:hAnsi="Arial" w:cs="Arial"/>
                <w:sz w:val="24"/>
                <w:szCs w:val="26"/>
              </w:rPr>
              <w:t xml:space="preserve"> were for operational policing information</w:t>
            </w:r>
            <w:r w:rsidR="003E469E">
              <w:rPr>
                <w:rFonts w:ascii="Arial" w:hAnsi="Arial" w:cs="Arial"/>
                <w:sz w:val="24"/>
                <w:szCs w:val="26"/>
              </w:rPr>
              <w:t>.</w:t>
            </w:r>
            <w:r w:rsidRPr="00277AC1">
              <w:rPr>
                <w:rFonts w:ascii="Arial" w:hAnsi="Arial" w:cs="Arial"/>
                <w:sz w:val="24"/>
                <w:szCs w:val="26"/>
              </w:rPr>
              <w:t xml:space="preserve"> </w:t>
            </w:r>
            <w:r w:rsidR="003E469E">
              <w:rPr>
                <w:rFonts w:ascii="Arial" w:hAnsi="Arial" w:cs="Arial"/>
                <w:sz w:val="24"/>
                <w:szCs w:val="26"/>
              </w:rPr>
              <w:t>W</w:t>
            </w:r>
            <w:r w:rsidR="00F10BAF" w:rsidRPr="00277AC1">
              <w:rPr>
                <w:rFonts w:ascii="Arial" w:hAnsi="Arial" w:cs="Arial"/>
                <w:sz w:val="24"/>
                <w:szCs w:val="26"/>
              </w:rPr>
              <w:t xml:space="preserve">here </w:t>
            </w:r>
            <w:r w:rsidRPr="00277AC1">
              <w:rPr>
                <w:rFonts w:ascii="Arial" w:hAnsi="Arial" w:cs="Arial"/>
                <w:sz w:val="24"/>
                <w:szCs w:val="26"/>
              </w:rPr>
              <w:t>appropriate</w:t>
            </w:r>
            <w:r w:rsidR="003E469E">
              <w:rPr>
                <w:rFonts w:ascii="Arial" w:hAnsi="Arial" w:cs="Arial"/>
                <w:sz w:val="24"/>
                <w:szCs w:val="26"/>
              </w:rPr>
              <w:t>,</w:t>
            </w:r>
            <w:r w:rsidR="00F10BAF" w:rsidRPr="00277AC1">
              <w:rPr>
                <w:rFonts w:ascii="Arial" w:hAnsi="Arial" w:cs="Arial"/>
                <w:sz w:val="24"/>
                <w:szCs w:val="26"/>
              </w:rPr>
              <w:t xml:space="preserve"> the requester was</w:t>
            </w:r>
            <w:r w:rsidR="00262B29" w:rsidRPr="00277AC1">
              <w:rPr>
                <w:rFonts w:ascii="Arial" w:hAnsi="Arial" w:cs="Arial"/>
                <w:sz w:val="24"/>
                <w:szCs w:val="26"/>
              </w:rPr>
              <w:t xml:space="preserve"> provided</w:t>
            </w:r>
            <w:r w:rsidRPr="00277AC1">
              <w:rPr>
                <w:rFonts w:ascii="Arial" w:hAnsi="Arial" w:cs="Arial"/>
                <w:sz w:val="24"/>
                <w:szCs w:val="26"/>
              </w:rPr>
              <w:t xml:space="preserve"> with the contact details of the Gwent Police F</w:t>
            </w:r>
            <w:r w:rsidR="00DB31C5" w:rsidRPr="00277AC1">
              <w:rPr>
                <w:rFonts w:ascii="Arial" w:hAnsi="Arial" w:cs="Arial"/>
                <w:sz w:val="24"/>
                <w:szCs w:val="26"/>
              </w:rPr>
              <w:t xml:space="preserve">reedom of </w:t>
            </w:r>
            <w:r w:rsidRPr="00277AC1">
              <w:rPr>
                <w:rFonts w:ascii="Arial" w:hAnsi="Arial" w:cs="Arial"/>
                <w:sz w:val="24"/>
                <w:szCs w:val="26"/>
              </w:rPr>
              <w:t>I</w:t>
            </w:r>
            <w:r w:rsidR="00DB31C5" w:rsidRPr="00277AC1">
              <w:rPr>
                <w:rFonts w:ascii="Arial" w:hAnsi="Arial" w:cs="Arial"/>
                <w:sz w:val="24"/>
                <w:szCs w:val="26"/>
              </w:rPr>
              <w:t>nformation</w:t>
            </w:r>
            <w:r w:rsidRPr="00277AC1">
              <w:rPr>
                <w:rFonts w:ascii="Arial" w:hAnsi="Arial" w:cs="Arial"/>
                <w:sz w:val="24"/>
                <w:szCs w:val="26"/>
              </w:rPr>
              <w:t xml:space="preserve"> department</w:t>
            </w:r>
            <w:r w:rsidR="00EE7DBD" w:rsidRPr="00277AC1">
              <w:rPr>
                <w:rFonts w:ascii="Arial" w:hAnsi="Arial" w:cs="Arial"/>
                <w:sz w:val="24"/>
                <w:szCs w:val="26"/>
              </w:rPr>
              <w:t>.</w:t>
            </w:r>
          </w:p>
          <w:p w14:paraId="618D38A8" w14:textId="77777777" w:rsidR="00262B29" w:rsidRPr="00277AC1" w:rsidRDefault="00262B29" w:rsidP="00262B29">
            <w:pPr>
              <w:spacing w:after="0"/>
              <w:jc w:val="both"/>
              <w:rPr>
                <w:rFonts w:ascii="Arial" w:hAnsi="Arial" w:cs="Arial"/>
                <w:sz w:val="24"/>
                <w:szCs w:val="26"/>
                <w:u w:val="single"/>
              </w:rPr>
            </w:pPr>
          </w:p>
          <w:p w14:paraId="01C36A0A" w14:textId="77777777" w:rsidR="00F10BAF" w:rsidRPr="00277AC1" w:rsidRDefault="00F10BAF" w:rsidP="00262B29">
            <w:pPr>
              <w:spacing w:after="0"/>
              <w:jc w:val="both"/>
              <w:rPr>
                <w:rFonts w:ascii="Arial" w:hAnsi="Arial" w:cs="Arial"/>
                <w:sz w:val="24"/>
                <w:szCs w:val="26"/>
              </w:rPr>
            </w:pPr>
            <w:r w:rsidRPr="00277AC1">
              <w:rPr>
                <w:rFonts w:ascii="Arial" w:hAnsi="Arial" w:cs="Arial"/>
                <w:sz w:val="24"/>
                <w:szCs w:val="26"/>
              </w:rPr>
              <w:t>A detailed breakdown of the exemptions and the number of times they have been utilised</w:t>
            </w:r>
            <w:r w:rsidR="00C914AF" w:rsidRPr="00277AC1">
              <w:rPr>
                <w:rFonts w:ascii="Arial" w:hAnsi="Arial" w:cs="Arial"/>
                <w:sz w:val="24"/>
                <w:szCs w:val="26"/>
              </w:rPr>
              <w:t xml:space="preserve"> </w:t>
            </w:r>
            <w:r w:rsidRPr="00277AC1">
              <w:rPr>
                <w:rFonts w:ascii="Arial" w:hAnsi="Arial" w:cs="Arial"/>
                <w:sz w:val="24"/>
                <w:szCs w:val="26"/>
              </w:rPr>
              <w:t>is included at appendix 1.</w:t>
            </w:r>
          </w:p>
          <w:p w14:paraId="40C7AF6A" w14:textId="77777777" w:rsidR="00F10BAF" w:rsidRPr="00132AA2" w:rsidRDefault="00F10BAF" w:rsidP="00262B29">
            <w:pPr>
              <w:spacing w:after="0"/>
              <w:jc w:val="both"/>
              <w:rPr>
                <w:rFonts w:ascii="Arial" w:hAnsi="Arial" w:cs="Arial"/>
                <w:sz w:val="24"/>
                <w:szCs w:val="26"/>
                <w:highlight w:val="yellow"/>
                <w:u w:val="single"/>
              </w:rPr>
            </w:pPr>
          </w:p>
          <w:p w14:paraId="47A14EAD" w14:textId="77777777" w:rsidR="00360B07" w:rsidRPr="00277AC1" w:rsidRDefault="00262B29" w:rsidP="00262B29">
            <w:pPr>
              <w:spacing w:after="0"/>
              <w:jc w:val="both"/>
              <w:rPr>
                <w:rFonts w:ascii="Arial" w:hAnsi="Arial" w:cs="Arial"/>
                <w:sz w:val="24"/>
                <w:szCs w:val="26"/>
              </w:rPr>
            </w:pPr>
            <w:r w:rsidRPr="00277AC1">
              <w:rPr>
                <w:rFonts w:ascii="Arial" w:hAnsi="Arial" w:cs="Arial"/>
                <w:sz w:val="24"/>
                <w:szCs w:val="26"/>
                <w:u w:val="single"/>
              </w:rPr>
              <w:t>Appeals</w:t>
            </w:r>
            <w:r w:rsidR="00360B07" w:rsidRPr="00277AC1">
              <w:rPr>
                <w:rFonts w:ascii="Arial" w:hAnsi="Arial" w:cs="Arial"/>
                <w:sz w:val="24"/>
                <w:szCs w:val="26"/>
                <w:u w:val="single"/>
              </w:rPr>
              <w:br/>
            </w:r>
            <w:r w:rsidRPr="00277AC1">
              <w:rPr>
                <w:rFonts w:ascii="Arial" w:hAnsi="Arial" w:cs="Arial"/>
                <w:sz w:val="24"/>
                <w:szCs w:val="26"/>
              </w:rPr>
              <w:t>All responses to requests received under the FOIA require details of the internal appeals process to be included.  The Chief Executive is responsible for all internal appeals received in relation to the FOIA.</w:t>
            </w:r>
          </w:p>
          <w:p w14:paraId="1254132D" w14:textId="77777777" w:rsidR="00262B29" w:rsidRPr="00277AC1" w:rsidRDefault="00262B29" w:rsidP="00262B29">
            <w:pPr>
              <w:spacing w:after="0"/>
              <w:jc w:val="both"/>
              <w:rPr>
                <w:rFonts w:ascii="Arial" w:hAnsi="Arial" w:cs="Arial"/>
                <w:sz w:val="24"/>
                <w:szCs w:val="26"/>
              </w:rPr>
            </w:pPr>
          </w:p>
          <w:p w14:paraId="3E704E09" w14:textId="252FF68F" w:rsidR="00262B29" w:rsidRPr="00277AC1" w:rsidRDefault="006D4D01" w:rsidP="00262B29">
            <w:pPr>
              <w:spacing w:after="0"/>
              <w:jc w:val="both"/>
              <w:rPr>
                <w:rFonts w:ascii="Arial" w:hAnsi="Arial" w:cs="Arial"/>
                <w:sz w:val="24"/>
                <w:szCs w:val="26"/>
              </w:rPr>
            </w:pPr>
            <w:r w:rsidRPr="00277AC1">
              <w:rPr>
                <w:rFonts w:ascii="Arial" w:hAnsi="Arial" w:cs="Arial"/>
                <w:sz w:val="24"/>
                <w:szCs w:val="26"/>
              </w:rPr>
              <w:t>During 20</w:t>
            </w:r>
            <w:r w:rsidR="00EE7DBD" w:rsidRPr="00277AC1">
              <w:rPr>
                <w:rFonts w:ascii="Arial" w:hAnsi="Arial" w:cs="Arial"/>
                <w:sz w:val="24"/>
                <w:szCs w:val="26"/>
              </w:rPr>
              <w:t>2</w:t>
            </w:r>
            <w:r w:rsidR="00277AC1" w:rsidRPr="00277AC1">
              <w:rPr>
                <w:rFonts w:ascii="Arial" w:hAnsi="Arial" w:cs="Arial"/>
                <w:sz w:val="24"/>
                <w:szCs w:val="26"/>
              </w:rPr>
              <w:t>1</w:t>
            </w:r>
            <w:r w:rsidRPr="00277AC1">
              <w:rPr>
                <w:rFonts w:ascii="Arial" w:hAnsi="Arial" w:cs="Arial"/>
                <w:sz w:val="24"/>
                <w:szCs w:val="26"/>
              </w:rPr>
              <w:t>/2</w:t>
            </w:r>
            <w:r w:rsidR="00277AC1" w:rsidRPr="00277AC1">
              <w:rPr>
                <w:rFonts w:ascii="Arial" w:hAnsi="Arial" w:cs="Arial"/>
                <w:sz w:val="24"/>
                <w:szCs w:val="26"/>
              </w:rPr>
              <w:t>2</w:t>
            </w:r>
            <w:r w:rsidRPr="00277AC1">
              <w:rPr>
                <w:rFonts w:ascii="Arial" w:hAnsi="Arial" w:cs="Arial"/>
                <w:sz w:val="24"/>
                <w:szCs w:val="26"/>
              </w:rPr>
              <w:t>, no</w:t>
            </w:r>
            <w:r w:rsidR="00262B29" w:rsidRPr="00277AC1">
              <w:rPr>
                <w:rFonts w:ascii="Arial" w:hAnsi="Arial" w:cs="Arial"/>
                <w:sz w:val="24"/>
                <w:szCs w:val="26"/>
              </w:rPr>
              <w:t xml:space="preserve"> request</w:t>
            </w:r>
            <w:r w:rsidRPr="00277AC1">
              <w:rPr>
                <w:rFonts w:ascii="Arial" w:hAnsi="Arial" w:cs="Arial"/>
                <w:sz w:val="24"/>
                <w:szCs w:val="26"/>
              </w:rPr>
              <w:t>s for an appeal were</w:t>
            </w:r>
            <w:r w:rsidR="00262B29" w:rsidRPr="00277AC1">
              <w:rPr>
                <w:rFonts w:ascii="Arial" w:hAnsi="Arial" w:cs="Arial"/>
                <w:sz w:val="24"/>
                <w:szCs w:val="26"/>
              </w:rPr>
              <w:t xml:space="preserve"> received by the OPCC.  </w:t>
            </w:r>
          </w:p>
          <w:p w14:paraId="756E7AF2" w14:textId="77777777" w:rsidR="00262B29" w:rsidRPr="00277AC1" w:rsidRDefault="00262B29" w:rsidP="00262B29">
            <w:pPr>
              <w:spacing w:after="0"/>
              <w:jc w:val="both"/>
              <w:rPr>
                <w:rFonts w:ascii="Arial" w:hAnsi="Arial" w:cs="Arial"/>
                <w:sz w:val="24"/>
                <w:szCs w:val="26"/>
              </w:rPr>
            </w:pPr>
          </w:p>
          <w:p w14:paraId="2A6F814A" w14:textId="77777777" w:rsidR="00EE7DBD" w:rsidRPr="00277AC1" w:rsidRDefault="00EE7DBD" w:rsidP="00262B29">
            <w:pPr>
              <w:spacing w:after="0"/>
              <w:jc w:val="both"/>
              <w:rPr>
                <w:rFonts w:ascii="Arial" w:hAnsi="Arial" w:cs="Arial"/>
                <w:sz w:val="24"/>
                <w:szCs w:val="26"/>
                <w:u w:val="single"/>
              </w:rPr>
            </w:pPr>
            <w:r w:rsidRPr="00277AC1">
              <w:rPr>
                <w:rFonts w:ascii="Arial" w:hAnsi="Arial" w:cs="Arial"/>
                <w:sz w:val="24"/>
                <w:szCs w:val="26"/>
                <w:u w:val="single"/>
              </w:rPr>
              <w:t>Information Commissioner’s Office</w:t>
            </w:r>
          </w:p>
          <w:p w14:paraId="12BFB29A" w14:textId="77777777" w:rsidR="00EE7DBD" w:rsidRPr="00277AC1" w:rsidRDefault="00262B29" w:rsidP="00262B29">
            <w:pPr>
              <w:spacing w:after="0"/>
              <w:jc w:val="both"/>
              <w:rPr>
                <w:rFonts w:ascii="Arial" w:hAnsi="Arial" w:cs="Arial"/>
                <w:sz w:val="24"/>
                <w:szCs w:val="26"/>
              </w:rPr>
            </w:pPr>
            <w:r w:rsidRPr="00277AC1">
              <w:rPr>
                <w:rFonts w:ascii="Arial" w:hAnsi="Arial" w:cs="Arial"/>
                <w:sz w:val="24"/>
                <w:szCs w:val="26"/>
              </w:rPr>
              <w:t xml:space="preserve">After the internal appeals process has been exhausted and </w:t>
            </w:r>
            <w:r w:rsidR="006D4D01" w:rsidRPr="00277AC1">
              <w:rPr>
                <w:rFonts w:ascii="Arial" w:hAnsi="Arial" w:cs="Arial"/>
                <w:sz w:val="24"/>
                <w:szCs w:val="26"/>
              </w:rPr>
              <w:t xml:space="preserve">if </w:t>
            </w:r>
            <w:r w:rsidRPr="00277AC1">
              <w:rPr>
                <w:rFonts w:ascii="Arial" w:hAnsi="Arial" w:cs="Arial"/>
                <w:sz w:val="24"/>
                <w:szCs w:val="26"/>
              </w:rPr>
              <w:t>the requester is still unhappy with the response</w:t>
            </w:r>
            <w:r w:rsidR="00EE7DBD" w:rsidRPr="00277AC1">
              <w:rPr>
                <w:rFonts w:ascii="Arial" w:hAnsi="Arial" w:cs="Arial"/>
                <w:sz w:val="24"/>
                <w:szCs w:val="26"/>
              </w:rPr>
              <w:t xml:space="preserve"> provided by the OPCC</w:t>
            </w:r>
            <w:r w:rsidRPr="00277AC1">
              <w:rPr>
                <w:rFonts w:ascii="Arial" w:hAnsi="Arial" w:cs="Arial"/>
                <w:sz w:val="24"/>
                <w:szCs w:val="26"/>
              </w:rPr>
              <w:t xml:space="preserve">, they have a right of appeal to the </w:t>
            </w:r>
            <w:r w:rsidR="006E767C" w:rsidRPr="00277AC1">
              <w:rPr>
                <w:rFonts w:ascii="Arial" w:hAnsi="Arial" w:cs="Arial"/>
                <w:sz w:val="24"/>
                <w:szCs w:val="26"/>
              </w:rPr>
              <w:t>ICO</w:t>
            </w:r>
            <w:r w:rsidR="00E22435" w:rsidRPr="00277AC1">
              <w:rPr>
                <w:rFonts w:ascii="Arial" w:hAnsi="Arial" w:cs="Arial"/>
                <w:sz w:val="24"/>
                <w:szCs w:val="26"/>
              </w:rPr>
              <w:t xml:space="preserve">.  </w:t>
            </w:r>
            <w:r w:rsidR="00EE7DBD" w:rsidRPr="00277AC1">
              <w:rPr>
                <w:rFonts w:ascii="Arial" w:hAnsi="Arial" w:cs="Arial"/>
                <w:sz w:val="24"/>
                <w:szCs w:val="26"/>
              </w:rPr>
              <w:t>The public are also able to contact the ICO</w:t>
            </w:r>
            <w:r w:rsidR="00D75BD6" w:rsidRPr="00277AC1">
              <w:rPr>
                <w:rFonts w:ascii="Arial" w:hAnsi="Arial" w:cs="Arial"/>
                <w:sz w:val="24"/>
                <w:szCs w:val="26"/>
              </w:rPr>
              <w:t xml:space="preserve"> in other instances such as</w:t>
            </w:r>
            <w:r w:rsidR="00EE7DBD" w:rsidRPr="00277AC1">
              <w:rPr>
                <w:rFonts w:ascii="Arial" w:hAnsi="Arial" w:cs="Arial"/>
                <w:sz w:val="24"/>
                <w:szCs w:val="26"/>
              </w:rPr>
              <w:t xml:space="preserve"> if the 20 working day time limit is not being met.</w:t>
            </w:r>
          </w:p>
          <w:p w14:paraId="5F3372B1" w14:textId="77777777" w:rsidR="00EE7DBD" w:rsidRPr="00277AC1" w:rsidRDefault="00EE7DBD" w:rsidP="00262B29">
            <w:pPr>
              <w:spacing w:after="0"/>
              <w:jc w:val="both"/>
              <w:rPr>
                <w:rFonts w:ascii="Arial" w:hAnsi="Arial" w:cs="Arial"/>
                <w:sz w:val="24"/>
                <w:szCs w:val="26"/>
              </w:rPr>
            </w:pPr>
          </w:p>
          <w:p w14:paraId="53C3EBB5" w14:textId="36ECA496" w:rsidR="00262B29" w:rsidRPr="00277AC1" w:rsidRDefault="00E22435" w:rsidP="00262B29">
            <w:pPr>
              <w:spacing w:after="0"/>
              <w:jc w:val="both"/>
              <w:rPr>
                <w:rFonts w:ascii="Arial" w:hAnsi="Arial" w:cs="Arial"/>
                <w:sz w:val="24"/>
                <w:szCs w:val="26"/>
              </w:rPr>
            </w:pPr>
            <w:r w:rsidRPr="00277AC1">
              <w:rPr>
                <w:rFonts w:ascii="Arial" w:hAnsi="Arial" w:cs="Arial"/>
                <w:sz w:val="24"/>
                <w:szCs w:val="26"/>
              </w:rPr>
              <w:t xml:space="preserve">No contact was received from the </w:t>
            </w:r>
            <w:r w:rsidR="006E767C" w:rsidRPr="00277AC1">
              <w:rPr>
                <w:rFonts w:ascii="Arial" w:hAnsi="Arial" w:cs="Arial"/>
                <w:sz w:val="24"/>
                <w:szCs w:val="26"/>
              </w:rPr>
              <w:t>ICO</w:t>
            </w:r>
            <w:r w:rsidR="006D4D01" w:rsidRPr="00277AC1">
              <w:rPr>
                <w:rFonts w:ascii="Arial" w:hAnsi="Arial" w:cs="Arial"/>
                <w:sz w:val="24"/>
                <w:szCs w:val="26"/>
              </w:rPr>
              <w:t xml:space="preserve"> during 20</w:t>
            </w:r>
            <w:r w:rsidR="00EE7DBD" w:rsidRPr="00277AC1">
              <w:rPr>
                <w:rFonts w:ascii="Arial" w:hAnsi="Arial" w:cs="Arial"/>
                <w:sz w:val="24"/>
                <w:szCs w:val="26"/>
              </w:rPr>
              <w:t>2</w:t>
            </w:r>
            <w:r w:rsidR="00277AC1" w:rsidRPr="00277AC1">
              <w:rPr>
                <w:rFonts w:ascii="Arial" w:hAnsi="Arial" w:cs="Arial"/>
                <w:sz w:val="24"/>
                <w:szCs w:val="26"/>
              </w:rPr>
              <w:t>1</w:t>
            </w:r>
            <w:r w:rsidR="006D4D01" w:rsidRPr="00277AC1">
              <w:rPr>
                <w:rFonts w:ascii="Arial" w:hAnsi="Arial" w:cs="Arial"/>
                <w:sz w:val="24"/>
                <w:szCs w:val="26"/>
              </w:rPr>
              <w:t>/2</w:t>
            </w:r>
            <w:r w:rsidR="00277AC1" w:rsidRPr="00277AC1">
              <w:rPr>
                <w:rFonts w:ascii="Arial" w:hAnsi="Arial" w:cs="Arial"/>
                <w:sz w:val="24"/>
                <w:szCs w:val="26"/>
              </w:rPr>
              <w:t>2</w:t>
            </w:r>
            <w:r w:rsidRPr="00277AC1">
              <w:rPr>
                <w:rFonts w:ascii="Arial" w:hAnsi="Arial" w:cs="Arial"/>
                <w:sz w:val="24"/>
                <w:szCs w:val="26"/>
              </w:rPr>
              <w:t>.</w:t>
            </w:r>
          </w:p>
          <w:p w14:paraId="1E365ED0" w14:textId="77777777" w:rsidR="00E22435" w:rsidRPr="00132AA2" w:rsidRDefault="00E22435" w:rsidP="00262B29">
            <w:pPr>
              <w:spacing w:after="0"/>
              <w:jc w:val="both"/>
              <w:rPr>
                <w:rFonts w:ascii="Arial" w:hAnsi="Arial" w:cs="Arial"/>
                <w:sz w:val="24"/>
                <w:szCs w:val="26"/>
                <w:highlight w:val="yellow"/>
              </w:rPr>
            </w:pPr>
          </w:p>
          <w:p w14:paraId="26E02629" w14:textId="77777777" w:rsidR="00E22435" w:rsidRPr="00277AC1" w:rsidRDefault="00E22435" w:rsidP="00262B29">
            <w:pPr>
              <w:spacing w:after="0"/>
              <w:jc w:val="both"/>
              <w:rPr>
                <w:rFonts w:ascii="Arial" w:hAnsi="Arial" w:cs="Arial"/>
                <w:sz w:val="24"/>
                <w:szCs w:val="26"/>
                <w:u w:val="single"/>
              </w:rPr>
            </w:pPr>
            <w:r w:rsidRPr="00277AC1">
              <w:rPr>
                <w:rFonts w:ascii="Arial" w:hAnsi="Arial" w:cs="Arial"/>
                <w:sz w:val="24"/>
                <w:szCs w:val="26"/>
                <w:u w:val="single"/>
              </w:rPr>
              <w:t>Publication Scheme</w:t>
            </w:r>
          </w:p>
          <w:p w14:paraId="0024A926" w14:textId="77777777" w:rsidR="00F10BAF" w:rsidRPr="00277AC1" w:rsidRDefault="00D11D6C" w:rsidP="001201D9">
            <w:pPr>
              <w:jc w:val="both"/>
              <w:rPr>
                <w:rFonts w:ascii="Arial" w:hAnsi="Arial" w:cs="Arial"/>
                <w:sz w:val="24"/>
                <w:szCs w:val="26"/>
              </w:rPr>
            </w:pPr>
            <w:r w:rsidRPr="00277AC1">
              <w:rPr>
                <w:rFonts w:ascii="Arial" w:hAnsi="Arial" w:cs="Arial"/>
                <w:sz w:val="24"/>
                <w:szCs w:val="26"/>
              </w:rPr>
              <w:t>The FOIA requires ev</w:t>
            </w:r>
            <w:r w:rsidR="006E767C" w:rsidRPr="00277AC1">
              <w:rPr>
                <w:rFonts w:ascii="Arial" w:hAnsi="Arial" w:cs="Arial"/>
                <w:sz w:val="24"/>
                <w:szCs w:val="26"/>
              </w:rPr>
              <w:t>ery public authority to have a publication s</w:t>
            </w:r>
            <w:r w:rsidRPr="00277AC1">
              <w:rPr>
                <w:rFonts w:ascii="Arial" w:hAnsi="Arial" w:cs="Arial"/>
                <w:sz w:val="24"/>
                <w:szCs w:val="26"/>
              </w:rPr>
              <w:t xml:space="preserve">cheme approved by the </w:t>
            </w:r>
            <w:r w:rsidR="006E767C" w:rsidRPr="00277AC1">
              <w:rPr>
                <w:rFonts w:ascii="Arial" w:hAnsi="Arial" w:cs="Arial"/>
                <w:sz w:val="24"/>
                <w:szCs w:val="26"/>
              </w:rPr>
              <w:t>ICO.  There is a specific definition document for Elected</w:t>
            </w:r>
            <w:r w:rsidR="00F10BAF" w:rsidRPr="00277AC1">
              <w:rPr>
                <w:rFonts w:ascii="Arial" w:hAnsi="Arial" w:cs="Arial"/>
                <w:sz w:val="24"/>
                <w:szCs w:val="26"/>
              </w:rPr>
              <w:t xml:space="preserve"> Local</w:t>
            </w:r>
            <w:r w:rsidR="006E767C" w:rsidRPr="00277AC1">
              <w:rPr>
                <w:rFonts w:ascii="Arial" w:hAnsi="Arial" w:cs="Arial"/>
                <w:sz w:val="24"/>
                <w:szCs w:val="26"/>
              </w:rPr>
              <w:t xml:space="preserve"> Policing Bodies (otherwise referred to as OPCCs) produced by the ICO that indicates what information should be published in order to meet our commitments under the model publication scheme, although the list provided is not exhaustive.</w:t>
            </w:r>
          </w:p>
          <w:p w14:paraId="1979B767" w14:textId="17B36929" w:rsidR="006E767C" w:rsidRPr="00277AC1" w:rsidRDefault="00F10BAF" w:rsidP="001201D9">
            <w:pPr>
              <w:jc w:val="both"/>
              <w:rPr>
                <w:rFonts w:ascii="Arial" w:hAnsi="Arial" w:cs="Arial"/>
                <w:sz w:val="24"/>
                <w:szCs w:val="26"/>
              </w:rPr>
            </w:pPr>
            <w:r w:rsidRPr="00277AC1">
              <w:rPr>
                <w:rFonts w:ascii="Arial" w:hAnsi="Arial" w:cs="Arial"/>
                <w:sz w:val="24"/>
                <w:szCs w:val="26"/>
              </w:rPr>
              <w:t>T</w:t>
            </w:r>
            <w:r w:rsidR="006E767C" w:rsidRPr="00277AC1">
              <w:rPr>
                <w:rFonts w:ascii="Arial" w:hAnsi="Arial" w:cs="Arial"/>
                <w:sz w:val="24"/>
                <w:szCs w:val="26"/>
              </w:rPr>
              <w:t>he HoAC is responsible for ensuring the OPCC compl</w:t>
            </w:r>
            <w:r w:rsidR="006233D5" w:rsidRPr="00277AC1">
              <w:rPr>
                <w:rFonts w:ascii="Arial" w:hAnsi="Arial" w:cs="Arial"/>
                <w:sz w:val="24"/>
                <w:szCs w:val="26"/>
              </w:rPr>
              <w:t>ies</w:t>
            </w:r>
            <w:r w:rsidR="006E767C" w:rsidRPr="00277AC1">
              <w:rPr>
                <w:rFonts w:ascii="Arial" w:hAnsi="Arial" w:cs="Arial"/>
                <w:sz w:val="24"/>
                <w:szCs w:val="26"/>
              </w:rPr>
              <w:t xml:space="preserve"> with the requirements of the publication scheme</w:t>
            </w:r>
            <w:r w:rsidR="006D4D01" w:rsidRPr="00277AC1">
              <w:rPr>
                <w:rFonts w:ascii="Arial" w:hAnsi="Arial" w:cs="Arial"/>
                <w:sz w:val="24"/>
                <w:szCs w:val="26"/>
              </w:rPr>
              <w:t xml:space="preserve"> and can confirm that the OPCC</w:t>
            </w:r>
            <w:r w:rsidR="006E767C" w:rsidRPr="00277AC1">
              <w:rPr>
                <w:rFonts w:ascii="Arial" w:hAnsi="Arial" w:cs="Arial"/>
                <w:sz w:val="24"/>
                <w:szCs w:val="26"/>
              </w:rPr>
              <w:t xml:space="preserve"> was </w:t>
            </w:r>
            <w:r w:rsidR="006E767C" w:rsidRPr="00277AC1">
              <w:rPr>
                <w:rFonts w:ascii="Arial" w:hAnsi="Arial" w:cs="Arial"/>
                <w:sz w:val="24"/>
                <w:szCs w:val="26"/>
              </w:rPr>
              <w:lastRenderedPageBreak/>
              <w:t>compliant with the requirements set out in the definition doc</w:t>
            </w:r>
            <w:r w:rsidR="006D4D01" w:rsidRPr="00277AC1">
              <w:rPr>
                <w:rFonts w:ascii="Arial" w:hAnsi="Arial" w:cs="Arial"/>
                <w:sz w:val="24"/>
                <w:szCs w:val="26"/>
              </w:rPr>
              <w:t>ument as of March 202</w:t>
            </w:r>
            <w:r w:rsidR="00277AC1" w:rsidRPr="00277AC1">
              <w:rPr>
                <w:rFonts w:ascii="Arial" w:hAnsi="Arial" w:cs="Arial"/>
                <w:sz w:val="24"/>
                <w:szCs w:val="26"/>
              </w:rPr>
              <w:t>2</w:t>
            </w:r>
            <w:r w:rsidR="006E767C" w:rsidRPr="00277AC1">
              <w:rPr>
                <w:rFonts w:ascii="Arial" w:hAnsi="Arial" w:cs="Arial"/>
                <w:sz w:val="24"/>
                <w:szCs w:val="26"/>
              </w:rPr>
              <w:t xml:space="preserve">.  </w:t>
            </w:r>
          </w:p>
          <w:p w14:paraId="6D7D9E6B" w14:textId="77777777" w:rsidR="006E767C" w:rsidRPr="00277AC1" w:rsidRDefault="00632622" w:rsidP="006E767C">
            <w:pPr>
              <w:spacing w:after="0"/>
              <w:jc w:val="both"/>
              <w:rPr>
                <w:rFonts w:ascii="Arial" w:hAnsi="Arial" w:cs="Arial"/>
                <w:sz w:val="24"/>
                <w:szCs w:val="26"/>
              </w:rPr>
            </w:pPr>
            <w:r w:rsidRPr="00277AC1">
              <w:rPr>
                <w:rFonts w:ascii="Arial" w:hAnsi="Arial" w:cs="Arial"/>
                <w:sz w:val="24"/>
                <w:szCs w:val="26"/>
              </w:rPr>
              <w:t>All requests</w:t>
            </w:r>
            <w:r w:rsidR="006E767C" w:rsidRPr="00277AC1">
              <w:rPr>
                <w:rFonts w:ascii="Arial" w:hAnsi="Arial" w:cs="Arial"/>
                <w:sz w:val="24"/>
                <w:szCs w:val="26"/>
              </w:rPr>
              <w:t xml:space="preserve"> received under the FOIA and their</w:t>
            </w:r>
            <w:r w:rsidRPr="00277AC1">
              <w:rPr>
                <w:rFonts w:ascii="Arial" w:hAnsi="Arial" w:cs="Arial"/>
                <w:sz w:val="24"/>
                <w:szCs w:val="26"/>
              </w:rPr>
              <w:t xml:space="preserve"> responses are published on the OPCC website</w:t>
            </w:r>
            <w:r w:rsidR="00F10BAF" w:rsidRPr="00277AC1">
              <w:rPr>
                <w:rFonts w:ascii="Arial" w:hAnsi="Arial" w:cs="Arial"/>
                <w:sz w:val="24"/>
                <w:szCs w:val="26"/>
              </w:rPr>
              <w:t xml:space="preserve"> as per the requirements of the publication scheme</w:t>
            </w:r>
            <w:r w:rsidRPr="00277AC1">
              <w:rPr>
                <w:rFonts w:ascii="Arial" w:hAnsi="Arial" w:cs="Arial"/>
                <w:sz w:val="24"/>
                <w:szCs w:val="26"/>
              </w:rPr>
              <w:t>.</w:t>
            </w:r>
          </w:p>
          <w:p w14:paraId="07335954" w14:textId="77777777" w:rsidR="00A02601" w:rsidRPr="00132AA2" w:rsidRDefault="00A02601" w:rsidP="006D4D01">
            <w:pPr>
              <w:spacing w:after="0"/>
              <w:jc w:val="both"/>
              <w:rPr>
                <w:rFonts w:ascii="Arial" w:hAnsi="Arial" w:cs="Arial"/>
                <w:sz w:val="24"/>
                <w:szCs w:val="26"/>
                <w:highlight w:val="yellow"/>
              </w:rPr>
            </w:pPr>
          </w:p>
          <w:p w14:paraId="57F6AB21" w14:textId="77777777" w:rsidR="00A07224" w:rsidRPr="00277AC1" w:rsidRDefault="00A07224" w:rsidP="006D4D01">
            <w:pPr>
              <w:spacing w:after="0"/>
              <w:jc w:val="both"/>
              <w:rPr>
                <w:rFonts w:ascii="Arial" w:hAnsi="Arial" w:cs="Arial"/>
                <w:sz w:val="24"/>
                <w:szCs w:val="26"/>
                <w:u w:val="single"/>
              </w:rPr>
            </w:pPr>
            <w:r w:rsidRPr="00277AC1">
              <w:rPr>
                <w:rFonts w:ascii="Arial" w:hAnsi="Arial" w:cs="Arial"/>
                <w:sz w:val="24"/>
                <w:szCs w:val="26"/>
                <w:u w:val="single"/>
              </w:rPr>
              <w:t>Records Management</w:t>
            </w:r>
          </w:p>
          <w:p w14:paraId="2D0FF2FF" w14:textId="77777777" w:rsidR="00A07224" w:rsidRPr="00277AC1" w:rsidRDefault="00A07224" w:rsidP="00A07224">
            <w:pPr>
              <w:spacing w:after="0"/>
              <w:jc w:val="both"/>
              <w:rPr>
                <w:rFonts w:ascii="Arial" w:hAnsi="Arial" w:cs="Arial"/>
                <w:sz w:val="24"/>
                <w:szCs w:val="26"/>
              </w:rPr>
            </w:pPr>
            <w:r w:rsidRPr="00277AC1">
              <w:rPr>
                <w:rFonts w:ascii="Arial" w:hAnsi="Arial" w:cs="Arial"/>
                <w:sz w:val="24"/>
                <w:szCs w:val="26"/>
              </w:rPr>
              <w:t xml:space="preserve">Good records management is </w:t>
            </w:r>
            <w:r w:rsidR="006233D5" w:rsidRPr="00277AC1">
              <w:rPr>
                <w:rFonts w:ascii="Arial" w:hAnsi="Arial" w:cs="Arial"/>
                <w:sz w:val="24"/>
                <w:szCs w:val="26"/>
              </w:rPr>
              <w:t>fundamental to</w:t>
            </w:r>
            <w:r w:rsidRPr="00277AC1">
              <w:rPr>
                <w:rFonts w:ascii="Arial" w:hAnsi="Arial" w:cs="Arial"/>
                <w:sz w:val="24"/>
                <w:szCs w:val="26"/>
              </w:rPr>
              <w:t xml:space="preserve"> being able to respond to requests under the FOIA accurately and within the required 20 working day timeframe.  </w:t>
            </w:r>
          </w:p>
          <w:p w14:paraId="57E9EA97" w14:textId="77777777" w:rsidR="00A07224" w:rsidRPr="00277AC1" w:rsidRDefault="00A07224" w:rsidP="006D4D01">
            <w:pPr>
              <w:spacing w:after="0"/>
              <w:jc w:val="both"/>
              <w:rPr>
                <w:rFonts w:ascii="Arial" w:hAnsi="Arial" w:cs="Arial"/>
                <w:sz w:val="24"/>
                <w:szCs w:val="26"/>
              </w:rPr>
            </w:pPr>
          </w:p>
          <w:p w14:paraId="43D98769" w14:textId="31786A52" w:rsidR="00A07224" w:rsidRPr="00277AC1" w:rsidRDefault="00A07224" w:rsidP="006D4D01">
            <w:pPr>
              <w:spacing w:after="0"/>
              <w:jc w:val="both"/>
              <w:rPr>
                <w:rFonts w:ascii="Arial" w:hAnsi="Arial" w:cs="Arial"/>
                <w:sz w:val="24"/>
                <w:szCs w:val="26"/>
              </w:rPr>
            </w:pPr>
            <w:r w:rsidRPr="00277AC1">
              <w:rPr>
                <w:rFonts w:ascii="Arial" w:hAnsi="Arial" w:cs="Arial"/>
                <w:sz w:val="24"/>
                <w:szCs w:val="26"/>
              </w:rPr>
              <w:t>During 20</w:t>
            </w:r>
            <w:r w:rsidR="00EE7DBD" w:rsidRPr="00277AC1">
              <w:rPr>
                <w:rFonts w:ascii="Arial" w:hAnsi="Arial" w:cs="Arial"/>
                <w:sz w:val="24"/>
                <w:szCs w:val="26"/>
              </w:rPr>
              <w:t>2</w:t>
            </w:r>
            <w:r w:rsidR="00277AC1" w:rsidRPr="00277AC1">
              <w:rPr>
                <w:rFonts w:ascii="Arial" w:hAnsi="Arial" w:cs="Arial"/>
                <w:sz w:val="24"/>
                <w:szCs w:val="26"/>
              </w:rPr>
              <w:t>1</w:t>
            </w:r>
            <w:r w:rsidRPr="00277AC1">
              <w:rPr>
                <w:rFonts w:ascii="Arial" w:hAnsi="Arial" w:cs="Arial"/>
                <w:sz w:val="24"/>
                <w:szCs w:val="26"/>
              </w:rPr>
              <w:t>/2</w:t>
            </w:r>
            <w:r w:rsidR="00277AC1" w:rsidRPr="00277AC1">
              <w:rPr>
                <w:rFonts w:ascii="Arial" w:hAnsi="Arial" w:cs="Arial"/>
                <w:sz w:val="24"/>
                <w:szCs w:val="26"/>
              </w:rPr>
              <w:t>2</w:t>
            </w:r>
            <w:r w:rsidR="006233D5" w:rsidRPr="00277AC1">
              <w:rPr>
                <w:rFonts w:ascii="Arial" w:hAnsi="Arial" w:cs="Arial"/>
                <w:sz w:val="24"/>
                <w:szCs w:val="26"/>
              </w:rPr>
              <w:t>,</w:t>
            </w:r>
            <w:r w:rsidRPr="00277AC1">
              <w:rPr>
                <w:rFonts w:ascii="Arial" w:hAnsi="Arial" w:cs="Arial"/>
                <w:sz w:val="24"/>
                <w:szCs w:val="26"/>
              </w:rPr>
              <w:t xml:space="preserve"> a review of all hard copy documents </w:t>
            </w:r>
            <w:r w:rsidR="00277AC1" w:rsidRPr="00277AC1">
              <w:rPr>
                <w:rFonts w:ascii="Arial" w:hAnsi="Arial" w:cs="Arial"/>
                <w:sz w:val="24"/>
                <w:szCs w:val="26"/>
              </w:rPr>
              <w:t>was finalised</w:t>
            </w:r>
            <w:r w:rsidRPr="00277AC1">
              <w:rPr>
                <w:rFonts w:ascii="Arial" w:hAnsi="Arial" w:cs="Arial"/>
                <w:sz w:val="24"/>
                <w:szCs w:val="26"/>
              </w:rPr>
              <w:t>.</w:t>
            </w:r>
            <w:r w:rsidR="00EE7DBD" w:rsidRPr="00277AC1">
              <w:rPr>
                <w:rFonts w:ascii="Arial" w:hAnsi="Arial" w:cs="Arial"/>
                <w:sz w:val="24"/>
                <w:szCs w:val="26"/>
              </w:rPr>
              <w:t xml:space="preserve">  </w:t>
            </w:r>
            <w:r w:rsidR="00277AC1" w:rsidRPr="00277AC1">
              <w:rPr>
                <w:rFonts w:ascii="Arial" w:hAnsi="Arial" w:cs="Arial"/>
                <w:sz w:val="24"/>
                <w:szCs w:val="26"/>
              </w:rPr>
              <w:t xml:space="preserve">There is  minimal hard copy documentation held by the OPCC with the majority of this being suitable for scanning </w:t>
            </w:r>
            <w:r w:rsidR="003E469E">
              <w:rPr>
                <w:rFonts w:ascii="Arial" w:hAnsi="Arial" w:cs="Arial"/>
                <w:sz w:val="24"/>
                <w:szCs w:val="26"/>
              </w:rPr>
              <w:t>after which</w:t>
            </w:r>
            <w:r w:rsidR="00277AC1" w:rsidRPr="00277AC1">
              <w:rPr>
                <w:rFonts w:ascii="Arial" w:hAnsi="Arial" w:cs="Arial"/>
                <w:sz w:val="24"/>
                <w:szCs w:val="26"/>
              </w:rPr>
              <w:t xml:space="preserve"> </w:t>
            </w:r>
            <w:r w:rsidR="003E469E">
              <w:rPr>
                <w:rFonts w:ascii="Arial" w:hAnsi="Arial" w:cs="Arial"/>
                <w:sz w:val="24"/>
                <w:szCs w:val="26"/>
              </w:rPr>
              <w:t xml:space="preserve">the </w:t>
            </w:r>
            <w:r w:rsidR="00277AC1" w:rsidRPr="00277AC1">
              <w:rPr>
                <w:rFonts w:ascii="Arial" w:hAnsi="Arial" w:cs="Arial"/>
                <w:sz w:val="24"/>
                <w:szCs w:val="26"/>
              </w:rPr>
              <w:t xml:space="preserve">hard copies </w:t>
            </w:r>
            <w:r w:rsidR="003E469E">
              <w:rPr>
                <w:rFonts w:ascii="Arial" w:hAnsi="Arial" w:cs="Arial"/>
                <w:sz w:val="24"/>
                <w:szCs w:val="26"/>
              </w:rPr>
              <w:t xml:space="preserve">will </w:t>
            </w:r>
            <w:r w:rsidR="00277AC1" w:rsidRPr="00277AC1">
              <w:rPr>
                <w:rFonts w:ascii="Arial" w:hAnsi="Arial" w:cs="Arial"/>
                <w:sz w:val="24"/>
                <w:szCs w:val="26"/>
              </w:rPr>
              <w:t xml:space="preserve">be disposed.  Work to scan </w:t>
            </w:r>
            <w:r w:rsidR="003E469E">
              <w:rPr>
                <w:rFonts w:ascii="Arial" w:hAnsi="Arial" w:cs="Arial"/>
                <w:sz w:val="24"/>
                <w:szCs w:val="26"/>
              </w:rPr>
              <w:t xml:space="preserve">and file </w:t>
            </w:r>
            <w:r w:rsidR="00277AC1" w:rsidRPr="00277AC1">
              <w:rPr>
                <w:rFonts w:ascii="Arial" w:hAnsi="Arial" w:cs="Arial"/>
                <w:sz w:val="24"/>
                <w:szCs w:val="26"/>
              </w:rPr>
              <w:t>the hard copy documentation will start in 2022/23.</w:t>
            </w:r>
            <w:r w:rsidRPr="00277AC1">
              <w:rPr>
                <w:rFonts w:ascii="Arial" w:hAnsi="Arial" w:cs="Arial"/>
                <w:sz w:val="24"/>
                <w:szCs w:val="26"/>
              </w:rPr>
              <w:t xml:space="preserve">  </w:t>
            </w:r>
          </w:p>
          <w:p w14:paraId="0B2C97D9" w14:textId="77777777" w:rsidR="00C914AF" w:rsidRPr="00132AA2" w:rsidRDefault="00C914AF" w:rsidP="006D4D01">
            <w:pPr>
              <w:spacing w:after="0"/>
              <w:jc w:val="both"/>
              <w:rPr>
                <w:rFonts w:ascii="Arial" w:hAnsi="Arial" w:cs="Arial"/>
                <w:sz w:val="24"/>
                <w:szCs w:val="26"/>
                <w:highlight w:val="yellow"/>
              </w:rPr>
            </w:pPr>
          </w:p>
        </w:tc>
      </w:tr>
      <w:tr w:rsidR="00B913D2" w:rsidRPr="00055BFA" w14:paraId="59E81B72" w14:textId="77777777" w:rsidTr="0028549D">
        <w:tc>
          <w:tcPr>
            <w:tcW w:w="534" w:type="dxa"/>
            <w:shd w:val="clear" w:color="auto" w:fill="auto"/>
          </w:tcPr>
          <w:p w14:paraId="092E8813"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752" w:type="dxa"/>
            <w:shd w:val="clear" w:color="auto" w:fill="auto"/>
          </w:tcPr>
          <w:p w14:paraId="592707C9" w14:textId="77777777" w:rsidR="00B913D2" w:rsidRPr="00277AC1" w:rsidRDefault="00B913D2" w:rsidP="009E19DB">
            <w:pPr>
              <w:spacing w:after="0"/>
              <w:jc w:val="both"/>
              <w:rPr>
                <w:rFonts w:ascii="Arial" w:hAnsi="Arial" w:cs="Arial"/>
                <w:b/>
                <w:sz w:val="24"/>
                <w:szCs w:val="24"/>
                <w:u w:val="single"/>
              </w:rPr>
            </w:pPr>
            <w:r w:rsidRPr="00277AC1">
              <w:rPr>
                <w:rFonts w:ascii="Arial" w:hAnsi="Arial" w:cs="Arial"/>
                <w:b/>
                <w:sz w:val="24"/>
                <w:szCs w:val="24"/>
                <w:u w:val="single"/>
              </w:rPr>
              <w:t>NEXT STEPS</w:t>
            </w:r>
          </w:p>
          <w:p w14:paraId="5103EE03" w14:textId="0103F1A6" w:rsidR="00D555CC" w:rsidRDefault="00D555CC" w:rsidP="00990083">
            <w:pPr>
              <w:spacing w:after="0"/>
              <w:jc w:val="both"/>
              <w:rPr>
                <w:rFonts w:ascii="Arial" w:hAnsi="Arial" w:cs="Arial"/>
                <w:sz w:val="24"/>
              </w:rPr>
            </w:pPr>
            <w:r w:rsidRPr="00277AC1">
              <w:rPr>
                <w:rFonts w:ascii="Arial" w:hAnsi="Arial" w:cs="Arial"/>
                <w:sz w:val="24"/>
              </w:rPr>
              <w:t>Work will continue to ensure we maintain our compliance with the timeframe and that we continue to provide information requested by the public where possible.</w:t>
            </w:r>
          </w:p>
          <w:p w14:paraId="0F5A21AF" w14:textId="33896B0B" w:rsidR="0059744C" w:rsidRDefault="0059744C" w:rsidP="00990083">
            <w:pPr>
              <w:spacing w:after="0"/>
              <w:jc w:val="both"/>
              <w:rPr>
                <w:rFonts w:ascii="Arial" w:hAnsi="Arial" w:cs="Arial"/>
                <w:sz w:val="24"/>
              </w:rPr>
            </w:pPr>
          </w:p>
          <w:p w14:paraId="43B815B7" w14:textId="5F591B03" w:rsidR="0059744C" w:rsidRPr="0059744C" w:rsidRDefault="006963AC" w:rsidP="00990083">
            <w:pPr>
              <w:spacing w:after="0"/>
              <w:jc w:val="both"/>
              <w:rPr>
                <w:rFonts w:ascii="Arial" w:hAnsi="Arial" w:cs="Arial"/>
                <w:sz w:val="24"/>
                <w:szCs w:val="24"/>
              </w:rPr>
            </w:pPr>
            <w:r>
              <w:rPr>
                <w:rFonts w:ascii="Arial" w:hAnsi="Arial" w:cs="Arial"/>
                <w:sz w:val="24"/>
                <w:szCs w:val="24"/>
              </w:rPr>
              <w:t>T</w:t>
            </w:r>
            <w:r w:rsidR="0059744C" w:rsidRPr="0059744C">
              <w:rPr>
                <w:rFonts w:ascii="Arial" w:hAnsi="Arial" w:cs="Arial"/>
                <w:sz w:val="24"/>
                <w:szCs w:val="24"/>
              </w:rPr>
              <w:t>o ensure</w:t>
            </w:r>
            <w:r>
              <w:rPr>
                <w:rFonts w:ascii="Arial" w:hAnsi="Arial" w:cs="Arial"/>
                <w:sz w:val="24"/>
                <w:szCs w:val="24"/>
              </w:rPr>
              <w:t xml:space="preserve"> </w:t>
            </w:r>
            <w:r w:rsidR="0059744C" w:rsidRPr="0059744C">
              <w:rPr>
                <w:rFonts w:ascii="Arial" w:hAnsi="Arial" w:cs="Arial"/>
                <w:sz w:val="24"/>
                <w:szCs w:val="24"/>
              </w:rPr>
              <w:t>the public access the correct information in as efficient way as possible, we will continue to raise the distinctions between the force and OPCC to ensure future requests are sent to the most appropriate organisation.</w:t>
            </w:r>
          </w:p>
          <w:p w14:paraId="4F931DB9" w14:textId="77777777" w:rsidR="00D75BD6" w:rsidRPr="00132AA2" w:rsidRDefault="00D75BD6" w:rsidP="00990083">
            <w:pPr>
              <w:spacing w:after="0"/>
              <w:jc w:val="both"/>
              <w:rPr>
                <w:rFonts w:ascii="Arial" w:hAnsi="Arial" w:cs="Arial"/>
                <w:sz w:val="24"/>
                <w:highlight w:val="yellow"/>
              </w:rPr>
            </w:pPr>
          </w:p>
        </w:tc>
      </w:tr>
      <w:tr w:rsidR="00D26302" w:rsidRPr="00055BFA" w14:paraId="7653DFB9" w14:textId="77777777" w:rsidTr="0028549D">
        <w:tc>
          <w:tcPr>
            <w:tcW w:w="534" w:type="dxa"/>
            <w:shd w:val="clear" w:color="auto" w:fill="auto"/>
          </w:tcPr>
          <w:p w14:paraId="3871CB11" w14:textId="77777777" w:rsidR="00D26302" w:rsidRPr="00055BFA" w:rsidRDefault="005C173F" w:rsidP="00055BFA">
            <w:pPr>
              <w:spacing w:after="0"/>
              <w:rPr>
                <w:rFonts w:ascii="Arial" w:hAnsi="Arial" w:cs="Arial"/>
                <w:b/>
                <w:sz w:val="24"/>
                <w:szCs w:val="24"/>
              </w:rPr>
            </w:pPr>
            <w:r>
              <w:rPr>
                <w:rFonts w:ascii="Arial" w:hAnsi="Arial" w:cs="Arial"/>
                <w:b/>
                <w:sz w:val="24"/>
                <w:szCs w:val="24"/>
              </w:rPr>
              <w:t>5</w:t>
            </w:r>
            <w:r w:rsidR="00F8795E">
              <w:rPr>
                <w:rFonts w:ascii="Arial" w:hAnsi="Arial" w:cs="Arial"/>
                <w:b/>
                <w:sz w:val="24"/>
                <w:szCs w:val="24"/>
              </w:rPr>
              <w:t>.</w:t>
            </w:r>
          </w:p>
        </w:tc>
        <w:tc>
          <w:tcPr>
            <w:tcW w:w="8752" w:type="dxa"/>
            <w:shd w:val="clear" w:color="auto" w:fill="auto"/>
          </w:tcPr>
          <w:p w14:paraId="00881F2D" w14:textId="77777777" w:rsidR="00D26302" w:rsidRPr="00277AC1" w:rsidRDefault="00F8795E" w:rsidP="00D555CC">
            <w:pPr>
              <w:spacing w:after="0"/>
              <w:jc w:val="both"/>
              <w:rPr>
                <w:rFonts w:ascii="Arial" w:hAnsi="Arial" w:cs="Arial"/>
                <w:b/>
                <w:sz w:val="24"/>
                <w:szCs w:val="24"/>
                <w:u w:val="single"/>
              </w:rPr>
            </w:pPr>
            <w:r w:rsidRPr="00277AC1">
              <w:rPr>
                <w:rFonts w:ascii="Arial" w:hAnsi="Arial" w:cs="Arial"/>
                <w:b/>
                <w:sz w:val="24"/>
                <w:szCs w:val="24"/>
                <w:u w:val="single"/>
              </w:rPr>
              <w:t>FINANCIAL CONSIDERATIONS</w:t>
            </w:r>
          </w:p>
          <w:p w14:paraId="0120A637" w14:textId="77777777" w:rsidR="00DA7BA9" w:rsidRPr="00277AC1" w:rsidRDefault="00990083" w:rsidP="00D555CC">
            <w:pPr>
              <w:spacing w:after="0"/>
              <w:jc w:val="both"/>
              <w:rPr>
                <w:rFonts w:ascii="Arial" w:hAnsi="Arial" w:cs="Arial"/>
                <w:sz w:val="24"/>
                <w:szCs w:val="24"/>
              </w:rPr>
            </w:pPr>
            <w:r w:rsidRPr="00277AC1">
              <w:rPr>
                <w:rFonts w:ascii="Arial" w:hAnsi="Arial" w:cs="Arial"/>
                <w:sz w:val="24"/>
                <w:szCs w:val="24"/>
              </w:rPr>
              <w:t>All FOI</w:t>
            </w:r>
            <w:r w:rsidR="00DB31C5" w:rsidRPr="00277AC1">
              <w:rPr>
                <w:rFonts w:ascii="Arial" w:hAnsi="Arial" w:cs="Arial"/>
                <w:sz w:val="24"/>
                <w:szCs w:val="24"/>
              </w:rPr>
              <w:t>A</w:t>
            </w:r>
            <w:r w:rsidRPr="00277AC1">
              <w:rPr>
                <w:rFonts w:ascii="Arial" w:hAnsi="Arial" w:cs="Arial"/>
                <w:sz w:val="24"/>
                <w:szCs w:val="24"/>
              </w:rPr>
              <w:t xml:space="preserve"> requests must be responded to free of charge unless it is estimated that providing the information will cost more than the acceptable limit of £400 (£25 per hour/18 hours) although we are able to charge for items such as postage and photocopying.</w:t>
            </w:r>
          </w:p>
          <w:p w14:paraId="5C954D8B" w14:textId="77777777" w:rsidR="00F10BAF" w:rsidRPr="00277AC1" w:rsidRDefault="00F10BAF" w:rsidP="00D555CC">
            <w:pPr>
              <w:spacing w:after="0"/>
              <w:jc w:val="both"/>
              <w:rPr>
                <w:rFonts w:ascii="Arial" w:hAnsi="Arial" w:cs="Arial"/>
                <w:sz w:val="24"/>
                <w:szCs w:val="24"/>
              </w:rPr>
            </w:pPr>
          </w:p>
          <w:p w14:paraId="66CCB05C" w14:textId="2DC679FC" w:rsidR="00990083" w:rsidRPr="00277AC1" w:rsidRDefault="00990083" w:rsidP="00D555CC">
            <w:pPr>
              <w:spacing w:after="0"/>
              <w:jc w:val="both"/>
              <w:rPr>
                <w:rFonts w:ascii="Arial" w:hAnsi="Arial" w:cs="Arial"/>
                <w:sz w:val="24"/>
                <w:szCs w:val="24"/>
              </w:rPr>
            </w:pPr>
            <w:r w:rsidRPr="00277AC1">
              <w:rPr>
                <w:rFonts w:ascii="Arial" w:hAnsi="Arial" w:cs="Arial"/>
                <w:sz w:val="24"/>
                <w:szCs w:val="24"/>
              </w:rPr>
              <w:t>No charges were made in r</w:t>
            </w:r>
            <w:r w:rsidR="00163EDA" w:rsidRPr="00277AC1">
              <w:rPr>
                <w:rFonts w:ascii="Arial" w:hAnsi="Arial" w:cs="Arial"/>
                <w:sz w:val="24"/>
                <w:szCs w:val="24"/>
              </w:rPr>
              <w:t>elation to FOIA requests in 20</w:t>
            </w:r>
            <w:r w:rsidR="00D555CC" w:rsidRPr="00277AC1">
              <w:rPr>
                <w:rFonts w:ascii="Arial" w:hAnsi="Arial" w:cs="Arial"/>
                <w:sz w:val="24"/>
                <w:szCs w:val="24"/>
              </w:rPr>
              <w:t>2</w:t>
            </w:r>
            <w:r w:rsidR="003E469E">
              <w:rPr>
                <w:rFonts w:ascii="Arial" w:hAnsi="Arial" w:cs="Arial"/>
                <w:sz w:val="24"/>
                <w:szCs w:val="24"/>
              </w:rPr>
              <w:t>1</w:t>
            </w:r>
            <w:r w:rsidR="00163EDA" w:rsidRPr="00277AC1">
              <w:rPr>
                <w:rFonts w:ascii="Arial" w:hAnsi="Arial" w:cs="Arial"/>
                <w:sz w:val="24"/>
                <w:szCs w:val="24"/>
              </w:rPr>
              <w:t>/2</w:t>
            </w:r>
            <w:r w:rsidR="003E469E">
              <w:rPr>
                <w:rFonts w:ascii="Arial" w:hAnsi="Arial" w:cs="Arial"/>
                <w:sz w:val="24"/>
                <w:szCs w:val="24"/>
              </w:rPr>
              <w:t>2</w:t>
            </w:r>
            <w:r w:rsidRPr="00277AC1">
              <w:rPr>
                <w:rFonts w:ascii="Arial" w:hAnsi="Arial" w:cs="Arial"/>
                <w:sz w:val="24"/>
                <w:szCs w:val="24"/>
              </w:rPr>
              <w:t>.</w:t>
            </w:r>
          </w:p>
          <w:p w14:paraId="5596A95D" w14:textId="77777777" w:rsidR="00990083" w:rsidRPr="00277AC1" w:rsidRDefault="00990083" w:rsidP="00D555CC">
            <w:pPr>
              <w:spacing w:after="0"/>
              <w:jc w:val="both"/>
              <w:rPr>
                <w:rFonts w:ascii="Arial" w:hAnsi="Arial" w:cs="Arial"/>
                <w:sz w:val="24"/>
                <w:szCs w:val="24"/>
              </w:rPr>
            </w:pPr>
          </w:p>
          <w:p w14:paraId="0FEC3CDD" w14:textId="77777777" w:rsidR="00C672F9" w:rsidRPr="00277AC1" w:rsidRDefault="00C672F9" w:rsidP="00D555CC">
            <w:pPr>
              <w:spacing w:after="0"/>
              <w:jc w:val="both"/>
              <w:rPr>
                <w:rFonts w:ascii="Arial" w:hAnsi="Arial" w:cs="Arial"/>
                <w:sz w:val="24"/>
                <w:szCs w:val="24"/>
              </w:rPr>
            </w:pPr>
            <w:r w:rsidRPr="00277AC1">
              <w:rPr>
                <w:rFonts w:ascii="Arial" w:hAnsi="Arial" w:cs="Arial"/>
                <w:sz w:val="24"/>
                <w:szCs w:val="24"/>
              </w:rPr>
              <w:t>The ICO are not able to fine an organisation if they fail to comply with the FOIA.</w:t>
            </w:r>
          </w:p>
          <w:p w14:paraId="74E7A939" w14:textId="77777777" w:rsidR="00444CC2" w:rsidRPr="00132AA2" w:rsidRDefault="00444CC2" w:rsidP="00055BFA">
            <w:pPr>
              <w:spacing w:after="0"/>
              <w:rPr>
                <w:rFonts w:ascii="Arial" w:hAnsi="Arial" w:cs="Arial"/>
                <w:sz w:val="24"/>
                <w:szCs w:val="24"/>
                <w:highlight w:val="yellow"/>
              </w:rPr>
            </w:pPr>
          </w:p>
        </w:tc>
      </w:tr>
      <w:tr w:rsidR="00F8795E" w:rsidRPr="00055BFA" w14:paraId="299CDE31" w14:textId="77777777" w:rsidTr="0028549D">
        <w:tc>
          <w:tcPr>
            <w:tcW w:w="534" w:type="dxa"/>
            <w:shd w:val="clear" w:color="auto" w:fill="auto"/>
          </w:tcPr>
          <w:p w14:paraId="0ABAAB54"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752" w:type="dxa"/>
            <w:shd w:val="clear" w:color="auto" w:fill="auto"/>
          </w:tcPr>
          <w:p w14:paraId="364B7761" w14:textId="77777777" w:rsidR="00F8795E" w:rsidRPr="00277AC1" w:rsidRDefault="00F8795E" w:rsidP="00055BFA">
            <w:pPr>
              <w:spacing w:after="0"/>
              <w:rPr>
                <w:rFonts w:ascii="Arial" w:hAnsi="Arial" w:cs="Arial"/>
                <w:b/>
                <w:sz w:val="24"/>
                <w:szCs w:val="24"/>
                <w:u w:val="single"/>
              </w:rPr>
            </w:pPr>
            <w:r w:rsidRPr="00277AC1">
              <w:rPr>
                <w:rFonts w:ascii="Arial" w:hAnsi="Arial" w:cs="Arial"/>
                <w:b/>
                <w:sz w:val="24"/>
                <w:szCs w:val="24"/>
                <w:u w:val="single"/>
              </w:rPr>
              <w:t>PERSO</w:t>
            </w:r>
            <w:r w:rsidR="00A262EF" w:rsidRPr="00277AC1">
              <w:rPr>
                <w:rFonts w:ascii="Arial" w:hAnsi="Arial" w:cs="Arial"/>
                <w:b/>
                <w:sz w:val="24"/>
                <w:szCs w:val="24"/>
                <w:u w:val="single"/>
              </w:rPr>
              <w:t>N</w:t>
            </w:r>
            <w:r w:rsidRPr="00277AC1">
              <w:rPr>
                <w:rFonts w:ascii="Arial" w:hAnsi="Arial" w:cs="Arial"/>
                <w:b/>
                <w:sz w:val="24"/>
                <w:szCs w:val="24"/>
                <w:u w:val="single"/>
              </w:rPr>
              <w:t>N</w:t>
            </w:r>
            <w:r w:rsidR="00A262EF" w:rsidRPr="00277AC1">
              <w:rPr>
                <w:rFonts w:ascii="Arial" w:hAnsi="Arial" w:cs="Arial"/>
                <w:b/>
                <w:sz w:val="24"/>
                <w:szCs w:val="24"/>
                <w:u w:val="single"/>
              </w:rPr>
              <w:t>E</w:t>
            </w:r>
            <w:r w:rsidRPr="00277AC1">
              <w:rPr>
                <w:rFonts w:ascii="Arial" w:hAnsi="Arial" w:cs="Arial"/>
                <w:b/>
                <w:sz w:val="24"/>
                <w:szCs w:val="24"/>
                <w:u w:val="single"/>
              </w:rPr>
              <w:t>L CONSIDERATION</w:t>
            </w:r>
            <w:r w:rsidR="00A262EF" w:rsidRPr="00277AC1">
              <w:rPr>
                <w:rFonts w:ascii="Arial" w:hAnsi="Arial" w:cs="Arial"/>
                <w:b/>
                <w:sz w:val="24"/>
                <w:szCs w:val="24"/>
                <w:u w:val="single"/>
              </w:rPr>
              <w:t>S</w:t>
            </w:r>
          </w:p>
          <w:p w14:paraId="082F911E" w14:textId="77777777" w:rsidR="00C06627" w:rsidRPr="00277AC1" w:rsidRDefault="00DB352B" w:rsidP="00C06627">
            <w:pPr>
              <w:spacing w:after="0"/>
              <w:jc w:val="both"/>
              <w:rPr>
                <w:rFonts w:ascii="Arial" w:hAnsi="Arial" w:cs="Arial"/>
                <w:sz w:val="24"/>
              </w:rPr>
            </w:pPr>
            <w:r w:rsidRPr="00277AC1">
              <w:rPr>
                <w:rFonts w:ascii="Arial" w:hAnsi="Arial" w:cs="Arial"/>
                <w:sz w:val="24"/>
              </w:rPr>
              <w:t xml:space="preserve">The </w:t>
            </w:r>
            <w:r w:rsidR="00444CC2" w:rsidRPr="00277AC1">
              <w:rPr>
                <w:rFonts w:ascii="Arial" w:hAnsi="Arial" w:cs="Arial"/>
                <w:sz w:val="24"/>
              </w:rPr>
              <w:t>GO</w:t>
            </w:r>
            <w:r w:rsidRPr="00277AC1">
              <w:rPr>
                <w:rFonts w:ascii="Arial" w:hAnsi="Arial" w:cs="Arial"/>
                <w:sz w:val="24"/>
              </w:rPr>
              <w:t xml:space="preserve"> </w:t>
            </w:r>
            <w:r w:rsidR="00D13582" w:rsidRPr="00277AC1">
              <w:rPr>
                <w:rFonts w:ascii="Arial" w:hAnsi="Arial" w:cs="Arial"/>
                <w:sz w:val="24"/>
              </w:rPr>
              <w:t>took</w:t>
            </w:r>
            <w:r w:rsidR="006B3C81" w:rsidRPr="00277AC1">
              <w:rPr>
                <w:rFonts w:ascii="Arial" w:hAnsi="Arial" w:cs="Arial"/>
                <w:sz w:val="24"/>
              </w:rPr>
              <w:t xml:space="preserve"> over responsibility for</w:t>
            </w:r>
            <w:r w:rsidRPr="00277AC1">
              <w:rPr>
                <w:rFonts w:ascii="Arial" w:hAnsi="Arial" w:cs="Arial"/>
                <w:sz w:val="24"/>
              </w:rPr>
              <w:t xml:space="preserve"> dealing with FOIA requests</w:t>
            </w:r>
            <w:r w:rsidR="00D13582" w:rsidRPr="00277AC1">
              <w:rPr>
                <w:rFonts w:ascii="Arial" w:hAnsi="Arial" w:cs="Arial"/>
                <w:sz w:val="24"/>
              </w:rPr>
              <w:t xml:space="preserve"> from 1</w:t>
            </w:r>
            <w:r w:rsidR="00D13582" w:rsidRPr="00277AC1">
              <w:rPr>
                <w:rFonts w:ascii="Arial" w:hAnsi="Arial" w:cs="Arial"/>
                <w:sz w:val="24"/>
                <w:vertAlign w:val="superscript"/>
              </w:rPr>
              <w:t>st</w:t>
            </w:r>
            <w:r w:rsidR="00D13582" w:rsidRPr="00277AC1">
              <w:rPr>
                <w:rFonts w:ascii="Arial" w:hAnsi="Arial" w:cs="Arial"/>
                <w:sz w:val="24"/>
              </w:rPr>
              <w:t xml:space="preserve"> April 2019</w:t>
            </w:r>
            <w:r w:rsidRPr="00277AC1">
              <w:rPr>
                <w:rFonts w:ascii="Arial" w:hAnsi="Arial" w:cs="Arial"/>
                <w:sz w:val="24"/>
              </w:rPr>
              <w:t xml:space="preserve">.  The HoAC </w:t>
            </w:r>
            <w:r w:rsidR="006B3C81" w:rsidRPr="00277AC1">
              <w:rPr>
                <w:rFonts w:ascii="Arial" w:hAnsi="Arial" w:cs="Arial"/>
                <w:sz w:val="24"/>
              </w:rPr>
              <w:t>approves all responses</w:t>
            </w:r>
            <w:r w:rsidRPr="00277AC1">
              <w:rPr>
                <w:rFonts w:ascii="Arial" w:hAnsi="Arial" w:cs="Arial"/>
                <w:sz w:val="24"/>
              </w:rPr>
              <w:t xml:space="preserve"> before release, with all appeals dealt with by the Chief Executive.</w:t>
            </w:r>
            <w:r w:rsidR="00D75BD6" w:rsidRPr="00277AC1">
              <w:rPr>
                <w:rFonts w:ascii="Arial" w:hAnsi="Arial" w:cs="Arial"/>
                <w:sz w:val="24"/>
              </w:rPr>
              <w:t xml:space="preserve">  The Head of Commu</w:t>
            </w:r>
            <w:r w:rsidR="00F62FD2" w:rsidRPr="00277AC1">
              <w:rPr>
                <w:rFonts w:ascii="Arial" w:hAnsi="Arial" w:cs="Arial"/>
                <w:sz w:val="24"/>
              </w:rPr>
              <w:t>n</w:t>
            </w:r>
            <w:r w:rsidR="00D75BD6" w:rsidRPr="00277AC1">
              <w:rPr>
                <w:rFonts w:ascii="Arial" w:hAnsi="Arial" w:cs="Arial"/>
                <w:sz w:val="24"/>
              </w:rPr>
              <w:t>ications and Engagement is sighted on FOI requests to try to determine if there is likely to be any media interest in the information made available.</w:t>
            </w:r>
          </w:p>
          <w:p w14:paraId="23DEED50" w14:textId="77777777" w:rsidR="00D13582" w:rsidRPr="00277AC1" w:rsidRDefault="00D13582" w:rsidP="00C914AF">
            <w:pPr>
              <w:spacing w:after="0"/>
              <w:jc w:val="both"/>
              <w:rPr>
                <w:rFonts w:ascii="Arial" w:hAnsi="Arial" w:cs="Arial"/>
                <w:sz w:val="24"/>
              </w:rPr>
            </w:pPr>
          </w:p>
          <w:p w14:paraId="3A42DF7E" w14:textId="4CB36B45" w:rsidR="00D13582" w:rsidRPr="00277AC1" w:rsidRDefault="00D13582" w:rsidP="00D13582">
            <w:pPr>
              <w:spacing w:after="0"/>
              <w:jc w:val="both"/>
              <w:rPr>
                <w:rFonts w:ascii="Arial" w:hAnsi="Arial" w:cs="Arial"/>
                <w:sz w:val="24"/>
              </w:rPr>
            </w:pPr>
            <w:r w:rsidRPr="00277AC1">
              <w:rPr>
                <w:rFonts w:ascii="Arial" w:hAnsi="Arial" w:cs="Arial"/>
                <w:sz w:val="24"/>
              </w:rPr>
              <w:t>All staff members involved within the FOIA process have received relevant training.</w:t>
            </w:r>
          </w:p>
          <w:p w14:paraId="1A27154E" w14:textId="6868FFA4" w:rsidR="00277AC1" w:rsidRPr="00277AC1" w:rsidRDefault="00277AC1" w:rsidP="00D13582">
            <w:pPr>
              <w:spacing w:after="0"/>
              <w:jc w:val="both"/>
              <w:rPr>
                <w:rFonts w:ascii="Arial" w:hAnsi="Arial" w:cs="Arial"/>
                <w:sz w:val="24"/>
              </w:rPr>
            </w:pPr>
          </w:p>
          <w:p w14:paraId="518B1945" w14:textId="77777777" w:rsidR="00C914AF" w:rsidRDefault="00277AC1" w:rsidP="00C06627">
            <w:pPr>
              <w:spacing w:after="0"/>
              <w:jc w:val="both"/>
              <w:rPr>
                <w:rFonts w:ascii="Arial" w:hAnsi="Arial" w:cs="Arial"/>
                <w:sz w:val="24"/>
              </w:rPr>
            </w:pPr>
            <w:r w:rsidRPr="00277AC1">
              <w:rPr>
                <w:rFonts w:ascii="Arial" w:hAnsi="Arial" w:cs="Arial"/>
                <w:sz w:val="24"/>
              </w:rPr>
              <w:t xml:space="preserve">It must be noted that there has been a significant increase in the number of FOIA requests that have been processed by the OPCC during 2021/22.  This </w:t>
            </w:r>
            <w:r w:rsidRPr="00277AC1">
              <w:rPr>
                <w:rFonts w:ascii="Arial" w:hAnsi="Arial" w:cs="Arial"/>
                <w:sz w:val="24"/>
              </w:rPr>
              <w:lastRenderedPageBreak/>
              <w:t>extra demand has had a significant impact on the work of the Governance Officer.  A new role to support the Governance and Complaints function within the OPCC is being progressed and should assist in supporting other areas of the Governance Officer’s work in the future.</w:t>
            </w:r>
          </w:p>
          <w:p w14:paraId="3284BEEA" w14:textId="2D41D4BD" w:rsidR="005B2CC0" w:rsidRPr="00A20714" w:rsidRDefault="005B2CC0" w:rsidP="00C06627">
            <w:pPr>
              <w:spacing w:after="0"/>
              <w:jc w:val="both"/>
              <w:rPr>
                <w:rFonts w:ascii="Arial" w:hAnsi="Arial" w:cs="Arial"/>
                <w:sz w:val="24"/>
              </w:rPr>
            </w:pPr>
          </w:p>
        </w:tc>
      </w:tr>
      <w:tr w:rsidR="00F8795E" w:rsidRPr="00055BFA" w14:paraId="22230769" w14:textId="77777777" w:rsidTr="007B7F78">
        <w:trPr>
          <w:trHeight w:val="5625"/>
        </w:trPr>
        <w:tc>
          <w:tcPr>
            <w:tcW w:w="534" w:type="dxa"/>
            <w:shd w:val="clear" w:color="auto" w:fill="auto"/>
          </w:tcPr>
          <w:p w14:paraId="0204C6B6"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7</w:t>
            </w:r>
            <w:r w:rsidR="00F8795E">
              <w:rPr>
                <w:rFonts w:ascii="Arial" w:hAnsi="Arial" w:cs="Arial"/>
                <w:b/>
                <w:sz w:val="24"/>
                <w:szCs w:val="24"/>
              </w:rPr>
              <w:t>.</w:t>
            </w:r>
          </w:p>
        </w:tc>
        <w:tc>
          <w:tcPr>
            <w:tcW w:w="8752" w:type="dxa"/>
            <w:shd w:val="clear" w:color="auto" w:fill="auto"/>
          </w:tcPr>
          <w:p w14:paraId="0C47DD7B" w14:textId="77777777" w:rsidR="00F8795E" w:rsidRPr="00277AC1" w:rsidRDefault="00F8795E" w:rsidP="00055BFA">
            <w:pPr>
              <w:spacing w:after="0"/>
              <w:rPr>
                <w:rFonts w:ascii="Arial" w:hAnsi="Arial" w:cs="Arial"/>
                <w:b/>
                <w:sz w:val="24"/>
                <w:szCs w:val="24"/>
                <w:u w:val="single"/>
              </w:rPr>
            </w:pPr>
            <w:r w:rsidRPr="00277AC1">
              <w:rPr>
                <w:rFonts w:ascii="Arial" w:hAnsi="Arial" w:cs="Arial"/>
                <w:b/>
                <w:sz w:val="24"/>
                <w:szCs w:val="24"/>
                <w:u w:val="single"/>
              </w:rPr>
              <w:t>LEGAL IMPLICATIONS</w:t>
            </w:r>
          </w:p>
          <w:p w14:paraId="3C08755A" w14:textId="77777777" w:rsidR="00DA7BA9" w:rsidRPr="00277AC1" w:rsidRDefault="0019295B" w:rsidP="00A02601">
            <w:pPr>
              <w:spacing w:after="0"/>
              <w:jc w:val="both"/>
              <w:rPr>
                <w:rFonts w:ascii="Arial" w:hAnsi="Arial" w:cs="Arial"/>
                <w:sz w:val="24"/>
                <w:szCs w:val="24"/>
              </w:rPr>
            </w:pPr>
            <w:r w:rsidRPr="00277AC1">
              <w:rPr>
                <w:rFonts w:ascii="Arial" w:hAnsi="Arial" w:cs="Arial"/>
                <w:sz w:val="24"/>
                <w:szCs w:val="24"/>
              </w:rPr>
              <w:t>There are number of legal requirements that we need to comply with when responding t</w:t>
            </w:r>
            <w:r w:rsidR="00A02601" w:rsidRPr="00277AC1">
              <w:rPr>
                <w:rFonts w:ascii="Arial" w:hAnsi="Arial" w:cs="Arial"/>
                <w:sz w:val="24"/>
                <w:szCs w:val="24"/>
              </w:rPr>
              <w:t>o requests for information and we may breach the FOIA if we:</w:t>
            </w:r>
          </w:p>
          <w:p w14:paraId="2B8ADAF9" w14:textId="77777777" w:rsidR="00D11D6C" w:rsidRPr="00277AC1" w:rsidRDefault="00D11D6C" w:rsidP="00A02601">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277AC1">
              <w:rPr>
                <w:rFonts w:ascii="Arial" w:eastAsia="Times New Roman" w:hAnsi="Arial" w:cs="Arial"/>
                <w:sz w:val="24"/>
                <w:szCs w:val="24"/>
                <w:lang w:eastAsia="en-GB"/>
              </w:rPr>
              <w:t>fail to respond adequately to a request for information;</w:t>
            </w:r>
          </w:p>
          <w:p w14:paraId="08FF527C" w14:textId="77777777" w:rsidR="00D11D6C" w:rsidRPr="00277AC1" w:rsidRDefault="00D11D6C" w:rsidP="00A02601">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277AC1">
              <w:rPr>
                <w:rFonts w:ascii="Arial" w:eastAsia="Times New Roman" w:hAnsi="Arial" w:cs="Arial"/>
                <w:sz w:val="24"/>
                <w:szCs w:val="24"/>
                <w:lang w:eastAsia="en-GB"/>
              </w:rPr>
              <w:t>fail to adopt the model publication scheme, or do not publish the correct information; or</w:t>
            </w:r>
          </w:p>
          <w:p w14:paraId="460C1239" w14:textId="77777777" w:rsidR="00D11D6C" w:rsidRPr="00277AC1" w:rsidRDefault="00D11D6C" w:rsidP="00A02601">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277AC1">
              <w:rPr>
                <w:rFonts w:ascii="Arial" w:eastAsia="Times New Roman" w:hAnsi="Arial" w:cs="Arial"/>
                <w:sz w:val="24"/>
                <w:szCs w:val="24"/>
                <w:lang w:eastAsia="en-GB"/>
              </w:rPr>
              <w:t>deliberately destroy, hide or alter requested information to prevent it being released.</w:t>
            </w:r>
          </w:p>
          <w:p w14:paraId="5823F0DE" w14:textId="77777777" w:rsidR="00A02601" w:rsidRPr="00277AC1" w:rsidRDefault="00A02601" w:rsidP="00A02601">
            <w:pPr>
              <w:spacing w:before="100" w:beforeAutospacing="1" w:after="100" w:afterAutospacing="1" w:line="240" w:lineRule="auto"/>
              <w:jc w:val="both"/>
              <w:rPr>
                <w:rFonts w:ascii="Arial" w:eastAsia="Times New Roman" w:hAnsi="Arial" w:cs="Arial"/>
                <w:sz w:val="24"/>
                <w:szCs w:val="24"/>
                <w:lang w:eastAsia="en-GB"/>
              </w:rPr>
            </w:pPr>
            <w:r w:rsidRPr="00277AC1">
              <w:rPr>
                <w:rFonts w:ascii="Arial" w:eastAsia="Times New Roman" w:hAnsi="Arial" w:cs="Arial"/>
                <w:sz w:val="24"/>
                <w:szCs w:val="24"/>
                <w:lang w:eastAsia="en-GB"/>
              </w:rPr>
              <w:t>The final point</w:t>
            </w:r>
            <w:r w:rsidR="00D555CC" w:rsidRPr="00277AC1">
              <w:rPr>
                <w:rFonts w:ascii="Arial" w:eastAsia="Times New Roman" w:hAnsi="Arial" w:cs="Arial"/>
                <w:sz w:val="24"/>
                <w:szCs w:val="24"/>
                <w:lang w:eastAsia="en-GB"/>
              </w:rPr>
              <w:t xml:space="preserve"> detailed above</w:t>
            </w:r>
            <w:r w:rsidRPr="00277AC1">
              <w:rPr>
                <w:rFonts w:ascii="Arial" w:eastAsia="Times New Roman" w:hAnsi="Arial" w:cs="Arial"/>
                <w:sz w:val="24"/>
                <w:szCs w:val="24"/>
                <w:lang w:eastAsia="en-GB"/>
              </w:rPr>
              <w:t xml:space="preserve"> is the only criminal offence </w:t>
            </w:r>
            <w:r w:rsidR="00D555CC" w:rsidRPr="00277AC1">
              <w:rPr>
                <w:rFonts w:ascii="Arial" w:eastAsia="Times New Roman" w:hAnsi="Arial" w:cs="Arial"/>
                <w:sz w:val="24"/>
                <w:szCs w:val="24"/>
                <w:lang w:eastAsia="en-GB"/>
              </w:rPr>
              <w:t>under</w:t>
            </w:r>
            <w:r w:rsidRPr="00277AC1">
              <w:rPr>
                <w:rFonts w:ascii="Arial" w:eastAsia="Times New Roman" w:hAnsi="Arial" w:cs="Arial"/>
                <w:sz w:val="24"/>
                <w:szCs w:val="24"/>
                <w:lang w:eastAsia="en-GB"/>
              </w:rPr>
              <w:t xml:space="preserve"> the FOIA that individuals and public authorities can be charged </w:t>
            </w:r>
            <w:r w:rsidR="00C672F9" w:rsidRPr="00277AC1">
              <w:rPr>
                <w:rFonts w:ascii="Arial" w:eastAsia="Times New Roman" w:hAnsi="Arial" w:cs="Arial"/>
                <w:sz w:val="24"/>
                <w:szCs w:val="24"/>
                <w:lang w:eastAsia="en-GB"/>
              </w:rPr>
              <w:t>with;</w:t>
            </w:r>
            <w:r w:rsidRPr="00277AC1">
              <w:rPr>
                <w:rFonts w:ascii="Arial" w:eastAsia="Times New Roman" w:hAnsi="Arial" w:cs="Arial"/>
                <w:sz w:val="24"/>
                <w:szCs w:val="24"/>
                <w:lang w:eastAsia="en-GB"/>
              </w:rPr>
              <w:t xml:space="preserve"> it is therefore imperative that all staff within the OPCC are aware of their responsibilities in relation to FOIA and good records management.</w:t>
            </w:r>
          </w:p>
          <w:p w14:paraId="75DC5E85" w14:textId="77777777" w:rsidR="00C51DC9" w:rsidRPr="00132AA2" w:rsidRDefault="00C672F9" w:rsidP="007B7F78">
            <w:pPr>
              <w:spacing w:before="100" w:beforeAutospacing="1" w:after="100" w:afterAutospacing="1" w:line="240" w:lineRule="auto"/>
              <w:jc w:val="both"/>
              <w:rPr>
                <w:rFonts w:ascii="Arial" w:eastAsia="Times New Roman" w:hAnsi="Arial" w:cs="Arial"/>
                <w:sz w:val="24"/>
                <w:szCs w:val="24"/>
                <w:highlight w:val="yellow"/>
                <w:lang w:eastAsia="en-GB"/>
              </w:rPr>
            </w:pPr>
            <w:r w:rsidRPr="00277AC1">
              <w:rPr>
                <w:rFonts w:ascii="Arial" w:eastAsia="Times New Roman" w:hAnsi="Arial" w:cs="Arial"/>
                <w:sz w:val="24"/>
                <w:szCs w:val="24"/>
                <w:lang w:eastAsia="en-GB"/>
              </w:rPr>
              <w:t>The ICO will often try to resolve complaints informally although they do have the power to issue legally binding enforcement or decision notices which will detail what you need to do to resolve the issue identified.</w:t>
            </w:r>
            <w:r w:rsidR="00F10BAF" w:rsidRPr="00277AC1">
              <w:rPr>
                <w:rFonts w:ascii="Arial" w:eastAsia="Times New Roman" w:hAnsi="Arial" w:cs="Arial"/>
                <w:sz w:val="24"/>
                <w:szCs w:val="24"/>
                <w:lang w:eastAsia="en-GB"/>
              </w:rPr>
              <w:t xml:space="preserve">  To date the OPCC has not received a</w:t>
            </w:r>
            <w:r w:rsidR="007B7F78" w:rsidRPr="00277AC1">
              <w:rPr>
                <w:rFonts w:ascii="Arial" w:eastAsia="Times New Roman" w:hAnsi="Arial" w:cs="Arial"/>
                <w:sz w:val="24"/>
                <w:szCs w:val="24"/>
                <w:lang w:eastAsia="en-GB"/>
              </w:rPr>
              <w:t>n enforcement or decision notice from the ICO.</w:t>
            </w:r>
          </w:p>
        </w:tc>
      </w:tr>
      <w:tr w:rsidR="00F8795E" w:rsidRPr="00055BFA" w14:paraId="03D5BE35" w14:textId="77777777" w:rsidTr="0028549D">
        <w:tc>
          <w:tcPr>
            <w:tcW w:w="534" w:type="dxa"/>
            <w:shd w:val="clear" w:color="auto" w:fill="auto"/>
          </w:tcPr>
          <w:p w14:paraId="34DFFA9F"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752" w:type="dxa"/>
            <w:shd w:val="clear" w:color="auto" w:fill="auto"/>
          </w:tcPr>
          <w:p w14:paraId="0F9E7770" w14:textId="77777777" w:rsidR="00F8795E" w:rsidRPr="00277AC1" w:rsidRDefault="00BC5418" w:rsidP="00055BFA">
            <w:pPr>
              <w:spacing w:after="0"/>
              <w:rPr>
                <w:rFonts w:ascii="Arial" w:hAnsi="Arial" w:cs="Arial"/>
                <w:b/>
                <w:sz w:val="24"/>
                <w:szCs w:val="24"/>
                <w:u w:val="single"/>
              </w:rPr>
            </w:pPr>
            <w:r w:rsidRPr="00277AC1">
              <w:rPr>
                <w:rFonts w:ascii="Arial" w:hAnsi="Arial" w:cs="Arial"/>
                <w:b/>
                <w:sz w:val="24"/>
                <w:szCs w:val="24"/>
                <w:u w:val="single"/>
              </w:rPr>
              <w:t xml:space="preserve">EQUALITIES AND </w:t>
            </w:r>
            <w:r w:rsidR="00F8795E" w:rsidRPr="00277AC1">
              <w:rPr>
                <w:rFonts w:ascii="Arial" w:hAnsi="Arial" w:cs="Arial"/>
                <w:b/>
                <w:sz w:val="24"/>
                <w:szCs w:val="24"/>
                <w:u w:val="single"/>
              </w:rPr>
              <w:t>HUMAN RIGHTS CONSIDERATIONS</w:t>
            </w:r>
          </w:p>
          <w:p w14:paraId="4D58B6B7" w14:textId="77777777" w:rsidR="001F41AD" w:rsidRPr="00277AC1" w:rsidRDefault="001F41AD" w:rsidP="00D11D6C">
            <w:pPr>
              <w:spacing w:after="0"/>
              <w:jc w:val="both"/>
              <w:rPr>
                <w:rFonts w:ascii="Arial" w:hAnsi="Arial"/>
                <w:snapToGrid w:val="0"/>
                <w:sz w:val="24"/>
                <w:szCs w:val="20"/>
              </w:rPr>
            </w:pPr>
            <w:r w:rsidRPr="00277AC1">
              <w:rPr>
                <w:rFonts w:ascii="Arial" w:hAnsi="Arial"/>
                <w:snapToGrid w:val="0"/>
                <w:sz w:val="24"/>
                <w:szCs w:val="20"/>
              </w:rPr>
              <w:t xml:space="preserve">This </w:t>
            </w:r>
            <w:r w:rsidR="00D11D6C" w:rsidRPr="00277AC1">
              <w:rPr>
                <w:rFonts w:ascii="Arial" w:hAnsi="Arial"/>
                <w:snapToGrid w:val="0"/>
                <w:sz w:val="24"/>
                <w:szCs w:val="20"/>
              </w:rPr>
              <w:t>report</w:t>
            </w:r>
            <w:r w:rsidRPr="00277AC1">
              <w:rPr>
                <w:rFonts w:ascii="Arial" w:hAnsi="Arial"/>
                <w:snapToGrid w:val="0"/>
                <w:sz w:val="24"/>
                <w:szCs w:val="20"/>
              </w:rPr>
              <w:t xml:space="preserve"> has been considered against the general duty to promote equality, as stipulated under the </w:t>
            </w:r>
            <w:r w:rsidR="00950DC7" w:rsidRPr="00277AC1">
              <w:rPr>
                <w:rFonts w:ascii="Arial" w:hAnsi="Arial"/>
                <w:snapToGrid w:val="0"/>
                <w:sz w:val="24"/>
                <w:szCs w:val="20"/>
              </w:rPr>
              <w:t>Strategic Equality Plan</w:t>
            </w:r>
            <w:r w:rsidRPr="00277AC1">
              <w:rPr>
                <w:rFonts w:ascii="Arial" w:hAnsi="Arial"/>
                <w:snapToGrid w:val="0"/>
                <w:sz w:val="24"/>
                <w:szCs w:val="20"/>
              </w:rPr>
              <w:t xml:space="preserve"> and has been assessed not to discriminate against any particular group. </w:t>
            </w:r>
          </w:p>
          <w:p w14:paraId="5F6658B4" w14:textId="77777777" w:rsidR="00A063A0" w:rsidRPr="00277AC1" w:rsidRDefault="00A063A0" w:rsidP="00D11D6C">
            <w:pPr>
              <w:spacing w:after="0"/>
              <w:jc w:val="both"/>
              <w:rPr>
                <w:rFonts w:ascii="Arial" w:hAnsi="Arial"/>
                <w:snapToGrid w:val="0"/>
                <w:sz w:val="24"/>
                <w:szCs w:val="20"/>
              </w:rPr>
            </w:pPr>
          </w:p>
          <w:p w14:paraId="363CDB15" w14:textId="77777777" w:rsidR="00724945" w:rsidRPr="00277AC1" w:rsidRDefault="001F41AD" w:rsidP="00724945">
            <w:pPr>
              <w:spacing w:after="0"/>
              <w:jc w:val="both"/>
              <w:rPr>
                <w:rFonts w:ascii="Arial" w:hAnsi="Arial" w:cs="Arial"/>
                <w:bCs/>
                <w:iCs/>
                <w:sz w:val="24"/>
                <w:szCs w:val="20"/>
              </w:rPr>
            </w:pPr>
            <w:r w:rsidRPr="00277AC1">
              <w:rPr>
                <w:rFonts w:ascii="Arial" w:hAnsi="Arial" w:cs="Arial"/>
                <w:bCs/>
                <w:iCs/>
                <w:sz w:val="24"/>
                <w:szCs w:val="20"/>
              </w:rPr>
              <w:t>Consideration has been given to requirements of the Articles contained in the European Convention on Human Rights and the Human Rights Act 1998 in preparing this report.</w:t>
            </w:r>
          </w:p>
          <w:p w14:paraId="7465E381" w14:textId="1C063C1D" w:rsidR="00277AC1" w:rsidRPr="00132AA2" w:rsidRDefault="00277AC1" w:rsidP="00724945">
            <w:pPr>
              <w:spacing w:after="0"/>
              <w:jc w:val="both"/>
              <w:rPr>
                <w:rFonts w:ascii="Arial" w:hAnsi="Arial" w:cs="Arial"/>
                <w:bCs/>
                <w:iCs/>
                <w:sz w:val="24"/>
                <w:szCs w:val="20"/>
                <w:highlight w:val="yellow"/>
              </w:rPr>
            </w:pPr>
          </w:p>
        </w:tc>
      </w:tr>
      <w:tr w:rsidR="00D22780" w:rsidRPr="00055BFA" w14:paraId="1DC8B356" w14:textId="77777777" w:rsidTr="0028549D">
        <w:tc>
          <w:tcPr>
            <w:tcW w:w="534" w:type="dxa"/>
            <w:shd w:val="clear" w:color="auto" w:fill="auto"/>
          </w:tcPr>
          <w:p w14:paraId="39EEB1EC"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752" w:type="dxa"/>
            <w:shd w:val="clear" w:color="auto" w:fill="auto"/>
          </w:tcPr>
          <w:p w14:paraId="152C8D31" w14:textId="77777777" w:rsidR="00D22780" w:rsidRPr="00277AC1" w:rsidRDefault="00D22780" w:rsidP="00055BFA">
            <w:pPr>
              <w:spacing w:after="0"/>
              <w:rPr>
                <w:rFonts w:ascii="Arial" w:hAnsi="Arial" w:cs="Arial"/>
                <w:b/>
                <w:sz w:val="24"/>
                <w:szCs w:val="24"/>
                <w:u w:val="single"/>
              </w:rPr>
            </w:pPr>
            <w:r w:rsidRPr="00277AC1">
              <w:rPr>
                <w:rFonts w:ascii="Arial" w:hAnsi="Arial" w:cs="Arial"/>
                <w:b/>
                <w:sz w:val="24"/>
                <w:szCs w:val="24"/>
                <w:u w:val="single"/>
              </w:rPr>
              <w:t>RISK</w:t>
            </w:r>
          </w:p>
          <w:p w14:paraId="69315E33" w14:textId="77777777" w:rsidR="001801F0" w:rsidRPr="00277AC1" w:rsidRDefault="00C672F9" w:rsidP="00DB352B">
            <w:pPr>
              <w:spacing w:after="0"/>
              <w:jc w:val="both"/>
              <w:rPr>
                <w:rFonts w:ascii="Arial" w:hAnsi="Arial" w:cs="Arial"/>
                <w:sz w:val="24"/>
              </w:rPr>
            </w:pPr>
            <w:r w:rsidRPr="00277AC1">
              <w:rPr>
                <w:rFonts w:ascii="Arial" w:hAnsi="Arial" w:cs="Arial"/>
                <w:sz w:val="24"/>
              </w:rPr>
              <w:t>T</w:t>
            </w:r>
            <w:r w:rsidR="007B7F78" w:rsidRPr="00277AC1">
              <w:rPr>
                <w:rFonts w:ascii="Arial" w:hAnsi="Arial" w:cs="Arial"/>
                <w:sz w:val="24"/>
              </w:rPr>
              <w:t>here is a reputational risk to</w:t>
            </w:r>
            <w:r w:rsidRPr="00277AC1">
              <w:rPr>
                <w:rFonts w:ascii="Arial" w:hAnsi="Arial" w:cs="Arial"/>
                <w:sz w:val="24"/>
              </w:rPr>
              <w:t xml:space="preserve"> the OPCC if the 20 working day timeframe is not adhered to and a complaint is made to the ICO.</w:t>
            </w:r>
            <w:r w:rsidR="001801F0" w:rsidRPr="00277AC1">
              <w:rPr>
                <w:rFonts w:ascii="Arial" w:hAnsi="Arial" w:cs="Arial"/>
                <w:sz w:val="24"/>
              </w:rPr>
              <w:t xml:space="preserve">  </w:t>
            </w:r>
          </w:p>
          <w:p w14:paraId="25F7BCB8" w14:textId="77777777" w:rsidR="001801F0" w:rsidRPr="00277AC1" w:rsidRDefault="001801F0" w:rsidP="00DB352B">
            <w:pPr>
              <w:spacing w:after="0"/>
              <w:jc w:val="both"/>
              <w:rPr>
                <w:rFonts w:ascii="Arial" w:hAnsi="Arial" w:cs="Arial"/>
                <w:sz w:val="24"/>
              </w:rPr>
            </w:pPr>
          </w:p>
          <w:p w14:paraId="2C0FB1CA" w14:textId="57AD9775" w:rsidR="00DA7BA9" w:rsidRPr="00277AC1" w:rsidRDefault="00DB352B" w:rsidP="00DB352B">
            <w:pPr>
              <w:spacing w:after="0"/>
              <w:jc w:val="both"/>
              <w:rPr>
                <w:rFonts w:ascii="Arial" w:hAnsi="Arial" w:cs="Arial"/>
                <w:sz w:val="24"/>
              </w:rPr>
            </w:pPr>
            <w:r w:rsidRPr="00277AC1">
              <w:rPr>
                <w:rFonts w:ascii="Arial" w:hAnsi="Arial" w:cs="Arial"/>
                <w:sz w:val="24"/>
              </w:rPr>
              <w:t>There is also a risk that with poor records management compliance within the OPCC that not all information may be provided when responding to a request again causing a reputational risk if a complaint is made</w:t>
            </w:r>
            <w:r w:rsidR="001801F0" w:rsidRPr="00277AC1">
              <w:rPr>
                <w:rFonts w:ascii="Arial" w:hAnsi="Arial" w:cs="Arial"/>
                <w:sz w:val="24"/>
              </w:rPr>
              <w:t>, although records management practices are improving</w:t>
            </w:r>
            <w:r w:rsidRPr="00277AC1">
              <w:rPr>
                <w:rFonts w:ascii="Arial" w:hAnsi="Arial" w:cs="Arial"/>
                <w:sz w:val="24"/>
              </w:rPr>
              <w:t>.</w:t>
            </w:r>
            <w:r w:rsidR="007B7F78" w:rsidRPr="00277AC1">
              <w:rPr>
                <w:rFonts w:ascii="Arial" w:hAnsi="Arial" w:cs="Arial"/>
                <w:sz w:val="24"/>
              </w:rPr>
              <w:t xml:space="preserve">  Not adhering to processes could also have an impact on public confidence of the police service, not just in Gwent, but nationally.</w:t>
            </w:r>
            <w:r w:rsidR="00C672F9" w:rsidRPr="00277AC1">
              <w:rPr>
                <w:rFonts w:ascii="Arial" w:hAnsi="Arial" w:cs="Arial"/>
                <w:sz w:val="24"/>
              </w:rPr>
              <w:t xml:space="preserve"> </w:t>
            </w:r>
          </w:p>
          <w:p w14:paraId="399853BF" w14:textId="23D1A3F9" w:rsidR="00277AC1" w:rsidRPr="00277AC1" w:rsidRDefault="00277AC1" w:rsidP="00DB352B">
            <w:pPr>
              <w:spacing w:after="0"/>
              <w:jc w:val="both"/>
              <w:rPr>
                <w:rFonts w:ascii="Arial" w:hAnsi="Arial" w:cs="Arial"/>
                <w:sz w:val="24"/>
              </w:rPr>
            </w:pPr>
          </w:p>
          <w:p w14:paraId="71246F24" w14:textId="4FB220DB" w:rsidR="00DA7BA9" w:rsidRPr="00277AC1" w:rsidRDefault="00277AC1" w:rsidP="00277AC1">
            <w:pPr>
              <w:spacing w:after="0"/>
              <w:jc w:val="both"/>
              <w:rPr>
                <w:rFonts w:ascii="Arial" w:hAnsi="Arial" w:cs="Arial"/>
                <w:sz w:val="24"/>
              </w:rPr>
            </w:pPr>
            <w:r w:rsidRPr="00277AC1">
              <w:rPr>
                <w:rFonts w:ascii="Arial" w:hAnsi="Arial" w:cs="Arial"/>
                <w:sz w:val="24"/>
              </w:rPr>
              <w:t xml:space="preserve">Resourcing must also be considered as a current risk as the increase in demand placed on the Governance Officer in responding to the requests is significant.  Due to the legal requirement to respond to requests within a 20 </w:t>
            </w:r>
            <w:r w:rsidRPr="00277AC1">
              <w:rPr>
                <w:rFonts w:ascii="Arial" w:hAnsi="Arial" w:cs="Arial"/>
                <w:sz w:val="24"/>
              </w:rPr>
              <w:lastRenderedPageBreak/>
              <w:t xml:space="preserve">working day timeframe, other work often needs to be postponed in order to ensure we continue to comply with our legal requirement under FOIA legislation.  As mentioned previously, additional support is being brought into the Governance function which will alleviate some of the increased pressure placed on the Governance Officer. </w:t>
            </w:r>
          </w:p>
        </w:tc>
      </w:tr>
      <w:tr w:rsidR="00D22780" w:rsidRPr="00055BFA" w14:paraId="3CB70735" w14:textId="77777777" w:rsidTr="0028549D">
        <w:tc>
          <w:tcPr>
            <w:tcW w:w="534" w:type="dxa"/>
            <w:shd w:val="clear" w:color="auto" w:fill="auto"/>
          </w:tcPr>
          <w:p w14:paraId="3794BC70" w14:textId="77777777" w:rsidR="00D22780" w:rsidRDefault="00B913D2" w:rsidP="005C173F">
            <w:pPr>
              <w:spacing w:after="0"/>
              <w:rPr>
                <w:rFonts w:ascii="Arial" w:hAnsi="Arial" w:cs="Arial"/>
                <w:b/>
                <w:sz w:val="24"/>
                <w:szCs w:val="24"/>
              </w:rPr>
            </w:pPr>
            <w:r>
              <w:rPr>
                <w:rFonts w:ascii="Arial" w:hAnsi="Arial" w:cs="Arial"/>
                <w:b/>
                <w:sz w:val="24"/>
                <w:szCs w:val="24"/>
              </w:rPr>
              <w:lastRenderedPageBreak/>
              <w:t>1</w:t>
            </w:r>
            <w:r w:rsidR="005C173F">
              <w:rPr>
                <w:rFonts w:ascii="Arial" w:hAnsi="Arial" w:cs="Arial"/>
                <w:b/>
                <w:sz w:val="24"/>
                <w:szCs w:val="24"/>
              </w:rPr>
              <w:t>0</w:t>
            </w:r>
            <w:r w:rsidR="00D22780">
              <w:rPr>
                <w:rFonts w:ascii="Arial" w:hAnsi="Arial" w:cs="Arial"/>
                <w:b/>
                <w:sz w:val="24"/>
                <w:szCs w:val="24"/>
              </w:rPr>
              <w:t>.</w:t>
            </w:r>
          </w:p>
        </w:tc>
        <w:tc>
          <w:tcPr>
            <w:tcW w:w="8752" w:type="dxa"/>
            <w:shd w:val="clear" w:color="auto" w:fill="auto"/>
          </w:tcPr>
          <w:p w14:paraId="600DF87E" w14:textId="77777777" w:rsidR="00D22780" w:rsidRPr="00277AC1" w:rsidRDefault="00D22780" w:rsidP="00055BFA">
            <w:pPr>
              <w:spacing w:after="0"/>
              <w:rPr>
                <w:rFonts w:ascii="Arial" w:hAnsi="Arial" w:cs="Arial"/>
                <w:b/>
                <w:sz w:val="24"/>
                <w:szCs w:val="24"/>
                <w:u w:val="single"/>
              </w:rPr>
            </w:pPr>
            <w:r w:rsidRPr="00277AC1">
              <w:rPr>
                <w:rFonts w:ascii="Arial" w:hAnsi="Arial" w:cs="Arial"/>
                <w:b/>
                <w:sz w:val="24"/>
                <w:szCs w:val="24"/>
                <w:u w:val="single"/>
              </w:rPr>
              <w:t>PUBLIC INTEREST</w:t>
            </w:r>
          </w:p>
          <w:p w14:paraId="1302D184" w14:textId="77777777" w:rsidR="00D22780" w:rsidRPr="00277AC1" w:rsidRDefault="00C672F9" w:rsidP="00C672F9">
            <w:pPr>
              <w:spacing w:after="0"/>
              <w:jc w:val="both"/>
              <w:rPr>
                <w:rFonts w:ascii="Arial" w:hAnsi="Arial" w:cs="Arial"/>
                <w:sz w:val="24"/>
              </w:rPr>
            </w:pPr>
            <w:r w:rsidRPr="00277AC1">
              <w:rPr>
                <w:rFonts w:ascii="Arial" w:hAnsi="Arial" w:cs="Arial"/>
                <w:sz w:val="24"/>
              </w:rPr>
              <w:t>This report can be made available to the public.  It is best practice to produce and publish statistics in relation to FOI</w:t>
            </w:r>
            <w:r w:rsidR="00DB31C5" w:rsidRPr="00277AC1">
              <w:rPr>
                <w:rFonts w:ascii="Arial" w:hAnsi="Arial" w:cs="Arial"/>
                <w:sz w:val="24"/>
              </w:rPr>
              <w:t>A</w:t>
            </w:r>
            <w:r w:rsidRPr="00277AC1">
              <w:rPr>
                <w:rFonts w:ascii="Arial" w:hAnsi="Arial" w:cs="Arial"/>
                <w:sz w:val="24"/>
              </w:rPr>
              <w:t xml:space="preserve"> requests.</w:t>
            </w:r>
          </w:p>
          <w:p w14:paraId="6E2C8353" w14:textId="77777777" w:rsidR="00C672F9" w:rsidRPr="00277AC1" w:rsidRDefault="00C672F9" w:rsidP="00055BFA">
            <w:pPr>
              <w:spacing w:after="0"/>
              <w:rPr>
                <w:rFonts w:ascii="Arial" w:hAnsi="Arial" w:cs="Arial"/>
              </w:rPr>
            </w:pPr>
          </w:p>
        </w:tc>
      </w:tr>
      <w:tr w:rsidR="00D22780" w:rsidRPr="00055BFA" w14:paraId="0CE2E9CF" w14:textId="77777777" w:rsidTr="0028549D">
        <w:tc>
          <w:tcPr>
            <w:tcW w:w="534" w:type="dxa"/>
            <w:shd w:val="clear" w:color="auto" w:fill="auto"/>
          </w:tcPr>
          <w:p w14:paraId="549C4010"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752" w:type="dxa"/>
            <w:shd w:val="clear" w:color="auto" w:fill="auto"/>
          </w:tcPr>
          <w:p w14:paraId="09528E6B" w14:textId="77777777" w:rsidR="00D22780" w:rsidRPr="00277AC1" w:rsidRDefault="00D22780" w:rsidP="00055BFA">
            <w:pPr>
              <w:spacing w:after="0"/>
              <w:rPr>
                <w:rFonts w:ascii="Arial" w:hAnsi="Arial" w:cs="Arial"/>
                <w:b/>
                <w:sz w:val="24"/>
                <w:szCs w:val="24"/>
                <w:u w:val="single"/>
              </w:rPr>
            </w:pPr>
            <w:r w:rsidRPr="00277AC1">
              <w:rPr>
                <w:rFonts w:ascii="Arial" w:hAnsi="Arial" w:cs="Arial"/>
                <w:b/>
                <w:sz w:val="24"/>
                <w:szCs w:val="24"/>
                <w:u w:val="single"/>
              </w:rPr>
              <w:t>CONTACT OFFICER</w:t>
            </w:r>
          </w:p>
          <w:p w14:paraId="3F2E41DD" w14:textId="77777777" w:rsidR="00D22780" w:rsidRPr="00277AC1" w:rsidRDefault="00D11D6C" w:rsidP="00055BFA">
            <w:pPr>
              <w:spacing w:after="0"/>
              <w:rPr>
                <w:rFonts w:ascii="Arial" w:hAnsi="Arial" w:cs="Arial"/>
                <w:sz w:val="24"/>
              </w:rPr>
            </w:pPr>
            <w:r w:rsidRPr="00277AC1">
              <w:rPr>
                <w:rFonts w:ascii="Arial" w:hAnsi="Arial" w:cs="Arial"/>
                <w:sz w:val="24"/>
              </w:rPr>
              <w:t>Joanne Regan, Head of Assurance and Compliance</w:t>
            </w:r>
          </w:p>
          <w:p w14:paraId="6CA18E74" w14:textId="77777777" w:rsidR="00D11D6C" w:rsidRPr="00277AC1" w:rsidRDefault="00D11D6C" w:rsidP="00055BFA">
            <w:pPr>
              <w:spacing w:after="0"/>
              <w:rPr>
                <w:rFonts w:ascii="Arial" w:hAnsi="Arial" w:cs="Arial"/>
              </w:rPr>
            </w:pPr>
          </w:p>
        </w:tc>
      </w:tr>
      <w:tr w:rsidR="00B45594" w:rsidRPr="00055BFA" w14:paraId="6E6FD7D2" w14:textId="77777777" w:rsidTr="0028549D">
        <w:tc>
          <w:tcPr>
            <w:tcW w:w="534" w:type="dxa"/>
            <w:shd w:val="clear" w:color="auto" w:fill="auto"/>
          </w:tcPr>
          <w:p w14:paraId="783072CD"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752" w:type="dxa"/>
            <w:shd w:val="clear" w:color="auto" w:fill="auto"/>
          </w:tcPr>
          <w:p w14:paraId="75B1230C" w14:textId="77777777" w:rsidR="00B45594" w:rsidRPr="00277AC1" w:rsidRDefault="00B45594" w:rsidP="00055BFA">
            <w:pPr>
              <w:spacing w:after="0"/>
              <w:rPr>
                <w:rFonts w:ascii="Arial" w:hAnsi="Arial" w:cs="Arial"/>
                <w:b/>
                <w:sz w:val="24"/>
                <w:szCs w:val="24"/>
                <w:u w:val="single"/>
              </w:rPr>
            </w:pPr>
            <w:r w:rsidRPr="00277AC1">
              <w:rPr>
                <w:rFonts w:ascii="Arial" w:hAnsi="Arial" w:cs="Arial"/>
                <w:b/>
                <w:sz w:val="24"/>
                <w:szCs w:val="24"/>
                <w:u w:val="single"/>
              </w:rPr>
              <w:t>ANNEXES</w:t>
            </w:r>
          </w:p>
          <w:p w14:paraId="279A77E0" w14:textId="2384807C" w:rsidR="00C06627" w:rsidRPr="00277AC1" w:rsidRDefault="000A7AFE" w:rsidP="00055BFA">
            <w:pPr>
              <w:spacing w:after="0"/>
              <w:rPr>
                <w:rFonts w:ascii="Arial" w:hAnsi="Arial" w:cs="Arial"/>
                <w:sz w:val="24"/>
              </w:rPr>
            </w:pPr>
            <w:r w:rsidRPr="00277AC1">
              <w:rPr>
                <w:rFonts w:ascii="Arial" w:hAnsi="Arial" w:cs="Arial"/>
                <w:sz w:val="24"/>
              </w:rPr>
              <w:t>Appendix 1 –</w:t>
            </w:r>
            <w:r w:rsidR="005B2CC0">
              <w:rPr>
                <w:rFonts w:ascii="Arial" w:hAnsi="Arial" w:cs="Arial"/>
                <w:sz w:val="24"/>
              </w:rPr>
              <w:t xml:space="preserve"> </w:t>
            </w:r>
            <w:r w:rsidR="00A02601" w:rsidRPr="00277AC1">
              <w:rPr>
                <w:rFonts w:ascii="Arial" w:hAnsi="Arial" w:cs="Arial"/>
                <w:sz w:val="24"/>
              </w:rPr>
              <w:t>FOIA</w:t>
            </w:r>
            <w:r w:rsidRPr="00277AC1">
              <w:rPr>
                <w:rFonts w:ascii="Arial" w:hAnsi="Arial" w:cs="Arial"/>
                <w:sz w:val="24"/>
              </w:rPr>
              <w:t xml:space="preserve"> Statistics</w:t>
            </w:r>
            <w:r w:rsidR="001201D9" w:rsidRPr="00277AC1">
              <w:rPr>
                <w:rFonts w:ascii="Arial" w:hAnsi="Arial" w:cs="Arial"/>
                <w:sz w:val="24"/>
              </w:rPr>
              <w:t>.</w:t>
            </w:r>
          </w:p>
          <w:p w14:paraId="46D181DD" w14:textId="47D8D28B" w:rsidR="000A7AFE" w:rsidRPr="00277AC1" w:rsidRDefault="000A7AFE" w:rsidP="00D75BD6">
            <w:pPr>
              <w:spacing w:after="0"/>
              <w:rPr>
                <w:rFonts w:ascii="Arial" w:hAnsi="Arial" w:cs="Arial"/>
                <w:sz w:val="24"/>
              </w:rPr>
            </w:pPr>
          </w:p>
        </w:tc>
      </w:tr>
    </w:tbl>
    <w:p w14:paraId="53B779A4" w14:textId="77777777" w:rsidR="0034123A" w:rsidRDefault="0034123A">
      <w:pPr>
        <w:rPr>
          <w:rFonts w:ascii="Arial" w:hAnsi="Arial" w:cs="Arial"/>
          <w:b/>
          <w:color w:val="A6A6A6"/>
        </w:rPr>
      </w:pPr>
    </w:p>
    <w:p w14:paraId="40C26736" w14:textId="77777777" w:rsidR="00D75BD6" w:rsidRDefault="00D75BD6" w:rsidP="006223CD">
      <w:pPr>
        <w:rPr>
          <w:rFonts w:ascii="Arial" w:hAnsi="Arial" w:cs="Arial"/>
          <w:b/>
          <w:color w:val="A6A6A6"/>
        </w:rPr>
      </w:pPr>
    </w:p>
    <w:p w14:paraId="7CFE6C43" w14:textId="77777777" w:rsidR="006223CD" w:rsidRPr="00F0389F" w:rsidRDefault="00D75BD6" w:rsidP="006223CD">
      <w:pPr>
        <w:rPr>
          <w:rFonts w:ascii="Arial" w:hAnsi="Arial" w:cs="Arial"/>
          <w:b/>
          <w:color w:val="A6A6A6"/>
        </w:rPr>
      </w:pPr>
      <w:r>
        <w:rPr>
          <w:rFonts w:ascii="Arial" w:hAnsi="Arial" w:cs="Arial"/>
          <w:b/>
          <w:color w:val="A6A6A6"/>
        </w:rPr>
        <w:t>F</w:t>
      </w:r>
      <w:r w:rsidR="006223CD" w:rsidRPr="00F0389F">
        <w:rPr>
          <w:rFonts w:ascii="Arial" w:hAnsi="Arial" w:cs="Arial"/>
          <w:b/>
          <w:color w:val="A6A6A6"/>
        </w:rPr>
        <w:t>or OPCC use only</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223CD" w:rsidRPr="00F0389F" w14:paraId="2928C9F8" w14:textId="77777777" w:rsidTr="000A7AFE">
        <w:tc>
          <w:tcPr>
            <w:tcW w:w="9242" w:type="dxa"/>
            <w:tcBorders>
              <w:top w:val="single" w:sz="4" w:space="0" w:color="auto"/>
              <w:left w:val="single" w:sz="4" w:space="0" w:color="auto"/>
              <w:bottom w:val="single" w:sz="4" w:space="0" w:color="auto"/>
              <w:right w:val="single" w:sz="4" w:space="0" w:color="auto"/>
            </w:tcBorders>
            <w:hideMark/>
          </w:tcPr>
          <w:p w14:paraId="478C4AE3" w14:textId="77777777" w:rsidR="006223CD" w:rsidRPr="00F0389F" w:rsidRDefault="006223CD" w:rsidP="00F06BFD">
            <w:pPr>
              <w:spacing w:after="120" w:line="240" w:lineRule="auto"/>
              <w:rPr>
                <w:rFonts w:ascii="Arial" w:hAnsi="Arial" w:cs="Arial"/>
                <w:b/>
              </w:rPr>
            </w:pPr>
            <w:r w:rsidRPr="00F0389F">
              <w:rPr>
                <w:rFonts w:ascii="Arial" w:hAnsi="Arial" w:cs="Arial"/>
                <w:b/>
              </w:rPr>
              <w:t>Police and Crime Commissioner for Gwent</w:t>
            </w:r>
          </w:p>
          <w:p w14:paraId="6C21CCBD" w14:textId="77777777" w:rsidR="006223CD" w:rsidRPr="00F0389F" w:rsidRDefault="006223CD" w:rsidP="00F06BFD">
            <w:pPr>
              <w:spacing w:after="120" w:line="240" w:lineRule="auto"/>
              <w:rPr>
                <w:rFonts w:ascii="Arial" w:hAnsi="Arial" w:cs="Arial"/>
              </w:rPr>
            </w:pPr>
            <w:r w:rsidRPr="00F0389F">
              <w:rPr>
                <w:rFonts w:ascii="Arial" w:hAnsi="Arial" w:cs="Arial"/>
              </w:rPr>
              <w:t>I confirm that I have considered whether or not I have any personal or prejudicial interest in this matter and take the proposed decision in compliance with the Code of Conduct.</w:t>
            </w:r>
          </w:p>
          <w:p w14:paraId="67B86C8A" w14:textId="77777777" w:rsidR="006223CD" w:rsidRPr="00F0389F" w:rsidRDefault="006223CD" w:rsidP="00F06BFD">
            <w:pPr>
              <w:spacing w:after="120" w:line="240" w:lineRule="auto"/>
              <w:rPr>
                <w:rFonts w:ascii="Arial" w:hAnsi="Arial" w:cs="Arial"/>
              </w:rPr>
            </w:pPr>
            <w:r w:rsidRPr="00F0389F">
              <w:rPr>
                <w:rFonts w:ascii="Arial" w:hAnsi="Arial" w:cs="Arial"/>
              </w:rPr>
              <w:t>The above request has my approval.</w:t>
            </w:r>
          </w:p>
        </w:tc>
      </w:tr>
      <w:tr w:rsidR="006223CD" w:rsidRPr="00F0389F" w14:paraId="494D57A1" w14:textId="77777777" w:rsidTr="000A7AFE">
        <w:tc>
          <w:tcPr>
            <w:tcW w:w="9242" w:type="dxa"/>
            <w:tcBorders>
              <w:top w:val="single" w:sz="4" w:space="0" w:color="auto"/>
              <w:left w:val="single" w:sz="4" w:space="0" w:color="auto"/>
              <w:bottom w:val="single" w:sz="4" w:space="0" w:color="auto"/>
              <w:right w:val="single" w:sz="4" w:space="0" w:color="auto"/>
            </w:tcBorders>
            <w:hideMark/>
          </w:tcPr>
          <w:p w14:paraId="1CD8EEC9" w14:textId="77777777" w:rsidR="006223CD" w:rsidRPr="00F0389F" w:rsidRDefault="006223CD" w:rsidP="00F06BFD">
            <w:pPr>
              <w:rPr>
                <w:rFonts w:ascii="Arial" w:hAnsi="Arial" w:cs="Arial"/>
                <w:b/>
              </w:rPr>
            </w:pPr>
            <w:r w:rsidRPr="00F0389F">
              <w:rPr>
                <w:rFonts w:ascii="Arial" w:hAnsi="Arial" w:cs="Arial"/>
                <w:b/>
              </w:rPr>
              <w:t>Signature:</w:t>
            </w:r>
          </w:p>
        </w:tc>
      </w:tr>
      <w:tr w:rsidR="006223CD" w:rsidRPr="00F0389F" w14:paraId="0758C982" w14:textId="77777777" w:rsidTr="000A7AFE">
        <w:tc>
          <w:tcPr>
            <w:tcW w:w="9242" w:type="dxa"/>
            <w:tcBorders>
              <w:top w:val="single" w:sz="4" w:space="0" w:color="auto"/>
              <w:left w:val="single" w:sz="4" w:space="0" w:color="auto"/>
              <w:bottom w:val="single" w:sz="4" w:space="0" w:color="auto"/>
              <w:right w:val="single" w:sz="4" w:space="0" w:color="auto"/>
            </w:tcBorders>
            <w:hideMark/>
          </w:tcPr>
          <w:p w14:paraId="3727A7B0" w14:textId="77777777" w:rsidR="006223CD" w:rsidRPr="00F0389F" w:rsidRDefault="006223CD" w:rsidP="00F06BFD">
            <w:pPr>
              <w:rPr>
                <w:rFonts w:ascii="Arial" w:hAnsi="Arial" w:cs="Arial"/>
                <w:b/>
              </w:rPr>
            </w:pPr>
            <w:r w:rsidRPr="00F0389F">
              <w:rPr>
                <w:rFonts w:ascii="Arial" w:hAnsi="Arial" w:cs="Arial"/>
                <w:b/>
              </w:rPr>
              <w:t>Date:</w:t>
            </w:r>
          </w:p>
        </w:tc>
      </w:tr>
    </w:tbl>
    <w:p w14:paraId="74372709" w14:textId="77777777" w:rsidR="006223CD" w:rsidRDefault="006223CD" w:rsidP="00D75BD6">
      <w:pPr>
        <w:rPr>
          <w:rFonts w:ascii="Arial" w:hAnsi="Arial" w:cs="Arial"/>
          <w:b/>
          <w:sz w:val="24"/>
          <w:szCs w:val="24"/>
        </w:rPr>
      </w:pPr>
    </w:p>
    <w:sectPr w:rsidR="006223CD" w:rsidSect="00D22780">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4E99" w14:textId="77777777" w:rsidR="00B96B5E" w:rsidRDefault="00B96B5E" w:rsidP="00D26302">
      <w:pPr>
        <w:spacing w:after="0" w:line="240" w:lineRule="auto"/>
      </w:pPr>
      <w:r>
        <w:separator/>
      </w:r>
    </w:p>
  </w:endnote>
  <w:endnote w:type="continuationSeparator" w:id="0">
    <w:p w14:paraId="24DFE520" w14:textId="77777777" w:rsidR="00B96B5E" w:rsidRDefault="00B96B5E"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5FFF" w14:textId="77777777" w:rsidR="00A07224" w:rsidRDefault="00A07224" w:rsidP="00D26302">
    <w:pPr>
      <w:pStyle w:val="Footer"/>
      <w:spacing w:after="0"/>
      <w:jc w:val="center"/>
      <w:rPr>
        <w:rFonts w:ascii="Arial" w:hAnsi="Arial" w:cs="Arial"/>
        <w:b/>
        <w:color w:val="FF0000"/>
        <w:sz w:val="24"/>
      </w:rPr>
    </w:pPr>
    <w:bookmarkStart w:id="2" w:name="aliashDefaultHeaderandFo1FooterEvenPages"/>
  </w:p>
  <w:bookmarkEnd w:id="2"/>
  <w:p w14:paraId="4028BD5C" w14:textId="77777777" w:rsidR="00A07224" w:rsidRDefault="00A0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249" w14:textId="77777777" w:rsidR="00A07224" w:rsidRDefault="00A07224">
    <w:pPr>
      <w:pStyle w:val="Footer"/>
      <w:jc w:val="center"/>
    </w:pPr>
    <w:r>
      <w:fldChar w:fldCharType="begin"/>
    </w:r>
    <w:r>
      <w:instrText xml:space="preserve"> PAGE   \* MERGEFORMAT </w:instrText>
    </w:r>
    <w:r>
      <w:fldChar w:fldCharType="separate"/>
    </w:r>
    <w:r w:rsidR="00DB31C5">
      <w:rPr>
        <w:noProof/>
      </w:rPr>
      <w:t>1</w:t>
    </w:r>
    <w:r>
      <w:rPr>
        <w:noProof/>
      </w:rPr>
      <w:fldChar w:fldCharType="end"/>
    </w:r>
  </w:p>
  <w:p w14:paraId="1FED6243" w14:textId="77777777" w:rsidR="00A07224" w:rsidRDefault="00A0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86B0" w14:textId="77777777" w:rsidR="00A07224" w:rsidRDefault="00A07224" w:rsidP="00D26302">
    <w:pPr>
      <w:pStyle w:val="Footer"/>
      <w:spacing w:after="0"/>
      <w:jc w:val="center"/>
      <w:rPr>
        <w:rFonts w:ascii="Arial" w:hAnsi="Arial" w:cs="Arial"/>
        <w:b/>
        <w:color w:val="FF0000"/>
        <w:sz w:val="24"/>
      </w:rPr>
    </w:pPr>
    <w:bookmarkStart w:id="4" w:name="aliashDefaultHeaderandFo1FooterFirstPage"/>
  </w:p>
  <w:bookmarkEnd w:id="4"/>
  <w:p w14:paraId="2C5FE11C" w14:textId="77777777" w:rsidR="00A07224" w:rsidRDefault="00A0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21C2" w14:textId="77777777" w:rsidR="00B96B5E" w:rsidRDefault="00B96B5E" w:rsidP="00D26302">
      <w:pPr>
        <w:spacing w:after="0" w:line="240" w:lineRule="auto"/>
      </w:pPr>
      <w:r>
        <w:separator/>
      </w:r>
    </w:p>
  </w:footnote>
  <w:footnote w:type="continuationSeparator" w:id="0">
    <w:p w14:paraId="75CB442E" w14:textId="77777777" w:rsidR="00B96B5E" w:rsidRDefault="00B96B5E" w:rsidP="00D26302">
      <w:pPr>
        <w:spacing w:after="0" w:line="240" w:lineRule="auto"/>
      </w:pPr>
      <w:r>
        <w:continuationSeparator/>
      </w:r>
    </w:p>
  </w:footnote>
  <w:footnote w:id="1">
    <w:p w14:paraId="589D5871" w14:textId="6C898609" w:rsidR="00966D08" w:rsidRDefault="00966D08" w:rsidP="00966D08">
      <w:pPr>
        <w:pStyle w:val="FootnoteText"/>
      </w:pPr>
      <w:r>
        <w:rPr>
          <w:rStyle w:val="FootnoteReference"/>
        </w:rPr>
        <w:footnoteRef/>
      </w:r>
      <w:r>
        <w:t xml:space="preserve"> </w:t>
      </w:r>
      <w:r w:rsidR="00091DC3">
        <w:t>As well as requests for statistical information, this also i</w:t>
      </w:r>
      <w:r>
        <w:t>ncludes areas such as</w:t>
      </w:r>
      <w:r w:rsidR="00EE7DBD">
        <w:t xml:space="preserve"> complaints</w:t>
      </w:r>
      <w:r w:rsidR="00091DC3">
        <w:t>, misconduct</w:t>
      </w:r>
      <w:r w:rsidR="00EE7DBD">
        <w:t xml:space="preserve"> and policy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C637" w14:textId="77777777" w:rsidR="00A07224" w:rsidRDefault="00A07224" w:rsidP="00D26302">
    <w:pPr>
      <w:pStyle w:val="Header"/>
      <w:spacing w:after="0"/>
      <w:jc w:val="center"/>
      <w:rPr>
        <w:rFonts w:ascii="Arial" w:hAnsi="Arial" w:cs="Arial"/>
        <w:b/>
        <w:color w:val="FF0000"/>
        <w:sz w:val="24"/>
      </w:rPr>
    </w:pPr>
    <w:bookmarkStart w:id="0" w:name="aliashDefaultHeaderandFo1HeaderEvenPages"/>
  </w:p>
  <w:bookmarkEnd w:id="0"/>
  <w:p w14:paraId="3E01E886" w14:textId="77777777" w:rsidR="00A07224" w:rsidRDefault="00A0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6D83" w14:textId="77777777" w:rsidR="00A07224" w:rsidRDefault="00A07224" w:rsidP="00D26302">
    <w:pPr>
      <w:pStyle w:val="Header"/>
      <w:spacing w:after="0"/>
      <w:jc w:val="center"/>
      <w:rPr>
        <w:rFonts w:ascii="Arial" w:hAnsi="Arial" w:cs="Arial"/>
        <w:b/>
        <w:color w:val="FF0000"/>
        <w:sz w:val="24"/>
      </w:rPr>
    </w:pPr>
    <w:bookmarkStart w:id="1" w:name="aliashDefaultHeaderandFoot1HeaderPrimary"/>
  </w:p>
  <w:bookmarkEnd w:id="1"/>
  <w:p w14:paraId="3B4AE96C" w14:textId="77777777" w:rsidR="00A07224" w:rsidRDefault="00A07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B02B" w14:textId="77777777" w:rsidR="00A07224" w:rsidRDefault="00A07224" w:rsidP="00D26302">
    <w:pPr>
      <w:pStyle w:val="Header"/>
      <w:spacing w:after="0"/>
      <w:jc w:val="center"/>
      <w:rPr>
        <w:rFonts w:ascii="Arial" w:hAnsi="Arial" w:cs="Arial"/>
        <w:b/>
        <w:color w:val="FF0000"/>
        <w:sz w:val="24"/>
      </w:rPr>
    </w:pPr>
    <w:bookmarkStart w:id="3" w:name="aliashDefaultHeaderandFo1HeaderFirstPage"/>
  </w:p>
  <w:bookmarkEnd w:id="3"/>
  <w:p w14:paraId="17B34BCC" w14:textId="77777777" w:rsidR="00A07224" w:rsidRDefault="00A0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64D30"/>
    <w:multiLevelType w:val="hybridMultilevel"/>
    <w:tmpl w:val="BF5E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F1D78"/>
    <w:multiLevelType w:val="multilevel"/>
    <w:tmpl w:val="72B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066B0"/>
    <w:multiLevelType w:val="multilevel"/>
    <w:tmpl w:val="912E1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C571A"/>
    <w:multiLevelType w:val="hybridMultilevel"/>
    <w:tmpl w:val="A4363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23703"/>
    <w:rsid w:val="00032144"/>
    <w:rsid w:val="000415D2"/>
    <w:rsid w:val="00055BFA"/>
    <w:rsid w:val="000627CE"/>
    <w:rsid w:val="00091DC3"/>
    <w:rsid w:val="000A7AFE"/>
    <w:rsid w:val="000B3AE0"/>
    <w:rsid w:val="000C54E6"/>
    <w:rsid w:val="00113F55"/>
    <w:rsid w:val="001201D9"/>
    <w:rsid w:val="00121D15"/>
    <w:rsid w:val="00132AA2"/>
    <w:rsid w:val="00132D69"/>
    <w:rsid w:val="0014580B"/>
    <w:rsid w:val="00163EDA"/>
    <w:rsid w:val="00165436"/>
    <w:rsid w:val="00171FDE"/>
    <w:rsid w:val="00176CBF"/>
    <w:rsid w:val="001801F0"/>
    <w:rsid w:val="00185283"/>
    <w:rsid w:val="001863C0"/>
    <w:rsid w:val="0019295B"/>
    <w:rsid w:val="00196677"/>
    <w:rsid w:val="001B4232"/>
    <w:rsid w:val="001C7E3F"/>
    <w:rsid w:val="001D167B"/>
    <w:rsid w:val="001F41AD"/>
    <w:rsid w:val="001F6741"/>
    <w:rsid w:val="002134A5"/>
    <w:rsid w:val="00215A35"/>
    <w:rsid w:val="00216E40"/>
    <w:rsid w:val="002470ED"/>
    <w:rsid w:val="00262B29"/>
    <w:rsid w:val="0026444C"/>
    <w:rsid w:val="002736CE"/>
    <w:rsid w:val="00277AC1"/>
    <w:rsid w:val="00284E7D"/>
    <w:rsid w:val="0028549D"/>
    <w:rsid w:val="00285FD8"/>
    <w:rsid w:val="0029270D"/>
    <w:rsid w:val="00292C57"/>
    <w:rsid w:val="00294300"/>
    <w:rsid w:val="00294700"/>
    <w:rsid w:val="002A0217"/>
    <w:rsid w:val="002B2BD2"/>
    <w:rsid w:val="002D1CB7"/>
    <w:rsid w:val="00326D8B"/>
    <w:rsid w:val="003327F1"/>
    <w:rsid w:val="00335D29"/>
    <w:rsid w:val="003377A4"/>
    <w:rsid w:val="0034123A"/>
    <w:rsid w:val="00360B07"/>
    <w:rsid w:val="00371FDB"/>
    <w:rsid w:val="00380C52"/>
    <w:rsid w:val="003B346E"/>
    <w:rsid w:val="003C736B"/>
    <w:rsid w:val="003E469E"/>
    <w:rsid w:val="004228B2"/>
    <w:rsid w:val="0042426F"/>
    <w:rsid w:val="00444CC2"/>
    <w:rsid w:val="004668ED"/>
    <w:rsid w:val="00467877"/>
    <w:rsid w:val="00483C07"/>
    <w:rsid w:val="004D072A"/>
    <w:rsid w:val="004D12CF"/>
    <w:rsid w:val="00591F37"/>
    <w:rsid w:val="0059744C"/>
    <w:rsid w:val="005A7A0C"/>
    <w:rsid w:val="005B2CC0"/>
    <w:rsid w:val="005C173F"/>
    <w:rsid w:val="005C4088"/>
    <w:rsid w:val="005D3479"/>
    <w:rsid w:val="005F1B83"/>
    <w:rsid w:val="005F7921"/>
    <w:rsid w:val="006223CD"/>
    <w:rsid w:val="006233D5"/>
    <w:rsid w:val="00623FCB"/>
    <w:rsid w:val="00632622"/>
    <w:rsid w:val="006633F7"/>
    <w:rsid w:val="00687580"/>
    <w:rsid w:val="006963AC"/>
    <w:rsid w:val="006B3C81"/>
    <w:rsid w:val="006B70A4"/>
    <w:rsid w:val="006D4D01"/>
    <w:rsid w:val="006E767C"/>
    <w:rsid w:val="007028C5"/>
    <w:rsid w:val="00706965"/>
    <w:rsid w:val="00720FD8"/>
    <w:rsid w:val="00724945"/>
    <w:rsid w:val="00750F4A"/>
    <w:rsid w:val="00752B77"/>
    <w:rsid w:val="00773811"/>
    <w:rsid w:val="00783E7E"/>
    <w:rsid w:val="007969F7"/>
    <w:rsid w:val="007A46D1"/>
    <w:rsid w:val="007B1437"/>
    <w:rsid w:val="007B3A8B"/>
    <w:rsid w:val="007B7F78"/>
    <w:rsid w:val="007D4B9D"/>
    <w:rsid w:val="007E5368"/>
    <w:rsid w:val="007F1D0F"/>
    <w:rsid w:val="00806217"/>
    <w:rsid w:val="00822B6A"/>
    <w:rsid w:val="00863459"/>
    <w:rsid w:val="008815F7"/>
    <w:rsid w:val="00897ACE"/>
    <w:rsid w:val="008C4015"/>
    <w:rsid w:val="008C7685"/>
    <w:rsid w:val="008D4516"/>
    <w:rsid w:val="008D48F5"/>
    <w:rsid w:val="008D4A71"/>
    <w:rsid w:val="00901C13"/>
    <w:rsid w:val="0092396B"/>
    <w:rsid w:val="00936558"/>
    <w:rsid w:val="009413BD"/>
    <w:rsid w:val="00950DC7"/>
    <w:rsid w:val="00950E93"/>
    <w:rsid w:val="00966D08"/>
    <w:rsid w:val="00975C06"/>
    <w:rsid w:val="00983BA5"/>
    <w:rsid w:val="00990083"/>
    <w:rsid w:val="0099083A"/>
    <w:rsid w:val="009C2286"/>
    <w:rsid w:val="009E19DB"/>
    <w:rsid w:val="009E4BA1"/>
    <w:rsid w:val="009E5D83"/>
    <w:rsid w:val="009F4F07"/>
    <w:rsid w:val="009F53F7"/>
    <w:rsid w:val="00A02601"/>
    <w:rsid w:val="00A063A0"/>
    <w:rsid w:val="00A068A6"/>
    <w:rsid w:val="00A07224"/>
    <w:rsid w:val="00A20714"/>
    <w:rsid w:val="00A262EF"/>
    <w:rsid w:val="00A365DC"/>
    <w:rsid w:val="00A45A11"/>
    <w:rsid w:val="00A7184E"/>
    <w:rsid w:val="00AA0CB1"/>
    <w:rsid w:val="00AE7565"/>
    <w:rsid w:val="00AF54D4"/>
    <w:rsid w:val="00B11CF6"/>
    <w:rsid w:val="00B3006F"/>
    <w:rsid w:val="00B44D6F"/>
    <w:rsid w:val="00B45594"/>
    <w:rsid w:val="00B74046"/>
    <w:rsid w:val="00B76884"/>
    <w:rsid w:val="00B913D2"/>
    <w:rsid w:val="00B92810"/>
    <w:rsid w:val="00B96B5E"/>
    <w:rsid w:val="00BC5418"/>
    <w:rsid w:val="00C06627"/>
    <w:rsid w:val="00C31A33"/>
    <w:rsid w:val="00C32079"/>
    <w:rsid w:val="00C51DC9"/>
    <w:rsid w:val="00C672F9"/>
    <w:rsid w:val="00C86026"/>
    <w:rsid w:val="00C914AF"/>
    <w:rsid w:val="00CA01A1"/>
    <w:rsid w:val="00CD2200"/>
    <w:rsid w:val="00CF106B"/>
    <w:rsid w:val="00CF774B"/>
    <w:rsid w:val="00D11D6C"/>
    <w:rsid w:val="00D12899"/>
    <w:rsid w:val="00D13582"/>
    <w:rsid w:val="00D21043"/>
    <w:rsid w:val="00D22780"/>
    <w:rsid w:val="00D26302"/>
    <w:rsid w:val="00D456E1"/>
    <w:rsid w:val="00D555CC"/>
    <w:rsid w:val="00D75BD6"/>
    <w:rsid w:val="00D766DF"/>
    <w:rsid w:val="00D82644"/>
    <w:rsid w:val="00D96DE6"/>
    <w:rsid w:val="00DA7BA9"/>
    <w:rsid w:val="00DB0FEB"/>
    <w:rsid w:val="00DB31C5"/>
    <w:rsid w:val="00DB352B"/>
    <w:rsid w:val="00DC21E8"/>
    <w:rsid w:val="00DD159E"/>
    <w:rsid w:val="00DD46B3"/>
    <w:rsid w:val="00DE0388"/>
    <w:rsid w:val="00E03FB3"/>
    <w:rsid w:val="00E0636E"/>
    <w:rsid w:val="00E22435"/>
    <w:rsid w:val="00E353C3"/>
    <w:rsid w:val="00E4292B"/>
    <w:rsid w:val="00E445A3"/>
    <w:rsid w:val="00E50D8C"/>
    <w:rsid w:val="00E5619C"/>
    <w:rsid w:val="00E62247"/>
    <w:rsid w:val="00E62667"/>
    <w:rsid w:val="00EB5A4D"/>
    <w:rsid w:val="00EC4986"/>
    <w:rsid w:val="00EE0539"/>
    <w:rsid w:val="00EE50DA"/>
    <w:rsid w:val="00EE7DBD"/>
    <w:rsid w:val="00EF0FF3"/>
    <w:rsid w:val="00F06BFD"/>
    <w:rsid w:val="00F10BAF"/>
    <w:rsid w:val="00F11899"/>
    <w:rsid w:val="00F178CF"/>
    <w:rsid w:val="00F303F6"/>
    <w:rsid w:val="00F352AC"/>
    <w:rsid w:val="00F52D94"/>
    <w:rsid w:val="00F62FD2"/>
    <w:rsid w:val="00F8795E"/>
    <w:rsid w:val="00FC0FB0"/>
    <w:rsid w:val="00FD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FF4F6D4"/>
  <w15:chartTrackingRefBased/>
  <w15:docId w15:val="{47813E3E-DF84-48C3-AF6F-1912355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character" w:styleId="CommentReference">
    <w:name w:val="annotation reference"/>
    <w:uiPriority w:val="99"/>
    <w:semiHidden/>
    <w:unhideWhenUsed/>
    <w:rsid w:val="00284E7D"/>
    <w:rPr>
      <w:sz w:val="16"/>
      <w:szCs w:val="16"/>
    </w:rPr>
  </w:style>
  <w:style w:type="paragraph" w:styleId="CommentText">
    <w:name w:val="annotation text"/>
    <w:basedOn w:val="Normal"/>
    <w:link w:val="CommentTextChar"/>
    <w:uiPriority w:val="99"/>
    <w:unhideWhenUsed/>
    <w:rsid w:val="00284E7D"/>
    <w:rPr>
      <w:sz w:val="20"/>
      <w:szCs w:val="20"/>
    </w:rPr>
  </w:style>
  <w:style w:type="character" w:customStyle="1" w:styleId="CommentTextChar">
    <w:name w:val="Comment Text Char"/>
    <w:link w:val="CommentText"/>
    <w:uiPriority w:val="99"/>
    <w:rsid w:val="00284E7D"/>
    <w:rPr>
      <w:lang w:eastAsia="en-US"/>
    </w:rPr>
  </w:style>
  <w:style w:type="paragraph" w:styleId="CommentSubject">
    <w:name w:val="annotation subject"/>
    <w:basedOn w:val="CommentText"/>
    <w:next w:val="CommentText"/>
    <w:link w:val="CommentSubjectChar"/>
    <w:uiPriority w:val="99"/>
    <w:semiHidden/>
    <w:unhideWhenUsed/>
    <w:rsid w:val="00284E7D"/>
    <w:rPr>
      <w:b/>
      <w:bCs/>
    </w:rPr>
  </w:style>
  <w:style w:type="character" w:customStyle="1" w:styleId="CommentSubjectChar">
    <w:name w:val="Comment Subject Char"/>
    <w:link w:val="CommentSubject"/>
    <w:uiPriority w:val="99"/>
    <w:semiHidden/>
    <w:rsid w:val="00284E7D"/>
    <w:rPr>
      <w:b/>
      <w:bCs/>
      <w:lang w:eastAsia="en-US"/>
    </w:rPr>
  </w:style>
  <w:style w:type="paragraph" w:styleId="FootnoteText">
    <w:name w:val="footnote text"/>
    <w:basedOn w:val="Normal"/>
    <w:link w:val="FootnoteTextChar"/>
    <w:uiPriority w:val="99"/>
    <w:semiHidden/>
    <w:unhideWhenUsed/>
    <w:rsid w:val="00DA7BA9"/>
    <w:rPr>
      <w:sz w:val="20"/>
      <w:szCs w:val="20"/>
    </w:rPr>
  </w:style>
  <w:style w:type="character" w:customStyle="1" w:styleId="FootnoteTextChar">
    <w:name w:val="Footnote Text Char"/>
    <w:link w:val="FootnoteText"/>
    <w:uiPriority w:val="99"/>
    <w:semiHidden/>
    <w:rsid w:val="00DA7BA9"/>
    <w:rPr>
      <w:lang w:eastAsia="en-US"/>
    </w:rPr>
  </w:style>
  <w:style w:type="character" w:styleId="FootnoteReference">
    <w:name w:val="footnote reference"/>
    <w:uiPriority w:val="99"/>
    <w:semiHidden/>
    <w:unhideWhenUsed/>
    <w:rsid w:val="00DA7BA9"/>
    <w:rPr>
      <w:vertAlign w:val="superscript"/>
    </w:rPr>
  </w:style>
  <w:style w:type="paragraph" w:styleId="NormalWeb">
    <w:name w:val="Normal (Web)"/>
    <w:basedOn w:val="Normal"/>
    <w:uiPriority w:val="99"/>
    <w:semiHidden/>
    <w:unhideWhenUsed/>
    <w:rsid w:val="00D11D6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2485">
      <w:bodyDiv w:val="1"/>
      <w:marLeft w:val="0"/>
      <w:marRight w:val="0"/>
      <w:marTop w:val="0"/>
      <w:marBottom w:val="0"/>
      <w:divBdr>
        <w:top w:val="none" w:sz="0" w:space="0" w:color="auto"/>
        <w:left w:val="none" w:sz="0" w:space="0" w:color="auto"/>
        <w:bottom w:val="none" w:sz="0" w:space="0" w:color="auto"/>
        <w:right w:val="none" w:sz="0" w:space="0" w:color="auto"/>
      </w:divBdr>
    </w:div>
    <w:div w:id="1030650048">
      <w:bodyDiv w:val="1"/>
      <w:marLeft w:val="0"/>
      <w:marRight w:val="0"/>
      <w:marTop w:val="0"/>
      <w:marBottom w:val="0"/>
      <w:divBdr>
        <w:top w:val="none" w:sz="0" w:space="0" w:color="auto"/>
        <w:left w:val="none" w:sz="0" w:space="0" w:color="auto"/>
        <w:bottom w:val="none" w:sz="0" w:space="0" w:color="auto"/>
        <w:right w:val="none" w:sz="0" w:space="0" w:color="auto"/>
      </w:divBdr>
    </w:div>
    <w:div w:id="11936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7AAA-D41A-4348-BA58-E289B5D3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- 14/04/2020 07:29:00</dc:description>
  <cp:lastModifiedBy>Regan, Joanne</cp:lastModifiedBy>
  <cp:revision>17</cp:revision>
  <cp:lastPrinted>2012-09-20T08:14:00Z</cp:lastPrinted>
  <dcterms:created xsi:type="dcterms:W3CDTF">2022-04-19T12:34:00Z</dcterms:created>
  <dcterms:modified xsi:type="dcterms:W3CDTF">2022-05-16T10:30:00Z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2021-06-17T08:00:57Z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31caa555-7d0c-443d-a2ca-e2bbded20959</vt:lpwstr>
  </property>
  <property fmtid="{D5CDD505-2E9C-101B-9397-08002B2CF9AE}" pid="14" name="MSIP_Label_f2acd28b-79a3-4a0f-b0ff-4b75658b1549_ContentBits">
    <vt:lpwstr>0</vt:lpwstr>
  </property>
</Properties>
</file>