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21D6E" w14:textId="13C4B2BF" w:rsidR="00EF5D0E" w:rsidRDefault="00EB6B73" w:rsidP="00A81C09">
      <w:pPr>
        <w:pStyle w:val="TOC1"/>
        <w:rPr>
          <w:rFonts w:cs="Calibri"/>
          <w:color w:val="auto"/>
        </w:rPr>
        <w:sectPr w:rsidR="00EF5D0E" w:rsidSect="00602BBC">
          <w:headerReference w:type="default" r:id="rId11"/>
          <w:footerReference w:type="default" r:id="rId12"/>
          <w:pgSz w:w="16838" w:h="11906" w:orient="landscape"/>
          <w:pgMar w:top="1134" w:right="1134" w:bottom="1134" w:left="1134" w:header="708" w:footer="282" w:gutter="0"/>
          <w:cols w:space="708"/>
          <w:docGrid w:linePitch="360"/>
        </w:sectPr>
      </w:pPr>
      <w:bookmarkStart w:id="0" w:name="_Hlk150259022"/>
      <w:bookmarkEnd w:id="0"/>
      <w:r w:rsidRPr="00EB6B73">
        <w:rPr>
          <w:noProof/>
        </w:rPr>
        <w:drawing>
          <wp:anchor distT="0" distB="0" distL="114300" distR="114300" simplePos="0" relativeHeight="251658240" behindDoc="0" locked="0" layoutInCell="1" allowOverlap="1" wp14:anchorId="659ED546" wp14:editId="79EC2DD1">
            <wp:simplePos x="0" y="0"/>
            <wp:positionH relativeFrom="column">
              <wp:posOffset>57150</wp:posOffset>
            </wp:positionH>
            <wp:positionV relativeFrom="paragraph">
              <wp:posOffset>156210</wp:posOffset>
            </wp:positionV>
            <wp:extent cx="1805940" cy="777240"/>
            <wp:effectExtent l="0" t="0" r="3810" b="3810"/>
            <wp:wrapSquare wrapText="bothSides"/>
            <wp:docPr id="1256320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5940" cy="777240"/>
                    </a:xfrm>
                    <a:prstGeom prst="rect">
                      <a:avLst/>
                    </a:prstGeom>
                    <a:noFill/>
                    <a:ln>
                      <a:noFill/>
                    </a:ln>
                  </pic:spPr>
                </pic:pic>
              </a:graphicData>
            </a:graphic>
          </wp:anchor>
        </w:drawing>
      </w:r>
    </w:p>
    <w:p w14:paraId="3E12D0C0" w14:textId="10FB730A" w:rsidR="00BA1284" w:rsidRPr="00C03F4B" w:rsidRDefault="00BA1284">
      <w:pPr>
        <w:rPr>
          <w:rFonts w:ascii="Calibri" w:hAnsi="Calibri" w:cs="Calibri"/>
          <w:b/>
        </w:rPr>
      </w:pPr>
    </w:p>
    <w:p w14:paraId="7493C3A8" w14:textId="63617C2D" w:rsidR="00BA1284" w:rsidRDefault="00BA1284">
      <w:pPr>
        <w:rPr>
          <w:rFonts w:ascii="Calibri" w:hAnsi="Calibri" w:cs="Calibri"/>
          <w:b/>
        </w:rPr>
      </w:pPr>
    </w:p>
    <w:p w14:paraId="609BB74B" w14:textId="77777777" w:rsidR="00C80F6B" w:rsidRDefault="00C80F6B">
      <w:pPr>
        <w:rPr>
          <w:rFonts w:ascii="Calibri" w:hAnsi="Calibri" w:cs="Calibri"/>
          <w:b/>
        </w:rPr>
      </w:pPr>
    </w:p>
    <w:p w14:paraId="0F87B6EF" w14:textId="77777777" w:rsidR="00C80F6B" w:rsidRDefault="00C80F6B">
      <w:pPr>
        <w:rPr>
          <w:rFonts w:ascii="Calibri" w:hAnsi="Calibri" w:cs="Calibri"/>
          <w:b/>
        </w:rPr>
      </w:pPr>
    </w:p>
    <w:p w14:paraId="5BF458E0" w14:textId="77777777" w:rsidR="00C80F6B" w:rsidRDefault="00C80F6B">
      <w:pPr>
        <w:rPr>
          <w:rFonts w:ascii="Calibri" w:hAnsi="Calibri" w:cs="Calibri"/>
          <w:b/>
        </w:rPr>
      </w:pPr>
    </w:p>
    <w:p w14:paraId="570905D8" w14:textId="77777777" w:rsidR="00C80F6B" w:rsidRDefault="00C80F6B">
      <w:pPr>
        <w:rPr>
          <w:rFonts w:ascii="Calibri" w:hAnsi="Calibri" w:cs="Calibri"/>
          <w:b/>
        </w:rPr>
      </w:pPr>
    </w:p>
    <w:p w14:paraId="6E6A6187" w14:textId="77777777" w:rsidR="00C80F6B" w:rsidRDefault="00C80F6B">
      <w:pPr>
        <w:rPr>
          <w:rFonts w:ascii="Calibri" w:hAnsi="Calibri" w:cs="Calibri"/>
          <w:b/>
        </w:rPr>
      </w:pPr>
    </w:p>
    <w:p w14:paraId="7C9856E1" w14:textId="77777777" w:rsidR="00C80F6B" w:rsidRDefault="00C80F6B">
      <w:pPr>
        <w:rPr>
          <w:rFonts w:ascii="Calibri" w:hAnsi="Calibri" w:cs="Calibri"/>
          <w:b/>
        </w:rPr>
      </w:pPr>
    </w:p>
    <w:p w14:paraId="5CA14780" w14:textId="77777777" w:rsidR="00C80F6B" w:rsidRDefault="00C80F6B">
      <w:pPr>
        <w:rPr>
          <w:rFonts w:ascii="Calibri" w:hAnsi="Calibri" w:cs="Calibri"/>
          <w:b/>
        </w:rPr>
      </w:pPr>
    </w:p>
    <w:p w14:paraId="7FE69502" w14:textId="77777777" w:rsidR="00C80F6B" w:rsidRDefault="00C80F6B">
      <w:pPr>
        <w:rPr>
          <w:rFonts w:ascii="Calibri" w:hAnsi="Calibri" w:cs="Calibri"/>
          <w:b/>
        </w:rPr>
      </w:pPr>
    </w:p>
    <w:p w14:paraId="3D97FB58" w14:textId="77777777" w:rsidR="00C80F6B" w:rsidRDefault="00C80F6B">
      <w:pPr>
        <w:rPr>
          <w:rFonts w:ascii="Calibri" w:hAnsi="Calibri" w:cs="Calibri"/>
          <w:b/>
        </w:rPr>
      </w:pPr>
    </w:p>
    <w:p w14:paraId="24CB63B2" w14:textId="77777777" w:rsidR="00C80F6B" w:rsidRDefault="00C80F6B">
      <w:pPr>
        <w:rPr>
          <w:rFonts w:ascii="Calibri" w:hAnsi="Calibri" w:cs="Calibri"/>
          <w:b/>
        </w:rPr>
      </w:pPr>
    </w:p>
    <w:p w14:paraId="3B089F00" w14:textId="77777777" w:rsidR="00C80F6B" w:rsidRDefault="00C80F6B">
      <w:pPr>
        <w:rPr>
          <w:rFonts w:ascii="Calibri" w:hAnsi="Calibri" w:cs="Calibri"/>
          <w:b/>
        </w:rPr>
      </w:pPr>
    </w:p>
    <w:p w14:paraId="2BD47CB5" w14:textId="77777777" w:rsidR="00C80F6B" w:rsidRDefault="00C80F6B">
      <w:pPr>
        <w:rPr>
          <w:rFonts w:ascii="Calibri" w:hAnsi="Calibri" w:cs="Calibri"/>
          <w:b/>
        </w:rPr>
      </w:pPr>
    </w:p>
    <w:p w14:paraId="2284BA09" w14:textId="77777777" w:rsidR="00C80F6B" w:rsidRDefault="00C80F6B">
      <w:pPr>
        <w:rPr>
          <w:rFonts w:ascii="Calibri" w:hAnsi="Calibri" w:cs="Calibri"/>
          <w:b/>
        </w:rPr>
      </w:pPr>
    </w:p>
    <w:p w14:paraId="67E939A0" w14:textId="77777777" w:rsidR="00C80F6B" w:rsidRDefault="00C80F6B">
      <w:pPr>
        <w:rPr>
          <w:rFonts w:ascii="Calibri" w:hAnsi="Calibri" w:cs="Calibri"/>
          <w:b/>
        </w:rPr>
      </w:pPr>
    </w:p>
    <w:tbl>
      <w:tblPr>
        <w:tblStyle w:val="TableGrid"/>
        <w:tblpPr w:leftFromText="180" w:rightFromText="180" w:vertAnchor="text" w:horzAnchor="margin" w:tblpY="2519"/>
        <w:tblW w:w="1006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0060"/>
      </w:tblGrid>
      <w:tr w:rsidR="00C80F6B" w14:paraId="2137C7C3" w14:textId="77777777" w:rsidTr="4C8BA31E">
        <w:trPr>
          <w:trHeight w:val="340"/>
        </w:trPr>
        <w:tc>
          <w:tcPr>
            <w:tcW w:w="10060" w:type="dxa"/>
          </w:tcPr>
          <w:p w14:paraId="5A9BAC8F" w14:textId="01E0361B" w:rsidR="00C80F6B" w:rsidRPr="00300441" w:rsidRDefault="0010170B" w:rsidP="4C8BA31E">
            <w:pPr>
              <w:spacing w:before="60" w:after="60" w:line="271" w:lineRule="auto"/>
              <w:rPr>
                <w:rFonts w:ascii="Calibri" w:hAnsi="Calibri" w:cs="Calibri"/>
                <w:color w:val="163D82"/>
                <w:sz w:val="36"/>
                <w:szCs w:val="36"/>
              </w:rPr>
            </w:pPr>
            <w:bookmarkStart w:id="1" w:name="_Hlk150266816"/>
            <w:r>
              <w:rPr>
                <w:rFonts w:ascii="Calibri" w:hAnsi="Calibri" w:cs="Calibri"/>
                <w:bCs/>
                <w:color w:val="163D82"/>
                <w:sz w:val="36"/>
                <w:szCs w:val="36"/>
              </w:rPr>
              <w:t>Police and Crime Commissioner for Gwent and the Chief Constable Gwent Police</w:t>
            </w:r>
          </w:p>
        </w:tc>
      </w:tr>
      <w:tr w:rsidR="00C80F6B" w14:paraId="707354AE" w14:textId="77777777" w:rsidTr="4C8BA31E">
        <w:trPr>
          <w:trHeight w:val="340"/>
        </w:trPr>
        <w:tc>
          <w:tcPr>
            <w:tcW w:w="10060" w:type="dxa"/>
          </w:tcPr>
          <w:p w14:paraId="73F74733" w14:textId="77777777" w:rsidR="00C80F6B" w:rsidRPr="00300441" w:rsidRDefault="00C80F6B" w:rsidP="00C80F6B">
            <w:pPr>
              <w:spacing w:before="60" w:after="60" w:line="271" w:lineRule="auto"/>
              <w:rPr>
                <w:rFonts w:ascii="Calibri" w:hAnsi="Calibri" w:cs="Calibri"/>
                <w:bCs/>
                <w:color w:val="163D82"/>
                <w:sz w:val="36"/>
                <w:szCs w:val="36"/>
              </w:rPr>
            </w:pPr>
          </w:p>
        </w:tc>
      </w:tr>
      <w:tr w:rsidR="00C80F6B" w14:paraId="5C33C2FC" w14:textId="77777777" w:rsidTr="4C8BA31E">
        <w:trPr>
          <w:trHeight w:val="340"/>
        </w:trPr>
        <w:tc>
          <w:tcPr>
            <w:tcW w:w="10060" w:type="dxa"/>
          </w:tcPr>
          <w:p w14:paraId="13847972" w14:textId="55F898CE" w:rsidR="00C80F6B" w:rsidRPr="00300441" w:rsidRDefault="00C80F6B" w:rsidP="00C80F6B">
            <w:pPr>
              <w:spacing w:before="60" w:after="60" w:line="271" w:lineRule="auto"/>
              <w:rPr>
                <w:rFonts w:ascii="Calibri" w:hAnsi="Calibri" w:cs="Calibri"/>
                <w:bCs/>
                <w:color w:val="163D82"/>
                <w:sz w:val="36"/>
                <w:szCs w:val="36"/>
              </w:rPr>
            </w:pPr>
          </w:p>
        </w:tc>
      </w:tr>
      <w:tr w:rsidR="00C80F6B" w14:paraId="59761974" w14:textId="77777777" w:rsidTr="4C8BA31E">
        <w:trPr>
          <w:trHeight w:val="340"/>
        </w:trPr>
        <w:tc>
          <w:tcPr>
            <w:tcW w:w="10060" w:type="dxa"/>
            <w:shd w:val="clear" w:color="auto" w:fill="FFFFFF" w:themeFill="background1"/>
          </w:tcPr>
          <w:p w14:paraId="48CC1CB5" w14:textId="1F1E2BE7" w:rsidR="00C80F6B" w:rsidRPr="00300441" w:rsidRDefault="00E16A19" w:rsidP="00C80F6B">
            <w:pPr>
              <w:spacing w:before="60" w:after="60" w:line="271" w:lineRule="auto"/>
              <w:rPr>
                <w:rFonts w:ascii="Calibri" w:hAnsi="Calibri" w:cs="Calibri"/>
                <w:bCs/>
                <w:color w:val="163D82"/>
                <w:sz w:val="36"/>
                <w:szCs w:val="36"/>
              </w:rPr>
            </w:pPr>
            <w:r>
              <w:rPr>
                <w:rFonts w:ascii="Calibri" w:hAnsi="Calibri" w:cs="Calibri"/>
                <w:bCs/>
                <w:color w:val="163D82"/>
                <w:sz w:val="36"/>
                <w:szCs w:val="36"/>
              </w:rPr>
              <w:t>Summary</w:t>
            </w:r>
            <w:r w:rsidR="00B0427D">
              <w:rPr>
                <w:rFonts w:ascii="Calibri" w:hAnsi="Calibri" w:cs="Calibri"/>
                <w:bCs/>
                <w:color w:val="163D82"/>
                <w:sz w:val="36"/>
                <w:szCs w:val="36"/>
              </w:rPr>
              <w:t xml:space="preserve"> Internal Controls Assurance (SICA) Report</w:t>
            </w:r>
          </w:p>
        </w:tc>
      </w:tr>
      <w:tr w:rsidR="00C80F6B" w14:paraId="093246EF" w14:textId="77777777" w:rsidTr="4C8BA31E">
        <w:trPr>
          <w:trHeight w:val="340"/>
        </w:trPr>
        <w:tc>
          <w:tcPr>
            <w:tcW w:w="10060" w:type="dxa"/>
          </w:tcPr>
          <w:p w14:paraId="22BB5ED8" w14:textId="1F3C4C3C" w:rsidR="00C80F6B" w:rsidRPr="00300441" w:rsidRDefault="00C80F6B" w:rsidP="00C80F6B">
            <w:pPr>
              <w:spacing w:before="60" w:after="60" w:line="271" w:lineRule="auto"/>
              <w:rPr>
                <w:rFonts w:ascii="Calibri" w:hAnsi="Calibri" w:cs="Calibri"/>
                <w:bCs/>
                <w:color w:val="163D82"/>
                <w:sz w:val="36"/>
                <w:szCs w:val="36"/>
              </w:rPr>
            </w:pPr>
          </w:p>
        </w:tc>
      </w:tr>
      <w:tr w:rsidR="00C80F6B" w14:paraId="26858DFD" w14:textId="77777777" w:rsidTr="4C8BA31E">
        <w:trPr>
          <w:trHeight w:val="340"/>
        </w:trPr>
        <w:tc>
          <w:tcPr>
            <w:tcW w:w="10060" w:type="dxa"/>
          </w:tcPr>
          <w:p w14:paraId="75E32814" w14:textId="66C11F89" w:rsidR="00C80F6B" w:rsidRPr="00300441" w:rsidRDefault="008E7C41" w:rsidP="00C80F6B">
            <w:pPr>
              <w:spacing w:before="60" w:after="60" w:line="271" w:lineRule="auto"/>
              <w:rPr>
                <w:rFonts w:ascii="Calibri" w:hAnsi="Calibri" w:cs="Calibri"/>
                <w:bCs/>
                <w:color w:val="163D82"/>
                <w:sz w:val="36"/>
                <w:szCs w:val="36"/>
              </w:rPr>
            </w:pPr>
            <w:r>
              <w:rPr>
                <w:rFonts w:ascii="Calibri" w:hAnsi="Calibri" w:cs="Calibri"/>
                <w:color w:val="163D82"/>
                <w:sz w:val="36"/>
                <w:szCs w:val="36"/>
              </w:rPr>
              <w:t>September</w:t>
            </w:r>
            <w:r w:rsidRPr="4C8BA31E">
              <w:rPr>
                <w:rFonts w:ascii="Calibri" w:hAnsi="Calibri" w:cs="Calibri"/>
                <w:color w:val="163D82"/>
                <w:sz w:val="36"/>
                <w:szCs w:val="36"/>
              </w:rPr>
              <w:t xml:space="preserve"> 202</w:t>
            </w:r>
            <w:r>
              <w:rPr>
                <w:rFonts w:ascii="Calibri" w:hAnsi="Calibri" w:cs="Calibri"/>
                <w:color w:val="163D82"/>
                <w:sz w:val="36"/>
                <w:szCs w:val="36"/>
              </w:rPr>
              <w:t>6</w:t>
            </w:r>
          </w:p>
        </w:tc>
      </w:tr>
      <w:tr w:rsidR="00C80F6B" w14:paraId="0E2B3E53" w14:textId="77777777" w:rsidTr="4C8BA31E">
        <w:trPr>
          <w:trHeight w:val="340"/>
        </w:trPr>
        <w:tc>
          <w:tcPr>
            <w:tcW w:w="10060" w:type="dxa"/>
          </w:tcPr>
          <w:p w14:paraId="6CA4ED29" w14:textId="403FD41F" w:rsidR="00C80F6B" w:rsidRPr="00300441" w:rsidRDefault="00C80F6B" w:rsidP="00C80F6B">
            <w:pPr>
              <w:spacing w:before="60" w:after="60" w:line="271" w:lineRule="auto"/>
              <w:rPr>
                <w:rFonts w:ascii="Calibri" w:hAnsi="Calibri" w:cs="Calibri"/>
                <w:bCs/>
                <w:color w:val="163D82"/>
                <w:sz w:val="36"/>
                <w:szCs w:val="36"/>
              </w:rPr>
            </w:pPr>
          </w:p>
        </w:tc>
      </w:tr>
      <w:tr w:rsidR="00C80F6B" w14:paraId="2695BE7B" w14:textId="77777777" w:rsidTr="4C8BA31E">
        <w:trPr>
          <w:trHeight w:val="340"/>
        </w:trPr>
        <w:tc>
          <w:tcPr>
            <w:tcW w:w="10060" w:type="dxa"/>
          </w:tcPr>
          <w:p w14:paraId="7F20C0EA" w14:textId="306F0E25" w:rsidR="00C80F6B" w:rsidRPr="00300441" w:rsidRDefault="008E7C41" w:rsidP="4C8BA31E">
            <w:pPr>
              <w:spacing w:before="60" w:after="60" w:line="271" w:lineRule="auto"/>
              <w:rPr>
                <w:rFonts w:ascii="Calibri" w:hAnsi="Calibri" w:cs="Calibri"/>
                <w:color w:val="163D82"/>
                <w:sz w:val="36"/>
                <w:szCs w:val="36"/>
              </w:rPr>
            </w:pPr>
            <w:r>
              <w:rPr>
                <w:rFonts w:ascii="Calibri" w:hAnsi="Calibri" w:cs="Calibri"/>
                <w:color w:val="163D82"/>
                <w:sz w:val="36"/>
                <w:szCs w:val="36"/>
              </w:rPr>
              <w:t>Final</w:t>
            </w:r>
          </w:p>
        </w:tc>
      </w:tr>
      <w:tr w:rsidR="00C80F6B" w14:paraId="3174257A" w14:textId="77777777" w:rsidTr="4C8BA31E">
        <w:trPr>
          <w:trHeight w:val="340"/>
        </w:trPr>
        <w:tc>
          <w:tcPr>
            <w:tcW w:w="10060" w:type="dxa"/>
          </w:tcPr>
          <w:p w14:paraId="59B936B2" w14:textId="77777777" w:rsidR="00C80F6B" w:rsidRPr="00300441" w:rsidRDefault="00C80F6B" w:rsidP="00C80F6B">
            <w:pPr>
              <w:spacing w:before="60" w:after="60" w:line="271" w:lineRule="auto"/>
              <w:rPr>
                <w:rFonts w:ascii="Calibri" w:hAnsi="Calibri" w:cs="Calibri"/>
                <w:bCs/>
                <w:color w:val="163D82"/>
                <w:sz w:val="36"/>
                <w:szCs w:val="36"/>
              </w:rPr>
            </w:pPr>
          </w:p>
        </w:tc>
      </w:tr>
      <w:tr w:rsidR="00C80F6B" w14:paraId="43CAD3BD" w14:textId="77777777" w:rsidTr="4C8BA31E">
        <w:trPr>
          <w:trHeight w:val="340"/>
        </w:trPr>
        <w:tc>
          <w:tcPr>
            <w:tcW w:w="10060" w:type="dxa"/>
          </w:tcPr>
          <w:p w14:paraId="4FCE98DA" w14:textId="19E3BD30" w:rsidR="00C80F6B" w:rsidRPr="00300441" w:rsidRDefault="00C80F6B" w:rsidP="4C8BA31E">
            <w:pPr>
              <w:spacing w:before="60" w:after="60" w:line="271" w:lineRule="auto"/>
              <w:rPr>
                <w:rFonts w:ascii="Calibri" w:hAnsi="Calibri" w:cs="Calibri"/>
                <w:color w:val="163D82"/>
                <w:sz w:val="36"/>
                <w:szCs w:val="36"/>
              </w:rPr>
            </w:pPr>
          </w:p>
        </w:tc>
      </w:tr>
      <w:bookmarkEnd w:id="1"/>
    </w:tbl>
    <w:p w14:paraId="40A05DA5" w14:textId="77777777" w:rsidR="00C80F6B" w:rsidRDefault="00C80F6B">
      <w:pPr>
        <w:rPr>
          <w:rFonts w:ascii="Calibri" w:hAnsi="Calibri" w:cs="Calibri"/>
          <w:b/>
        </w:rPr>
      </w:pPr>
    </w:p>
    <w:p w14:paraId="11633443" w14:textId="77777777" w:rsidR="00C80F6B" w:rsidRPr="00C03F4B" w:rsidRDefault="00C80F6B">
      <w:pPr>
        <w:rPr>
          <w:rFonts w:ascii="Calibri" w:hAnsi="Calibri" w:cs="Calibri"/>
          <w:b/>
        </w:rPr>
      </w:pPr>
    </w:p>
    <w:p w14:paraId="3EBA0240" w14:textId="00F52EC4" w:rsidR="00BA1284" w:rsidRPr="00C03F4B" w:rsidRDefault="00BA1284">
      <w:pPr>
        <w:rPr>
          <w:rFonts w:ascii="Calibri" w:hAnsi="Calibri" w:cs="Calibri"/>
          <w:b/>
        </w:rPr>
      </w:pPr>
    </w:p>
    <w:p w14:paraId="590FBCB0" w14:textId="77777777" w:rsidR="00BA1284" w:rsidRPr="00C03F4B" w:rsidRDefault="00BA1284">
      <w:pPr>
        <w:rPr>
          <w:rFonts w:ascii="Calibri" w:hAnsi="Calibri" w:cs="Calibri"/>
          <w:b/>
        </w:rPr>
      </w:pPr>
    </w:p>
    <w:p w14:paraId="4FFBEA74" w14:textId="77777777" w:rsidR="006A4D62" w:rsidRPr="00C03F4B" w:rsidRDefault="006A4D62">
      <w:pPr>
        <w:rPr>
          <w:rFonts w:ascii="Calibri" w:hAnsi="Calibri" w:cs="Calibri"/>
          <w:b/>
        </w:rPr>
      </w:pPr>
    </w:p>
    <w:p w14:paraId="60D062E6" w14:textId="04944C13" w:rsidR="007C778A" w:rsidRPr="00C03F4B" w:rsidRDefault="007C778A">
      <w:pPr>
        <w:rPr>
          <w:rFonts w:ascii="Calibri" w:hAnsi="Calibri" w:cs="Calibri"/>
        </w:rPr>
      </w:pPr>
      <w:r w:rsidRPr="00C03F4B">
        <w:rPr>
          <w:rFonts w:ascii="Calibri" w:hAnsi="Calibri" w:cs="Calibri"/>
          <w:b/>
        </w:rPr>
        <w:br w:type="page"/>
      </w:r>
    </w:p>
    <w:p w14:paraId="28BE630D" w14:textId="77777777" w:rsidR="007C6376" w:rsidRDefault="007C6376" w:rsidP="007F249A">
      <w:pPr>
        <w:pStyle w:val="TIAAHeadingOne"/>
        <w:numPr>
          <w:ilvl w:val="0"/>
          <w:numId w:val="20"/>
        </w:numPr>
        <w:spacing w:before="144" w:after="144"/>
        <w:jc w:val="left"/>
        <w:rPr>
          <w:rFonts w:cs="Calibri"/>
          <w:b w:val="0"/>
          <w:color w:val="163D82"/>
          <w:sz w:val="52"/>
          <w:lang w:eastAsia="en-GB"/>
        </w:rPr>
        <w:sectPr w:rsidR="007C6376" w:rsidSect="00602BBC">
          <w:footerReference w:type="default" r:id="rId14"/>
          <w:type w:val="continuous"/>
          <w:pgSz w:w="16838" w:h="11906" w:orient="landscape"/>
          <w:pgMar w:top="1134" w:right="1134" w:bottom="1134" w:left="1134" w:header="709" w:footer="284" w:gutter="0"/>
          <w:cols w:num="3" w:space="708"/>
          <w:docGrid w:linePitch="360"/>
        </w:sectPr>
      </w:pPr>
    </w:p>
    <w:tbl>
      <w:tblPr>
        <w:tblW w:w="5000" w:type="pct"/>
        <w:tblBorders>
          <w:bottom w:val="single" w:sz="36" w:space="0" w:color="163D82"/>
        </w:tblBorders>
        <w:tblLook w:val="04A0" w:firstRow="1" w:lastRow="0" w:firstColumn="1" w:lastColumn="0" w:noHBand="0" w:noVBand="1"/>
      </w:tblPr>
      <w:tblGrid>
        <w:gridCol w:w="14570"/>
      </w:tblGrid>
      <w:tr w:rsidR="00A81C09" w:rsidRPr="00C03F4B" w14:paraId="2C3AE9A1" w14:textId="77777777" w:rsidTr="00A32903">
        <w:trPr>
          <w:trHeight w:val="60"/>
        </w:trPr>
        <w:tc>
          <w:tcPr>
            <w:tcW w:w="5000" w:type="pct"/>
            <w:tcBorders>
              <w:bottom w:val="single" w:sz="36" w:space="0" w:color="50B9A9"/>
            </w:tcBorders>
          </w:tcPr>
          <w:p w14:paraId="43584424" w14:textId="4E0EAE12" w:rsidR="00A81C09" w:rsidRPr="00300441" w:rsidRDefault="00AF1A19" w:rsidP="00A32903">
            <w:pPr>
              <w:pStyle w:val="TIAAHeadingOne"/>
              <w:spacing w:before="144" w:after="144"/>
              <w:jc w:val="left"/>
              <w:rPr>
                <w:rFonts w:cs="Calibri"/>
                <w:b w:val="0"/>
                <w:color w:val="163D82"/>
                <w:sz w:val="36"/>
                <w:szCs w:val="36"/>
                <w:lang w:eastAsia="en-GB"/>
              </w:rPr>
            </w:pPr>
            <w:bookmarkStart w:id="2" w:name="_Hlk146009115"/>
            <w:r>
              <w:rPr>
                <w:rFonts w:cs="Calibri"/>
                <w:b w:val="0"/>
                <w:color w:val="163D82"/>
                <w:sz w:val="36"/>
                <w:szCs w:val="36"/>
                <w:lang w:eastAsia="en-GB"/>
              </w:rPr>
              <w:lastRenderedPageBreak/>
              <w:t>Summary Internal Controls Assurance</w:t>
            </w:r>
          </w:p>
        </w:tc>
      </w:tr>
      <w:bookmarkEnd w:id="2"/>
    </w:tbl>
    <w:p w14:paraId="2AEAC343" w14:textId="77777777" w:rsidR="007C6376" w:rsidRDefault="007C6376" w:rsidP="006A4D62">
      <w:pPr>
        <w:rPr>
          <w:rFonts w:ascii="Calibri" w:eastAsia="Arial" w:hAnsi="Calibri" w:cs="Calibri"/>
          <w:sz w:val="18"/>
          <w:szCs w:val="18"/>
        </w:rPr>
        <w:sectPr w:rsidR="007C6376" w:rsidSect="00602BBC">
          <w:headerReference w:type="default" r:id="rId15"/>
          <w:footerReference w:type="default" r:id="rId16"/>
          <w:type w:val="continuous"/>
          <w:pgSz w:w="16838" w:h="11906" w:orient="landscape"/>
          <w:pgMar w:top="1134" w:right="1134" w:bottom="1134" w:left="1134" w:header="708" w:footer="282" w:gutter="0"/>
          <w:pgNumType w:start="1"/>
          <w:cols w:space="708"/>
          <w:docGrid w:linePitch="360"/>
        </w:sectPr>
      </w:pPr>
    </w:p>
    <w:p w14:paraId="5254B4C0" w14:textId="77777777" w:rsidR="00E16A19" w:rsidRPr="008E7C41" w:rsidRDefault="00E16A19" w:rsidP="008E7C41">
      <w:pPr>
        <w:spacing w:before="120" w:after="120" w:line="271" w:lineRule="auto"/>
        <w:rPr>
          <w:rFonts w:asciiTheme="minorHAnsi" w:hAnsiTheme="minorHAnsi" w:cstheme="minorHAnsi"/>
          <w:b/>
          <w:bCs/>
          <w:color w:val="163D82"/>
          <w:sz w:val="20"/>
        </w:rPr>
      </w:pPr>
      <w:r w:rsidRPr="008E7C41">
        <w:rPr>
          <w:rFonts w:asciiTheme="minorHAnsi" w:hAnsiTheme="minorHAnsi" w:cstheme="minorHAnsi"/>
          <w:b/>
          <w:bCs/>
          <w:color w:val="163D82"/>
          <w:sz w:val="20"/>
        </w:rPr>
        <w:t>Introduction</w:t>
      </w:r>
    </w:p>
    <w:p w14:paraId="7CF7E143" w14:textId="444261FA" w:rsidR="00ED1D4C" w:rsidRPr="008E7C41" w:rsidRDefault="00E16A19" w:rsidP="008E7C41">
      <w:pPr>
        <w:numPr>
          <w:ilvl w:val="0"/>
          <w:numId w:val="21"/>
        </w:numPr>
        <w:spacing w:before="120" w:after="120" w:line="271" w:lineRule="auto"/>
        <w:ind w:left="709" w:hanging="709"/>
        <w:rPr>
          <w:rFonts w:asciiTheme="minorHAnsi" w:eastAsia="Calibri" w:hAnsiTheme="minorHAnsi" w:cstheme="minorHAnsi"/>
          <w:sz w:val="20"/>
        </w:rPr>
      </w:pPr>
      <w:r w:rsidRPr="008E7C41">
        <w:rPr>
          <w:rFonts w:asciiTheme="minorHAnsi" w:eastAsia="Calibri" w:hAnsiTheme="minorHAnsi" w:cstheme="minorHAnsi"/>
          <w:sz w:val="20"/>
        </w:rPr>
        <w:t xml:space="preserve">This summary controls assurance report provides the </w:t>
      </w:r>
      <w:r w:rsidR="00945D4A" w:rsidRPr="008E7C41">
        <w:rPr>
          <w:rFonts w:asciiTheme="minorHAnsi" w:eastAsia="Calibri" w:hAnsiTheme="minorHAnsi" w:cstheme="minorHAnsi"/>
          <w:sz w:val="20"/>
        </w:rPr>
        <w:t>Joint Audit Committee</w:t>
      </w:r>
      <w:r w:rsidRPr="008E7C41">
        <w:rPr>
          <w:rFonts w:asciiTheme="minorHAnsi" w:eastAsia="Calibri" w:hAnsiTheme="minorHAnsi" w:cstheme="minorHAnsi"/>
          <w:sz w:val="20"/>
        </w:rPr>
        <w:t xml:space="preserve"> with an update on the emerging Governance, Risk and Internal Control related issues and the progress of our work </w:t>
      </w:r>
      <w:r w:rsidR="724F17D1" w:rsidRPr="008E7C41">
        <w:rPr>
          <w:rFonts w:asciiTheme="minorHAnsi" w:eastAsia="Calibri" w:hAnsiTheme="minorHAnsi" w:cstheme="minorHAnsi"/>
          <w:sz w:val="20"/>
        </w:rPr>
        <w:t>for</w:t>
      </w:r>
      <w:r w:rsidR="00CD32FB" w:rsidRPr="008E7C41">
        <w:rPr>
          <w:rFonts w:asciiTheme="minorHAnsi" w:eastAsia="Calibri" w:hAnsiTheme="minorHAnsi" w:cstheme="minorHAnsi"/>
          <w:sz w:val="20"/>
        </w:rPr>
        <w:t xml:space="preserve"> Gwent Police</w:t>
      </w:r>
      <w:r w:rsidR="00563EB1" w:rsidRPr="008E7C41">
        <w:rPr>
          <w:rFonts w:asciiTheme="minorHAnsi" w:eastAsia="Calibri" w:hAnsiTheme="minorHAnsi" w:cstheme="minorHAnsi"/>
          <w:sz w:val="20"/>
        </w:rPr>
        <w:t xml:space="preserve"> </w:t>
      </w:r>
      <w:r w:rsidR="724F17D1" w:rsidRPr="008E7C41">
        <w:rPr>
          <w:rFonts w:asciiTheme="minorHAnsi" w:eastAsia="Calibri" w:hAnsiTheme="minorHAnsi" w:cstheme="minorHAnsi"/>
          <w:sz w:val="20"/>
        </w:rPr>
        <w:t>as</w:t>
      </w:r>
      <w:r w:rsidRPr="008E7C41">
        <w:rPr>
          <w:rFonts w:asciiTheme="minorHAnsi" w:eastAsia="Calibri" w:hAnsiTheme="minorHAnsi" w:cstheme="minorHAnsi"/>
          <w:sz w:val="20"/>
        </w:rPr>
        <w:t xml:space="preserve"> </w:t>
      </w:r>
      <w:bookmarkStart w:id="3" w:name="_Int_H8VJK0ze"/>
      <w:proofErr w:type="gramStart"/>
      <w:r w:rsidRPr="008E7C41">
        <w:rPr>
          <w:rFonts w:asciiTheme="minorHAnsi" w:eastAsia="Calibri" w:hAnsiTheme="minorHAnsi" w:cstheme="minorHAnsi"/>
          <w:sz w:val="20"/>
        </w:rPr>
        <w:t>at</w:t>
      </w:r>
      <w:bookmarkEnd w:id="3"/>
      <w:proofErr w:type="gramEnd"/>
      <w:r w:rsidRPr="008E7C41">
        <w:rPr>
          <w:rFonts w:asciiTheme="minorHAnsi" w:eastAsia="Calibri" w:hAnsiTheme="minorHAnsi" w:cstheme="minorHAnsi"/>
          <w:sz w:val="20"/>
        </w:rPr>
        <w:t xml:space="preserve"> </w:t>
      </w:r>
      <w:r w:rsidR="00060C23" w:rsidRPr="008E7C41">
        <w:rPr>
          <w:rFonts w:asciiTheme="minorHAnsi" w:eastAsia="Calibri" w:hAnsiTheme="minorHAnsi" w:cstheme="minorHAnsi"/>
          <w:sz w:val="20"/>
        </w:rPr>
        <w:t>7</w:t>
      </w:r>
      <w:r w:rsidR="00060C23" w:rsidRPr="008E7C41">
        <w:rPr>
          <w:rFonts w:asciiTheme="minorHAnsi" w:eastAsia="Calibri" w:hAnsiTheme="minorHAnsi" w:cstheme="minorHAnsi"/>
          <w:sz w:val="20"/>
          <w:vertAlign w:val="superscript"/>
        </w:rPr>
        <w:t>th</w:t>
      </w:r>
      <w:r w:rsidR="00060C23" w:rsidRPr="008E7C41">
        <w:rPr>
          <w:rFonts w:asciiTheme="minorHAnsi" w:eastAsia="Calibri" w:hAnsiTheme="minorHAnsi" w:cstheme="minorHAnsi"/>
          <w:sz w:val="20"/>
        </w:rPr>
        <w:t xml:space="preserve"> </w:t>
      </w:r>
      <w:r w:rsidR="00982946" w:rsidRPr="008E7C41">
        <w:rPr>
          <w:rFonts w:asciiTheme="minorHAnsi" w:eastAsia="Calibri" w:hAnsiTheme="minorHAnsi" w:cstheme="minorHAnsi"/>
          <w:sz w:val="20"/>
        </w:rPr>
        <w:t>September</w:t>
      </w:r>
      <w:r w:rsidR="00036296" w:rsidRPr="008E7C41">
        <w:rPr>
          <w:rFonts w:asciiTheme="minorHAnsi" w:eastAsia="Calibri" w:hAnsiTheme="minorHAnsi" w:cstheme="minorHAnsi"/>
          <w:sz w:val="20"/>
        </w:rPr>
        <w:t xml:space="preserve"> </w:t>
      </w:r>
      <w:r w:rsidR="191A84A7" w:rsidRPr="008E7C41">
        <w:rPr>
          <w:rFonts w:asciiTheme="minorHAnsi" w:eastAsia="Calibri" w:hAnsiTheme="minorHAnsi" w:cstheme="minorHAnsi"/>
          <w:sz w:val="20"/>
        </w:rPr>
        <w:t>202</w:t>
      </w:r>
      <w:r w:rsidR="00541FA2" w:rsidRPr="008E7C41">
        <w:rPr>
          <w:rFonts w:asciiTheme="minorHAnsi" w:eastAsia="Calibri" w:hAnsiTheme="minorHAnsi" w:cstheme="minorHAnsi"/>
          <w:sz w:val="20"/>
        </w:rPr>
        <w:t>6</w:t>
      </w:r>
      <w:r w:rsidRPr="008E7C41">
        <w:rPr>
          <w:rFonts w:asciiTheme="minorHAnsi" w:eastAsia="Calibri" w:hAnsiTheme="minorHAnsi" w:cstheme="minorHAnsi"/>
          <w:sz w:val="20"/>
        </w:rPr>
        <w:t>.</w:t>
      </w:r>
    </w:p>
    <w:p w14:paraId="27AE8315" w14:textId="77777777" w:rsidR="00072574" w:rsidRPr="008E7C41" w:rsidRDefault="00072574" w:rsidP="008E7C41">
      <w:pPr>
        <w:autoSpaceDE w:val="0"/>
        <w:autoSpaceDN w:val="0"/>
        <w:adjustRightInd w:val="0"/>
        <w:spacing w:before="120" w:after="120" w:line="271" w:lineRule="auto"/>
        <w:rPr>
          <w:rFonts w:asciiTheme="minorHAnsi" w:hAnsiTheme="minorHAnsi" w:cstheme="minorHAnsi"/>
          <w:color w:val="000000"/>
          <w:sz w:val="20"/>
        </w:rPr>
      </w:pPr>
      <w:r w:rsidRPr="008E7C41">
        <w:rPr>
          <w:rFonts w:asciiTheme="minorHAnsi" w:hAnsiTheme="minorHAnsi" w:cstheme="minorHAnsi"/>
          <w:b/>
          <w:color w:val="163D82"/>
          <w:sz w:val="20"/>
        </w:rPr>
        <w:t>How can Boards and Committees gain assurance that HR investigations are being conducted effectively?</w:t>
      </w:r>
    </w:p>
    <w:p w14:paraId="6CE78CBA" w14:textId="77777777" w:rsidR="00072574" w:rsidRPr="008E7C41" w:rsidRDefault="00072574" w:rsidP="008E7C41">
      <w:pPr>
        <w:numPr>
          <w:ilvl w:val="0"/>
          <w:numId w:val="21"/>
        </w:numPr>
        <w:autoSpaceDE w:val="0"/>
        <w:autoSpaceDN w:val="0"/>
        <w:adjustRightInd w:val="0"/>
        <w:spacing w:before="120" w:after="120" w:line="271" w:lineRule="auto"/>
        <w:ind w:left="709" w:hanging="709"/>
        <w:rPr>
          <w:rFonts w:asciiTheme="minorHAnsi" w:hAnsiTheme="minorHAnsi" w:cstheme="minorHAnsi"/>
          <w:color w:val="000000"/>
          <w:sz w:val="20"/>
        </w:rPr>
      </w:pPr>
      <w:r w:rsidRPr="008E7C41">
        <w:rPr>
          <w:rFonts w:asciiTheme="minorHAnsi" w:hAnsiTheme="minorHAnsi" w:cstheme="minorHAnsi"/>
          <w:color w:val="242424"/>
          <w:sz w:val="20"/>
          <w:bdr w:val="none" w:sz="0" w:space="0" w:color="auto" w:frame="1"/>
          <w:lang w:eastAsia="en-GB"/>
        </w:rPr>
        <w:t>H</w:t>
      </w:r>
      <w:r w:rsidRPr="008E7C41">
        <w:rPr>
          <w:rFonts w:asciiTheme="minorHAnsi" w:eastAsia="Aptos" w:hAnsiTheme="minorHAnsi" w:cstheme="minorHAnsi"/>
          <w:sz w:val="20"/>
          <w14:ligatures w14:val="standardContextual"/>
        </w:rPr>
        <w:t>R investigations are more than an employee relations activity. When conducted poorly, weaknesses in evidence gathering, independence or process can turn a relatively minor issue into a significant organisational risk, creating potential legal, reputational and governance challenges. Boards and Committees therefore need assurance that investigation frameworks are robust, consistent and capable of delivering fair, evidence-based outcomes. There is also a strong connection between investigations and organisational culture. Culture influences whether concerns are reported, the quality of information provided during an investigation, and whether employees trust the outcome. Patterns such as repeated grievances, bullying complaints, low whistleblowing activity or frequent challenges to investigation findings may indicate wider cultural issues that require attention. From a governance perspective, the focus should, therefore, not be on individual cases, but on whether investigations are conducted independently, evidence is managed appropriately, quality assurance is in place, and lessons learned are being used to address recurring risks.</w:t>
      </w:r>
    </w:p>
    <w:p w14:paraId="0A0E9C15" w14:textId="77777777" w:rsidR="00072574" w:rsidRPr="008E7C41" w:rsidRDefault="00072574" w:rsidP="008E7C41">
      <w:pPr>
        <w:spacing w:before="120" w:after="120" w:line="268" w:lineRule="auto"/>
        <w:ind w:left="720"/>
        <w:rPr>
          <w:rFonts w:asciiTheme="minorHAnsi" w:eastAsia="Aptos" w:hAnsiTheme="minorHAnsi" w:cstheme="minorHAnsi"/>
          <w:sz w:val="20"/>
          <w14:ligatures w14:val="standardContextual"/>
        </w:rPr>
      </w:pPr>
      <w:r w:rsidRPr="008E7C41">
        <w:rPr>
          <w:rFonts w:asciiTheme="minorHAnsi" w:eastAsia="Aptos" w:hAnsiTheme="minorHAnsi" w:cstheme="minorHAnsi"/>
          <w:sz w:val="20"/>
          <w14:ligatures w14:val="standardContextual"/>
        </w:rPr>
        <w:t>While individual HR cases may not warrant Board attention, weaknesses in the overall investigation framework can quickly become a strategic concern. Rather than focusing on individual cases, Boards and Committees should seek assurance that the investigation process itself is effective.</w:t>
      </w:r>
    </w:p>
    <w:p w14:paraId="6D86834E" w14:textId="77777777" w:rsidR="00072574" w:rsidRPr="008E7C41" w:rsidRDefault="00072574" w:rsidP="008E7C41">
      <w:pPr>
        <w:spacing w:before="120" w:after="120" w:line="268" w:lineRule="auto"/>
        <w:ind w:left="720"/>
        <w:rPr>
          <w:rFonts w:asciiTheme="minorHAnsi" w:eastAsia="Aptos" w:hAnsiTheme="minorHAnsi" w:cstheme="minorHAnsi"/>
          <w:sz w:val="20"/>
          <w14:ligatures w14:val="standardContextual"/>
        </w:rPr>
      </w:pPr>
      <w:r w:rsidRPr="008E7C41">
        <w:rPr>
          <w:rFonts w:asciiTheme="minorHAnsi" w:eastAsia="Aptos" w:hAnsiTheme="minorHAnsi" w:cstheme="minorHAnsi"/>
          <w:sz w:val="20"/>
          <w14:ligatures w14:val="standardContextual"/>
        </w:rPr>
        <w:t>Key questions should include:</w:t>
      </w:r>
    </w:p>
    <w:p w14:paraId="5C683195" w14:textId="77777777" w:rsidR="00072574" w:rsidRPr="008E7C41" w:rsidRDefault="00072574" w:rsidP="008E7C41">
      <w:pPr>
        <w:numPr>
          <w:ilvl w:val="0"/>
          <w:numId w:val="25"/>
        </w:numPr>
        <w:shd w:val="clear" w:color="auto" w:fill="FFFFFF"/>
        <w:spacing w:after="20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Is the investigation framework robust and consistently applied?</w:t>
      </w:r>
    </w:p>
    <w:p w14:paraId="244310D9" w14:textId="77777777" w:rsidR="00072574" w:rsidRPr="008E7C41" w:rsidRDefault="00072574" w:rsidP="008E7C41">
      <w:pPr>
        <w:numPr>
          <w:ilvl w:val="0"/>
          <w:numId w:val="25"/>
        </w:numPr>
        <w:shd w:val="clear" w:color="auto" w:fill="FFFFFF"/>
        <w:spacing w:after="20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Are investigations conducted independently and impartially?</w:t>
      </w:r>
    </w:p>
    <w:p w14:paraId="3BEA2801" w14:textId="77777777" w:rsidR="00072574" w:rsidRPr="008E7C41" w:rsidRDefault="00072574" w:rsidP="008E7C41">
      <w:pPr>
        <w:numPr>
          <w:ilvl w:val="0"/>
          <w:numId w:val="25"/>
        </w:numPr>
        <w:shd w:val="clear" w:color="auto" w:fill="FFFFFF"/>
        <w:spacing w:after="20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Is evidence gathered, managed and assessed appropriately?</w:t>
      </w:r>
    </w:p>
    <w:p w14:paraId="210D79AB" w14:textId="77777777" w:rsidR="00072574" w:rsidRPr="008E7C41" w:rsidRDefault="00072574" w:rsidP="008E7C41">
      <w:pPr>
        <w:numPr>
          <w:ilvl w:val="0"/>
          <w:numId w:val="25"/>
        </w:numPr>
        <w:shd w:val="clear" w:color="auto" w:fill="FFFFFF"/>
        <w:spacing w:after="20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Is quality assurance in place throughout the process?</w:t>
      </w:r>
    </w:p>
    <w:p w14:paraId="1D015DA7" w14:textId="77777777" w:rsidR="00072574" w:rsidRPr="008E7C41" w:rsidRDefault="00072574" w:rsidP="008E7C41">
      <w:pPr>
        <w:numPr>
          <w:ilvl w:val="0"/>
          <w:numId w:val="25"/>
        </w:numPr>
        <w:shd w:val="clear" w:color="auto" w:fill="FFFFFF"/>
        <w:spacing w:after="20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Are recurring themes and risks identified and addressed?</w:t>
      </w:r>
    </w:p>
    <w:p w14:paraId="5872A2EA" w14:textId="77777777" w:rsidR="00072574" w:rsidRPr="008E7C41" w:rsidRDefault="00072574" w:rsidP="008E7C41">
      <w:pPr>
        <w:numPr>
          <w:ilvl w:val="0"/>
          <w:numId w:val="25"/>
        </w:numPr>
        <w:shd w:val="clear" w:color="auto" w:fill="FFFFFF"/>
        <w:spacing w:after="20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Is management learning from investigation outcomes?</w:t>
      </w:r>
    </w:p>
    <w:p w14:paraId="40E0BD48" w14:textId="77777777" w:rsidR="00072574" w:rsidRPr="008E7C41" w:rsidRDefault="00072574" w:rsidP="008E7C41">
      <w:pPr>
        <w:shd w:val="clear" w:color="auto" w:fill="FFFFFF"/>
        <w:ind w:left="720"/>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Ultimately, Boards need confidence that concerns are being investigated fairly, consistently and effectively, and that underlying risks are being recognised and managed.</w:t>
      </w:r>
    </w:p>
    <w:p w14:paraId="08CA3792" w14:textId="77777777" w:rsidR="00072574" w:rsidRPr="008E7C41" w:rsidRDefault="00072574" w:rsidP="008E7C41">
      <w:pPr>
        <w:shd w:val="clear" w:color="auto" w:fill="FFFFFF"/>
        <w:rPr>
          <w:rFonts w:asciiTheme="minorHAnsi" w:hAnsiTheme="minorHAnsi" w:cstheme="minorHAnsi"/>
          <w:color w:val="242424"/>
          <w:sz w:val="20"/>
          <w:lang w:eastAsia="en-GB"/>
        </w:rPr>
      </w:pPr>
      <w:r w:rsidRPr="008E7C41">
        <w:rPr>
          <w:rFonts w:asciiTheme="minorHAnsi" w:hAnsiTheme="minorHAnsi" w:cstheme="minorHAnsi"/>
          <w:color w:val="242424"/>
          <w:sz w:val="20"/>
          <w:bdr w:val="none" w:sz="0" w:space="0" w:color="auto" w:frame="1"/>
          <w:lang w:eastAsia="en-GB"/>
        </w:rPr>
        <w:t> </w:t>
      </w:r>
    </w:p>
    <w:p w14:paraId="50C2894C" w14:textId="77777777" w:rsidR="00072574" w:rsidRPr="008E7C41" w:rsidRDefault="00072574" w:rsidP="008E7C41">
      <w:pPr>
        <w:spacing w:before="120" w:after="120" w:line="271" w:lineRule="auto"/>
        <w:ind w:left="709"/>
        <w:rPr>
          <w:rFonts w:asciiTheme="minorHAnsi" w:eastAsia="Calibri" w:hAnsiTheme="minorHAnsi" w:cstheme="minorHAnsi"/>
          <w:b/>
          <w:bCs/>
          <w:sz w:val="20"/>
          <w:szCs w:val="22"/>
        </w:rPr>
      </w:pPr>
      <w:r w:rsidRPr="008E7C41">
        <w:rPr>
          <w:rFonts w:asciiTheme="minorHAnsi" w:hAnsiTheme="minorHAnsi" w:cstheme="minorHAnsi"/>
          <w:color w:val="242424"/>
          <w:sz w:val="20"/>
          <w:bdr w:val="none" w:sz="0" w:space="0" w:color="auto" w:frame="1"/>
          <w:lang w:eastAsia="en-GB"/>
        </w:rPr>
        <w:t>Find out how we can help @ </w:t>
      </w:r>
      <w:hyperlink r:id="rId17" w:tooltip="Original URL: https://d31j3n04.eu1.hs-sales-engage.com/Ctc/GG+23284/d31j3N04/Jll8VMXNW7YbdcM6lZ3m2W8tMNXR4Bg9XKW8wCsMB3NHJMlW84CLhl7w5nfRW6lw5n32pPmc4W7mTfP23lGQdbW71MX9J9bqJrFW436Wch3vgb_CVCdmDB59zg1nW78K9tH47yT3ZV3x9mZ965_TkW2h3KB574JXrBW5y_7HC4jt-CbW4v" w:history="1">
        <w:r w:rsidRPr="008E7C41">
          <w:rPr>
            <w:rFonts w:asciiTheme="minorHAnsi" w:hAnsiTheme="minorHAnsi" w:cstheme="minorHAnsi"/>
            <w:color w:val="0000FF"/>
            <w:sz w:val="20"/>
            <w:u w:val="single"/>
            <w:bdr w:val="none" w:sz="0" w:space="0" w:color="auto" w:frame="1"/>
            <w:lang w:eastAsia="en-GB"/>
          </w:rPr>
          <w:t>HR Investigations | Our Services | TIAA</w:t>
        </w:r>
      </w:hyperlink>
    </w:p>
    <w:p w14:paraId="5E87FDEA" w14:textId="3EF35277" w:rsidR="00E16A19" w:rsidRPr="00E16A19" w:rsidRDefault="00E16A19" w:rsidP="00E16A19">
      <w:pPr>
        <w:spacing w:before="120" w:after="120" w:line="271" w:lineRule="auto"/>
        <w:rPr>
          <w:rFonts w:asciiTheme="minorHAnsi" w:hAnsiTheme="minorHAnsi" w:cstheme="minorHAnsi"/>
          <w:b/>
          <w:color w:val="163D82"/>
          <w:sz w:val="20"/>
          <w:szCs w:val="22"/>
        </w:rPr>
      </w:pPr>
      <w:r w:rsidRPr="00E16A19">
        <w:rPr>
          <w:rFonts w:asciiTheme="minorHAnsi" w:hAnsiTheme="minorHAnsi" w:cstheme="minorHAnsi"/>
          <w:b/>
          <w:color w:val="163D82"/>
          <w:sz w:val="20"/>
          <w:szCs w:val="22"/>
        </w:rPr>
        <w:lastRenderedPageBreak/>
        <w:t xml:space="preserve">Audits completed since the last SICA report to the </w:t>
      </w:r>
      <w:r w:rsidR="00945D4A">
        <w:rPr>
          <w:rFonts w:asciiTheme="minorHAnsi" w:hAnsiTheme="minorHAnsi" w:cstheme="minorHAnsi"/>
          <w:b/>
          <w:color w:val="163D82"/>
          <w:sz w:val="20"/>
          <w:szCs w:val="22"/>
        </w:rPr>
        <w:t>Joint Audit Committee</w:t>
      </w:r>
    </w:p>
    <w:p w14:paraId="2224F51E" w14:textId="3174A022" w:rsidR="00E16A19" w:rsidRDefault="00E16A19" w:rsidP="0091597C">
      <w:pPr>
        <w:numPr>
          <w:ilvl w:val="0"/>
          <w:numId w:val="21"/>
        </w:numPr>
        <w:spacing w:before="120" w:after="120" w:line="271" w:lineRule="auto"/>
        <w:ind w:left="709" w:hanging="709"/>
        <w:rPr>
          <w:rFonts w:asciiTheme="minorHAnsi" w:eastAsia="Calibri" w:hAnsiTheme="minorHAnsi" w:cstheme="minorHAnsi"/>
          <w:sz w:val="20"/>
          <w:szCs w:val="22"/>
        </w:rPr>
      </w:pPr>
      <w:r w:rsidRPr="00E16A19">
        <w:rPr>
          <w:rFonts w:asciiTheme="minorHAnsi" w:eastAsia="Calibri" w:hAnsiTheme="minorHAnsi" w:cstheme="minorHAnsi"/>
          <w:sz w:val="20"/>
          <w:szCs w:val="22"/>
        </w:rPr>
        <w:t xml:space="preserve">The table below sets out details of audits finalised since the previous meeting of the </w:t>
      </w:r>
      <w:r w:rsidR="00945D4A">
        <w:rPr>
          <w:rFonts w:asciiTheme="minorHAnsi" w:eastAsia="Calibri" w:hAnsiTheme="minorHAnsi" w:cstheme="minorHAnsi"/>
          <w:sz w:val="20"/>
          <w:szCs w:val="22"/>
        </w:rPr>
        <w:t>Joint Audit Committee</w:t>
      </w:r>
      <w:r w:rsidRPr="00E16A19">
        <w:rPr>
          <w:rFonts w:asciiTheme="minorHAnsi" w:eastAsia="Calibri" w:hAnsiTheme="minorHAnsi" w:cstheme="minorHAnsi"/>
          <w:sz w:val="20"/>
          <w:szCs w:val="22"/>
        </w:rPr>
        <w:t>.</w:t>
      </w:r>
    </w:p>
    <w:p w14:paraId="7EDC4414" w14:textId="77777777" w:rsidR="00E16A19" w:rsidRPr="00E16A19" w:rsidRDefault="00E16A19" w:rsidP="00E16A19">
      <w:pPr>
        <w:spacing w:after="60"/>
        <w:ind w:left="720" w:hanging="720"/>
        <w:jc w:val="center"/>
        <w:rPr>
          <w:rFonts w:asciiTheme="minorHAnsi" w:hAnsiTheme="minorHAnsi" w:cs="Arial"/>
          <w:i/>
          <w:color w:val="365F91"/>
          <w:sz w:val="18"/>
          <w:szCs w:val="18"/>
        </w:rPr>
      </w:pPr>
      <w:r w:rsidRPr="00E16A19">
        <w:rPr>
          <w:rFonts w:asciiTheme="minorHAnsi" w:hAnsiTheme="minorHAnsi" w:cs="Arial"/>
          <w:i/>
          <w:color w:val="163D82"/>
          <w:sz w:val="18"/>
          <w:szCs w:val="18"/>
        </w:rPr>
        <w:t>Audits completed since previous SICA report</w:t>
      </w:r>
    </w:p>
    <w:tbl>
      <w:tblPr>
        <w:tblW w:w="13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135"/>
        <w:gridCol w:w="1843"/>
        <w:gridCol w:w="1984"/>
        <w:gridCol w:w="2119"/>
        <w:gridCol w:w="605"/>
        <w:gridCol w:w="605"/>
        <w:gridCol w:w="605"/>
        <w:gridCol w:w="744"/>
      </w:tblGrid>
      <w:tr w:rsidR="00E16A19" w:rsidRPr="00E16A19" w14:paraId="64929D37" w14:textId="77777777" w:rsidTr="001B43EC">
        <w:trPr>
          <w:cantSplit/>
          <w:jc w:val="center"/>
        </w:trPr>
        <w:tc>
          <w:tcPr>
            <w:tcW w:w="4253" w:type="dxa"/>
            <w:tcBorders>
              <w:top w:val="nil"/>
              <w:left w:val="nil"/>
              <w:bottom w:val="single" w:sz="12" w:space="0" w:color="FFFFFF" w:themeColor="background1"/>
              <w:right w:val="nil"/>
            </w:tcBorders>
            <w:vAlign w:val="center"/>
          </w:tcPr>
          <w:p w14:paraId="632CBEB5" w14:textId="77777777" w:rsidR="00E16A19" w:rsidRPr="00E16A19" w:rsidRDefault="00E16A19" w:rsidP="00E16A19">
            <w:pPr>
              <w:spacing w:before="60" w:after="60" w:line="271" w:lineRule="auto"/>
              <w:jc w:val="center"/>
              <w:rPr>
                <w:rFonts w:asciiTheme="minorHAnsi" w:hAnsiTheme="minorHAnsi" w:cstheme="minorHAnsi"/>
                <w:b/>
                <w:color w:val="FFFFFF"/>
                <w:sz w:val="18"/>
                <w:szCs w:val="18"/>
              </w:rPr>
            </w:pPr>
          </w:p>
        </w:tc>
        <w:tc>
          <w:tcPr>
            <w:tcW w:w="1135" w:type="dxa"/>
            <w:tcBorders>
              <w:top w:val="nil"/>
              <w:left w:val="nil"/>
              <w:bottom w:val="single" w:sz="12" w:space="0" w:color="FFFFFF" w:themeColor="background1"/>
              <w:right w:val="single" w:sz="12" w:space="0" w:color="FFFFFF" w:themeColor="background1"/>
            </w:tcBorders>
            <w:vAlign w:val="center"/>
          </w:tcPr>
          <w:p w14:paraId="469D00F1" w14:textId="77777777" w:rsidR="00E16A19" w:rsidRPr="00E16A19" w:rsidRDefault="00E16A19" w:rsidP="00E16A19">
            <w:pPr>
              <w:spacing w:before="60" w:after="60" w:line="271" w:lineRule="auto"/>
              <w:jc w:val="center"/>
              <w:rPr>
                <w:rFonts w:asciiTheme="minorHAnsi" w:hAnsiTheme="minorHAnsi" w:cstheme="minorHAnsi"/>
                <w:b/>
                <w:color w:val="FFFFFF"/>
                <w:sz w:val="18"/>
                <w:szCs w:val="18"/>
              </w:rPr>
            </w:pPr>
          </w:p>
        </w:tc>
        <w:tc>
          <w:tcPr>
            <w:tcW w:w="5946"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039F991"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Key Dates</w:t>
            </w:r>
          </w:p>
        </w:tc>
        <w:tc>
          <w:tcPr>
            <w:tcW w:w="2559" w:type="dxa"/>
            <w:gridSpan w:val="4"/>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B27E541"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Number of Recommendations</w:t>
            </w:r>
          </w:p>
        </w:tc>
      </w:tr>
      <w:tr w:rsidR="00E16A19" w:rsidRPr="00E16A19" w14:paraId="76DAF046" w14:textId="77777777" w:rsidTr="001B43EC">
        <w:trPr>
          <w:cantSplit/>
          <w:jc w:val="center"/>
        </w:trPr>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7A6466E" w14:textId="77777777" w:rsidR="00E16A19" w:rsidRPr="00E16A19" w:rsidRDefault="00E16A19" w:rsidP="00E16A19">
            <w:pPr>
              <w:spacing w:before="60" w:after="60" w:line="271" w:lineRule="auto"/>
              <w:jc w:val="left"/>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Review</w:t>
            </w:r>
          </w:p>
        </w:tc>
        <w:tc>
          <w:tcPr>
            <w:tcW w:w="113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0E8E909"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Evaluation</w:t>
            </w:r>
          </w:p>
        </w:tc>
        <w:tc>
          <w:tcPr>
            <w:tcW w:w="184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24100DF"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Draft issued</w:t>
            </w:r>
          </w:p>
        </w:tc>
        <w:tc>
          <w:tcPr>
            <w:tcW w:w="198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2CB3592" w14:textId="77777777" w:rsidR="00E16A19" w:rsidRPr="00E16A19" w:rsidRDefault="00E16A19" w:rsidP="00E16A19">
            <w:pPr>
              <w:tabs>
                <w:tab w:val="left" w:pos="285"/>
                <w:tab w:val="center" w:pos="479"/>
              </w:tabs>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Responses Received</w:t>
            </w:r>
          </w:p>
        </w:tc>
        <w:tc>
          <w:tcPr>
            <w:tcW w:w="21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8D2CB40"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Final issued</w:t>
            </w:r>
          </w:p>
        </w:tc>
        <w:tc>
          <w:tcPr>
            <w:tcW w:w="6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9CC2C58"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1</w:t>
            </w:r>
          </w:p>
        </w:tc>
        <w:tc>
          <w:tcPr>
            <w:tcW w:w="6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8CE1180"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2</w:t>
            </w:r>
          </w:p>
        </w:tc>
        <w:tc>
          <w:tcPr>
            <w:tcW w:w="6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48213B2"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3</w:t>
            </w:r>
          </w:p>
        </w:tc>
        <w:tc>
          <w:tcPr>
            <w:tcW w:w="74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D3A7658" w14:textId="77777777" w:rsidR="00E16A19" w:rsidRPr="00E16A19" w:rsidRDefault="00E16A19" w:rsidP="00E16A19">
            <w:pPr>
              <w:spacing w:before="60" w:after="60" w:line="271" w:lineRule="auto"/>
              <w:jc w:val="center"/>
              <w:rPr>
                <w:rFonts w:asciiTheme="minorHAnsi" w:hAnsiTheme="minorHAnsi" w:cstheme="minorHAnsi"/>
                <w:b/>
                <w:color w:val="163D82"/>
                <w:sz w:val="18"/>
                <w:szCs w:val="18"/>
              </w:rPr>
            </w:pPr>
            <w:r w:rsidRPr="00E16A19">
              <w:rPr>
                <w:rFonts w:asciiTheme="minorHAnsi" w:hAnsiTheme="minorHAnsi" w:cstheme="minorHAnsi"/>
                <w:b/>
                <w:color w:val="163D82"/>
                <w:sz w:val="18"/>
                <w:szCs w:val="18"/>
              </w:rPr>
              <w:t>OEM</w:t>
            </w:r>
          </w:p>
        </w:tc>
      </w:tr>
      <w:tr w:rsidR="00D901CD" w:rsidRPr="00E16A19" w14:paraId="7EBAD730" w14:textId="77777777" w:rsidTr="001B43EC">
        <w:trPr>
          <w:cantSplit/>
          <w:jc w:val="center"/>
        </w:trPr>
        <w:tc>
          <w:tcPr>
            <w:tcW w:w="42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276B5C55" w14:textId="41154204" w:rsidR="00D901CD" w:rsidRPr="00D901CD" w:rsidRDefault="00DC16E7" w:rsidP="000A7CEC">
            <w:pPr>
              <w:tabs>
                <w:tab w:val="center" w:pos="4153"/>
                <w:tab w:val="right" w:pos="8306"/>
              </w:tabs>
              <w:spacing w:before="60" w:after="60" w:line="271" w:lineRule="auto"/>
              <w:jc w:val="left"/>
              <w:rPr>
                <w:rFonts w:asciiTheme="minorHAnsi" w:hAnsiTheme="minorHAnsi" w:cstheme="minorBidi"/>
                <w:sz w:val="18"/>
                <w:szCs w:val="18"/>
              </w:rPr>
            </w:pPr>
            <w:r>
              <w:rPr>
                <w:rFonts w:asciiTheme="minorHAnsi" w:hAnsiTheme="minorHAnsi" w:cstheme="minorBidi"/>
                <w:sz w:val="18"/>
                <w:szCs w:val="18"/>
              </w:rPr>
              <w:t xml:space="preserve">Collaborative - </w:t>
            </w:r>
            <w:r w:rsidRPr="00DC16E7">
              <w:rPr>
                <w:rFonts w:asciiTheme="minorHAnsi" w:hAnsiTheme="minorHAnsi" w:cstheme="minorBidi"/>
                <w:sz w:val="18"/>
                <w:szCs w:val="18"/>
              </w:rPr>
              <w:t>Risk Management – Mitigating Controls</w:t>
            </w:r>
          </w:p>
        </w:tc>
        <w:tc>
          <w:tcPr>
            <w:tcW w:w="113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bottom"/>
          </w:tcPr>
          <w:p w14:paraId="5CC1FEF8" w14:textId="2312FD9D" w:rsidR="00D901CD" w:rsidRDefault="00DC16E7" w:rsidP="000A7CEC">
            <w:pPr>
              <w:spacing w:before="60" w:after="60" w:line="271" w:lineRule="auto"/>
              <w:jc w:val="center"/>
              <w:rPr>
                <w:rFonts w:asciiTheme="minorHAnsi" w:hAnsiTheme="minorHAnsi" w:cstheme="minorBidi"/>
                <w:sz w:val="18"/>
                <w:szCs w:val="18"/>
              </w:rPr>
            </w:pPr>
            <w:r>
              <w:rPr>
                <w:rFonts w:asciiTheme="minorHAnsi" w:hAnsiTheme="minorHAnsi" w:cstheme="minorBidi"/>
                <w:sz w:val="18"/>
                <w:szCs w:val="18"/>
              </w:rPr>
              <w:t>Substantial</w:t>
            </w:r>
          </w:p>
        </w:tc>
        <w:tc>
          <w:tcPr>
            <w:tcW w:w="184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195F64FC" w14:textId="64688CA9" w:rsidR="00D901CD" w:rsidRDefault="00DC16E7" w:rsidP="000A7CEC">
            <w:pPr>
              <w:spacing w:before="60" w:after="60" w:line="271" w:lineRule="auto"/>
              <w:jc w:val="center"/>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24</w:t>
            </w:r>
            <w:r w:rsidRPr="00DC16E7">
              <w:rPr>
                <w:rFonts w:asciiTheme="minorHAnsi" w:hAnsiTheme="minorHAnsi" w:cstheme="minorBidi"/>
                <w:color w:val="000000" w:themeColor="text1"/>
                <w:sz w:val="18"/>
                <w:szCs w:val="18"/>
                <w:vertAlign w:val="superscript"/>
              </w:rPr>
              <w:t>th</w:t>
            </w:r>
            <w:r>
              <w:rPr>
                <w:rFonts w:asciiTheme="minorHAnsi" w:hAnsiTheme="minorHAnsi" w:cstheme="minorBidi"/>
                <w:color w:val="000000" w:themeColor="text1"/>
                <w:sz w:val="18"/>
                <w:szCs w:val="18"/>
              </w:rPr>
              <w:t xml:space="preserve"> July 2026</w:t>
            </w:r>
          </w:p>
        </w:tc>
        <w:tc>
          <w:tcPr>
            <w:tcW w:w="198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bottom"/>
          </w:tcPr>
          <w:p w14:paraId="7BB1D8CE" w14:textId="5CD61917" w:rsidR="00D901CD" w:rsidRDefault="00DC16E7" w:rsidP="000A7CEC">
            <w:pPr>
              <w:spacing w:before="60" w:after="60" w:line="271" w:lineRule="auto"/>
              <w:jc w:val="center"/>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3</w:t>
            </w:r>
            <w:r w:rsidRPr="00DC16E7">
              <w:rPr>
                <w:rFonts w:asciiTheme="minorHAnsi" w:hAnsiTheme="minorHAnsi" w:cstheme="minorBidi"/>
                <w:color w:val="000000" w:themeColor="text1"/>
                <w:sz w:val="18"/>
                <w:szCs w:val="18"/>
                <w:vertAlign w:val="superscript"/>
              </w:rPr>
              <w:t>rd</w:t>
            </w:r>
            <w:r>
              <w:rPr>
                <w:rFonts w:asciiTheme="minorHAnsi" w:hAnsiTheme="minorHAnsi" w:cstheme="minorBidi"/>
                <w:color w:val="000000" w:themeColor="text1"/>
                <w:sz w:val="18"/>
                <w:szCs w:val="18"/>
              </w:rPr>
              <w:t xml:space="preserve"> September 2026</w:t>
            </w:r>
          </w:p>
        </w:tc>
        <w:tc>
          <w:tcPr>
            <w:tcW w:w="211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bottom"/>
          </w:tcPr>
          <w:p w14:paraId="70D75F0E" w14:textId="47BAA953" w:rsidR="00D901CD" w:rsidRDefault="00DC16E7" w:rsidP="000A7CEC">
            <w:pPr>
              <w:spacing w:before="60" w:after="60" w:line="271" w:lineRule="auto"/>
              <w:jc w:val="center"/>
              <w:rPr>
                <w:rFonts w:asciiTheme="minorHAnsi" w:hAnsiTheme="minorHAnsi" w:cstheme="minorBidi"/>
                <w:color w:val="000000" w:themeColor="text1"/>
                <w:sz w:val="18"/>
                <w:szCs w:val="18"/>
              </w:rPr>
            </w:pPr>
            <w:r>
              <w:rPr>
                <w:rFonts w:asciiTheme="minorHAnsi" w:hAnsiTheme="minorHAnsi" w:cstheme="minorBidi"/>
                <w:color w:val="000000" w:themeColor="text1"/>
                <w:sz w:val="18"/>
                <w:szCs w:val="18"/>
              </w:rPr>
              <w:t>3</w:t>
            </w:r>
            <w:r w:rsidRPr="00DC16E7">
              <w:rPr>
                <w:rFonts w:asciiTheme="minorHAnsi" w:hAnsiTheme="minorHAnsi" w:cstheme="minorBidi"/>
                <w:color w:val="000000" w:themeColor="text1"/>
                <w:sz w:val="18"/>
                <w:szCs w:val="18"/>
                <w:vertAlign w:val="superscript"/>
              </w:rPr>
              <w:t>rd</w:t>
            </w:r>
            <w:r>
              <w:rPr>
                <w:rFonts w:asciiTheme="minorHAnsi" w:hAnsiTheme="minorHAnsi" w:cstheme="minorBidi"/>
                <w:color w:val="000000" w:themeColor="text1"/>
                <w:sz w:val="18"/>
                <w:szCs w:val="18"/>
              </w:rPr>
              <w:t xml:space="preserve"> September 2026</w:t>
            </w:r>
          </w:p>
        </w:tc>
        <w:tc>
          <w:tcPr>
            <w:tcW w:w="6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11667E9F" w14:textId="5EFEBC8D" w:rsidR="00D901CD" w:rsidRDefault="00DC16E7" w:rsidP="000A7CEC">
            <w:pPr>
              <w:spacing w:before="60" w:after="60" w:line="271" w:lineRule="auto"/>
              <w:jc w:val="center"/>
              <w:rPr>
                <w:rFonts w:asciiTheme="minorHAnsi" w:hAnsiTheme="minorHAnsi" w:cstheme="minorBidi"/>
                <w:sz w:val="18"/>
                <w:szCs w:val="18"/>
              </w:rPr>
            </w:pPr>
            <w:r>
              <w:rPr>
                <w:rFonts w:asciiTheme="minorHAnsi" w:hAnsiTheme="minorHAnsi" w:cstheme="minorBidi"/>
                <w:sz w:val="18"/>
                <w:szCs w:val="18"/>
              </w:rPr>
              <w:t>-</w:t>
            </w:r>
          </w:p>
        </w:tc>
        <w:tc>
          <w:tcPr>
            <w:tcW w:w="6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241447D8" w14:textId="6D946089" w:rsidR="00D901CD" w:rsidRDefault="00DC16E7" w:rsidP="000A7CEC">
            <w:pPr>
              <w:spacing w:before="60" w:after="60" w:line="271" w:lineRule="auto"/>
              <w:jc w:val="center"/>
              <w:rPr>
                <w:rFonts w:asciiTheme="minorHAnsi" w:hAnsiTheme="minorHAnsi" w:cstheme="minorBidi"/>
                <w:sz w:val="18"/>
                <w:szCs w:val="18"/>
              </w:rPr>
            </w:pPr>
            <w:r>
              <w:rPr>
                <w:rFonts w:asciiTheme="minorHAnsi" w:hAnsiTheme="minorHAnsi" w:cstheme="minorBidi"/>
                <w:sz w:val="18"/>
                <w:szCs w:val="18"/>
              </w:rPr>
              <w:t>-</w:t>
            </w:r>
          </w:p>
        </w:tc>
        <w:tc>
          <w:tcPr>
            <w:tcW w:w="60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3914F825" w14:textId="70485683" w:rsidR="00D901CD" w:rsidRDefault="00DC16E7" w:rsidP="00637BA8">
            <w:pPr>
              <w:spacing w:before="60" w:after="60" w:line="271" w:lineRule="auto"/>
              <w:jc w:val="center"/>
              <w:rPr>
                <w:rFonts w:asciiTheme="minorHAnsi" w:hAnsiTheme="minorHAnsi" w:cstheme="minorBidi"/>
                <w:sz w:val="18"/>
                <w:szCs w:val="18"/>
              </w:rPr>
            </w:pPr>
            <w:r>
              <w:rPr>
                <w:rFonts w:asciiTheme="minorHAnsi" w:hAnsiTheme="minorHAnsi" w:cstheme="minorBidi"/>
                <w:sz w:val="18"/>
                <w:szCs w:val="18"/>
              </w:rPr>
              <w:t>2</w:t>
            </w:r>
          </w:p>
        </w:tc>
        <w:tc>
          <w:tcPr>
            <w:tcW w:w="74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vAlign w:val="center"/>
          </w:tcPr>
          <w:p w14:paraId="748072A3" w14:textId="222BCB6A" w:rsidR="00D901CD" w:rsidRDefault="00DC16E7" w:rsidP="000A7CEC">
            <w:pPr>
              <w:spacing w:before="60" w:after="60" w:line="271" w:lineRule="auto"/>
              <w:jc w:val="center"/>
              <w:rPr>
                <w:rFonts w:asciiTheme="minorHAnsi" w:hAnsiTheme="minorHAnsi" w:cstheme="minorBidi"/>
                <w:sz w:val="18"/>
                <w:szCs w:val="18"/>
              </w:rPr>
            </w:pPr>
            <w:r>
              <w:rPr>
                <w:rFonts w:asciiTheme="minorHAnsi" w:hAnsiTheme="minorHAnsi" w:cstheme="minorBidi"/>
                <w:sz w:val="18"/>
                <w:szCs w:val="18"/>
              </w:rPr>
              <w:t>-</w:t>
            </w:r>
          </w:p>
        </w:tc>
      </w:tr>
    </w:tbl>
    <w:p w14:paraId="2E306C51" w14:textId="162ECF01" w:rsidR="00DB2A73" w:rsidRPr="00C474DE" w:rsidRDefault="00E16A19" w:rsidP="0091597C">
      <w:pPr>
        <w:numPr>
          <w:ilvl w:val="0"/>
          <w:numId w:val="21"/>
        </w:numPr>
        <w:spacing w:before="120" w:after="120" w:line="271" w:lineRule="auto"/>
        <w:ind w:left="709" w:hanging="709"/>
        <w:rPr>
          <w:rFonts w:asciiTheme="minorHAnsi" w:hAnsiTheme="minorHAnsi" w:cstheme="minorHAnsi"/>
          <w:b/>
          <w:color w:val="163D82"/>
          <w:sz w:val="20"/>
          <w:szCs w:val="22"/>
        </w:rPr>
      </w:pPr>
      <w:r w:rsidRPr="00E16A19">
        <w:rPr>
          <w:rFonts w:asciiTheme="minorHAnsi" w:eastAsia="Calibri" w:hAnsiTheme="minorHAnsi" w:cstheme="minorHAnsi"/>
          <w:sz w:val="20"/>
          <w:szCs w:val="22"/>
        </w:rPr>
        <w:t>There are no issues arising from these findings which would require the annual Head of Audit Opinion to be qualified.</w:t>
      </w:r>
    </w:p>
    <w:p w14:paraId="3E2CDD6C" w14:textId="5567B11A" w:rsidR="00E16A19" w:rsidRPr="0091597C" w:rsidRDefault="00E16A19" w:rsidP="00E16A19">
      <w:pPr>
        <w:spacing w:before="120" w:after="120" w:line="271" w:lineRule="auto"/>
        <w:rPr>
          <w:rFonts w:asciiTheme="minorHAnsi" w:hAnsiTheme="minorHAnsi" w:cstheme="minorHAnsi"/>
          <w:b/>
          <w:color w:val="163D82"/>
          <w:sz w:val="20"/>
          <w:szCs w:val="22"/>
        </w:rPr>
      </w:pPr>
      <w:r w:rsidRPr="0091597C">
        <w:rPr>
          <w:rFonts w:asciiTheme="minorHAnsi" w:hAnsiTheme="minorHAnsi" w:cstheme="minorHAnsi"/>
          <w:b/>
          <w:color w:val="163D82"/>
          <w:sz w:val="20"/>
          <w:szCs w:val="22"/>
        </w:rPr>
        <w:t>Progress against the</w:t>
      </w:r>
      <w:r w:rsidR="00DB2A73" w:rsidRPr="0091597C">
        <w:rPr>
          <w:rFonts w:asciiTheme="minorHAnsi" w:hAnsiTheme="minorHAnsi" w:cstheme="minorHAnsi"/>
          <w:b/>
          <w:color w:val="163D82"/>
          <w:sz w:val="20"/>
          <w:szCs w:val="22"/>
        </w:rPr>
        <w:t xml:space="preserve"> </w:t>
      </w:r>
      <w:r w:rsidR="00E45C99" w:rsidRPr="0091597C">
        <w:rPr>
          <w:rFonts w:asciiTheme="minorHAnsi" w:hAnsiTheme="minorHAnsi" w:cstheme="minorHAnsi"/>
          <w:b/>
          <w:color w:val="163D82"/>
          <w:sz w:val="20"/>
          <w:szCs w:val="22"/>
        </w:rPr>
        <w:t>Annual Plan</w:t>
      </w:r>
      <w:r w:rsidR="00D901CD" w:rsidRPr="0091597C">
        <w:rPr>
          <w:rFonts w:asciiTheme="minorHAnsi" w:hAnsiTheme="minorHAnsi" w:cstheme="minorHAnsi"/>
          <w:b/>
          <w:color w:val="163D82"/>
          <w:sz w:val="20"/>
          <w:szCs w:val="22"/>
        </w:rPr>
        <w:t xml:space="preserve"> </w:t>
      </w:r>
      <w:r w:rsidR="00615616">
        <w:rPr>
          <w:rFonts w:asciiTheme="minorHAnsi" w:hAnsiTheme="minorHAnsi" w:cstheme="minorHAnsi"/>
          <w:b/>
          <w:color w:val="163D82"/>
          <w:sz w:val="20"/>
          <w:szCs w:val="22"/>
        </w:rPr>
        <w:t>2026/27</w:t>
      </w:r>
      <w:r w:rsidRPr="0091597C">
        <w:rPr>
          <w:rFonts w:asciiTheme="minorHAnsi" w:hAnsiTheme="minorHAnsi" w:cstheme="minorHAnsi"/>
          <w:b/>
          <w:color w:val="163D82"/>
          <w:sz w:val="20"/>
          <w:szCs w:val="22"/>
        </w:rPr>
        <w:t xml:space="preserve"> </w:t>
      </w:r>
    </w:p>
    <w:p w14:paraId="369E7FBA" w14:textId="2311D1EC" w:rsidR="00393924" w:rsidRPr="0091597C" w:rsidRDefault="00E16A19" w:rsidP="0091597C">
      <w:pPr>
        <w:numPr>
          <w:ilvl w:val="0"/>
          <w:numId w:val="21"/>
        </w:numPr>
        <w:spacing w:before="120" w:after="120" w:line="271" w:lineRule="auto"/>
        <w:ind w:left="709" w:hanging="709"/>
        <w:rPr>
          <w:rFonts w:asciiTheme="minorHAnsi" w:eastAsia="Calibri" w:hAnsiTheme="minorHAnsi" w:cstheme="minorBidi"/>
          <w:sz w:val="20"/>
        </w:rPr>
      </w:pPr>
      <w:r w:rsidRPr="0091597C">
        <w:rPr>
          <w:rFonts w:asciiTheme="minorHAnsi" w:eastAsia="Calibri" w:hAnsiTheme="minorHAnsi" w:cstheme="minorBidi"/>
          <w:sz w:val="20"/>
        </w:rPr>
        <w:t>Our progress against the Annual Plan</w:t>
      </w:r>
      <w:r w:rsidR="00982946">
        <w:rPr>
          <w:rFonts w:asciiTheme="minorHAnsi" w:eastAsia="Calibri" w:hAnsiTheme="minorHAnsi" w:cstheme="minorBidi"/>
          <w:sz w:val="20"/>
        </w:rPr>
        <w:t xml:space="preserve"> for </w:t>
      </w:r>
      <w:r w:rsidR="00615616">
        <w:rPr>
          <w:rFonts w:asciiTheme="minorHAnsi" w:eastAsia="Calibri" w:hAnsiTheme="minorHAnsi" w:cstheme="minorBidi"/>
          <w:sz w:val="20"/>
        </w:rPr>
        <w:t xml:space="preserve">2026/27 </w:t>
      </w:r>
      <w:r w:rsidR="00982946">
        <w:rPr>
          <w:rFonts w:asciiTheme="minorHAnsi" w:eastAsia="Calibri" w:hAnsiTheme="minorHAnsi" w:cstheme="minorBidi"/>
          <w:sz w:val="20"/>
        </w:rPr>
        <w:t>is</w:t>
      </w:r>
      <w:r w:rsidRPr="0091597C">
        <w:rPr>
          <w:rFonts w:asciiTheme="minorHAnsi" w:eastAsia="Calibri" w:hAnsiTheme="minorHAnsi" w:cstheme="minorBidi"/>
          <w:sz w:val="20"/>
        </w:rPr>
        <w:t xml:space="preserve"> set out in Appendix </w:t>
      </w:r>
      <w:r w:rsidR="5F9F0647" w:rsidRPr="0091597C">
        <w:rPr>
          <w:rFonts w:asciiTheme="minorHAnsi" w:eastAsia="Calibri" w:hAnsiTheme="minorHAnsi" w:cstheme="minorBidi"/>
          <w:sz w:val="20"/>
        </w:rPr>
        <w:t>A</w:t>
      </w:r>
      <w:r w:rsidRPr="0091597C">
        <w:rPr>
          <w:rFonts w:asciiTheme="minorHAnsi" w:eastAsia="Calibri" w:hAnsiTheme="minorHAnsi" w:cstheme="minorBidi"/>
          <w:sz w:val="20"/>
        </w:rPr>
        <w:t>.</w:t>
      </w:r>
      <w:r w:rsidR="006B36FB" w:rsidRPr="0091597C">
        <w:rPr>
          <w:rFonts w:asciiTheme="minorHAnsi" w:eastAsia="Calibri" w:hAnsiTheme="minorHAnsi" w:cstheme="minorBidi"/>
          <w:sz w:val="20"/>
        </w:rPr>
        <w:t xml:space="preserve"> </w:t>
      </w:r>
    </w:p>
    <w:p w14:paraId="1879A763" w14:textId="3F26F50D" w:rsidR="00E16A19" w:rsidRPr="00E16A19" w:rsidRDefault="00E16A19" w:rsidP="00E16A19">
      <w:pPr>
        <w:spacing w:before="120" w:after="120" w:line="271" w:lineRule="auto"/>
        <w:rPr>
          <w:rFonts w:asciiTheme="minorHAnsi" w:hAnsiTheme="minorHAnsi" w:cstheme="minorHAnsi"/>
          <w:b/>
          <w:color w:val="163D82"/>
          <w:sz w:val="20"/>
          <w:szCs w:val="22"/>
        </w:rPr>
      </w:pPr>
      <w:r w:rsidRPr="4C8BA31E">
        <w:rPr>
          <w:rFonts w:asciiTheme="minorHAnsi" w:hAnsiTheme="minorHAnsi" w:cstheme="minorBidi"/>
          <w:b/>
          <w:bCs/>
          <w:color w:val="163D82"/>
          <w:sz w:val="20"/>
        </w:rPr>
        <w:t xml:space="preserve">Changes to the Annual Plan </w:t>
      </w:r>
      <w:r w:rsidR="00D26EC8">
        <w:rPr>
          <w:rFonts w:asciiTheme="minorHAnsi" w:hAnsiTheme="minorHAnsi" w:cstheme="minorBidi"/>
          <w:b/>
          <w:bCs/>
          <w:color w:val="163D82"/>
          <w:sz w:val="20"/>
        </w:rPr>
        <w:t>202</w:t>
      </w:r>
      <w:r w:rsidR="00982946">
        <w:rPr>
          <w:rFonts w:asciiTheme="minorHAnsi" w:hAnsiTheme="minorHAnsi" w:cstheme="minorBidi"/>
          <w:b/>
          <w:bCs/>
          <w:color w:val="163D82"/>
          <w:sz w:val="20"/>
        </w:rPr>
        <w:t>6</w:t>
      </w:r>
      <w:r w:rsidR="00D26EC8">
        <w:rPr>
          <w:rFonts w:asciiTheme="minorHAnsi" w:hAnsiTheme="minorHAnsi" w:cstheme="minorBidi"/>
          <w:b/>
          <w:bCs/>
          <w:color w:val="163D82"/>
          <w:sz w:val="20"/>
        </w:rPr>
        <w:t>/2</w:t>
      </w:r>
      <w:r w:rsidR="00982946">
        <w:rPr>
          <w:rFonts w:asciiTheme="minorHAnsi" w:hAnsiTheme="minorHAnsi" w:cstheme="minorBidi"/>
          <w:b/>
          <w:bCs/>
          <w:color w:val="163D82"/>
          <w:sz w:val="20"/>
        </w:rPr>
        <w:t>7</w:t>
      </w:r>
    </w:p>
    <w:p w14:paraId="59D76864" w14:textId="3CAC7863" w:rsidR="00CD5168" w:rsidRPr="00CD5168" w:rsidRDefault="00CD5168" w:rsidP="00CD5168">
      <w:pPr>
        <w:spacing w:before="120" w:after="120" w:line="271" w:lineRule="auto"/>
        <w:rPr>
          <w:rFonts w:asciiTheme="minorHAnsi" w:hAnsiTheme="minorHAnsi" w:cstheme="minorBidi"/>
          <w:b/>
          <w:bCs/>
          <w:color w:val="163D82"/>
        </w:rPr>
      </w:pPr>
      <w:r w:rsidRPr="00CD5168">
        <w:rPr>
          <w:rFonts w:asciiTheme="minorHAnsi" w:hAnsiTheme="minorHAnsi" w:cstheme="minorBidi"/>
          <w:b/>
          <w:bCs/>
          <w:color w:val="163D82"/>
        </w:rPr>
        <w:t xml:space="preserve">Progress in actioning </w:t>
      </w:r>
      <w:r w:rsidR="005464C3">
        <w:rPr>
          <w:rFonts w:asciiTheme="minorHAnsi" w:hAnsiTheme="minorHAnsi" w:cstheme="minorBidi"/>
          <w:b/>
          <w:bCs/>
          <w:color w:val="163D82"/>
        </w:rPr>
        <w:t>High Risk</w:t>
      </w:r>
      <w:r w:rsidRPr="00CD5168">
        <w:rPr>
          <w:rFonts w:asciiTheme="minorHAnsi" w:hAnsiTheme="minorHAnsi" w:cstheme="minorBidi"/>
          <w:b/>
          <w:bCs/>
          <w:color w:val="163D82"/>
        </w:rPr>
        <w:t xml:space="preserve"> (Priority 1) recommendations</w:t>
      </w:r>
    </w:p>
    <w:p w14:paraId="2E819BF8" w14:textId="33A5C11A" w:rsidR="1C8025F9" w:rsidRPr="00CD5168" w:rsidRDefault="00CD5168" w:rsidP="0091597C">
      <w:pPr>
        <w:numPr>
          <w:ilvl w:val="0"/>
          <w:numId w:val="21"/>
        </w:numPr>
        <w:spacing w:before="120" w:after="120" w:line="271" w:lineRule="auto"/>
        <w:ind w:left="709" w:hanging="709"/>
        <w:rPr>
          <w:rFonts w:asciiTheme="minorHAnsi" w:eastAsia="Calibri" w:hAnsiTheme="minorHAnsi" w:cstheme="minorBidi"/>
          <w:sz w:val="20"/>
        </w:rPr>
      </w:pPr>
      <w:r w:rsidRPr="00CD5168">
        <w:rPr>
          <w:rFonts w:asciiTheme="minorHAnsi" w:eastAsia="Calibri" w:hAnsiTheme="minorHAnsi" w:cstheme="minorBidi"/>
          <w:sz w:val="20"/>
        </w:rPr>
        <w:t xml:space="preserve">We have made </w:t>
      </w:r>
      <w:r w:rsidR="00DF210D">
        <w:rPr>
          <w:rFonts w:asciiTheme="minorHAnsi" w:eastAsia="Calibri" w:hAnsiTheme="minorHAnsi" w:cstheme="minorBidi"/>
          <w:sz w:val="20"/>
        </w:rPr>
        <w:t>no new</w:t>
      </w:r>
      <w:r w:rsidRPr="00CD5168">
        <w:rPr>
          <w:rFonts w:asciiTheme="minorHAnsi" w:eastAsia="Calibri" w:hAnsiTheme="minorHAnsi" w:cstheme="minorBidi"/>
          <w:sz w:val="20"/>
        </w:rPr>
        <w:t xml:space="preserve"> Priority 1 recommendations (i.e. fundamental control issue on which action should be taken immediately) since the previous SICA. The table below summarises the extent to which confirmation has been received that management actions have been taken that the risk exposure identified has been effectively mitigated.</w:t>
      </w:r>
      <w:r w:rsidR="1C8025F9" w:rsidRPr="00CD5168">
        <w:rPr>
          <w:rFonts w:asciiTheme="minorHAnsi" w:eastAsia="Calibri" w:hAnsiTheme="minorHAnsi" w:cstheme="minorBidi"/>
          <w:sz w:val="20"/>
        </w:rPr>
        <w:t xml:space="preserve"> </w:t>
      </w:r>
    </w:p>
    <w:p w14:paraId="7143F568" w14:textId="039D6BF6" w:rsidR="00CD5168" w:rsidRDefault="00CD5168" w:rsidP="00CD5168">
      <w:pPr>
        <w:ind w:left="4320" w:firstLine="720"/>
        <w:rPr>
          <w:rFonts w:asciiTheme="minorHAnsi" w:hAnsiTheme="minorHAnsi" w:cstheme="minorHAnsi"/>
          <w:i/>
          <w:color w:val="163D82"/>
          <w:sz w:val="18"/>
          <w:szCs w:val="18"/>
        </w:rPr>
      </w:pPr>
      <w:r w:rsidRPr="00CD5168">
        <w:rPr>
          <w:rFonts w:asciiTheme="minorHAnsi" w:hAnsiTheme="minorHAnsi" w:cstheme="minorHAnsi"/>
          <w:i/>
          <w:color w:val="163D82"/>
          <w:sz w:val="18"/>
          <w:szCs w:val="18"/>
        </w:rPr>
        <w:t>Mitigating risk exposures identified by internal audit reviews</w:t>
      </w:r>
    </w:p>
    <w:p w14:paraId="388E8104" w14:textId="77777777" w:rsidR="00CD5168" w:rsidRPr="00CD5168" w:rsidRDefault="00CD5168" w:rsidP="00CD5168">
      <w:pPr>
        <w:ind w:left="4320" w:firstLine="720"/>
        <w:rPr>
          <w:rFonts w:asciiTheme="minorHAnsi" w:hAnsiTheme="minorHAnsi" w:cstheme="minorHAnsi"/>
          <w:i/>
          <w:color w:val="365F91"/>
          <w:sz w:val="18"/>
          <w:szCs w:val="18"/>
        </w:rPr>
      </w:pPr>
    </w:p>
    <w:tbl>
      <w:tblPr>
        <w:tblW w:w="6378" w:type="dxa"/>
        <w:tblInd w:w="3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5"/>
        <w:gridCol w:w="1417"/>
        <w:gridCol w:w="425"/>
        <w:gridCol w:w="425"/>
        <w:gridCol w:w="426"/>
      </w:tblGrid>
      <w:tr w:rsidR="00CD5168" w:rsidRPr="00CD5168" w14:paraId="7EB10898" w14:textId="77777777" w:rsidTr="00502BEA">
        <w:trPr>
          <w:cantSplit/>
          <w:tblHeader/>
        </w:trPr>
        <w:tc>
          <w:tcPr>
            <w:tcW w:w="3685" w:type="dxa"/>
            <w:tcBorders>
              <w:top w:val="single" w:sz="18" w:space="0" w:color="FFFFFF"/>
              <w:left w:val="nil"/>
              <w:bottom w:val="nil"/>
              <w:right w:val="single" w:sz="18" w:space="0" w:color="FFFFFF"/>
            </w:tcBorders>
            <w:shd w:val="clear" w:color="auto" w:fill="D9D9D9"/>
          </w:tcPr>
          <w:p w14:paraId="572A9123" w14:textId="77777777" w:rsidR="00CD5168" w:rsidRPr="00CD5168" w:rsidRDefault="00CD5168" w:rsidP="00F302E6">
            <w:pPr>
              <w:spacing w:before="60" w:after="60" w:line="271" w:lineRule="auto"/>
              <w:jc w:val="left"/>
              <w:rPr>
                <w:rFonts w:asciiTheme="minorHAnsi" w:hAnsiTheme="minorHAnsi" w:cstheme="minorHAnsi"/>
                <w:b/>
                <w:color w:val="163D82"/>
                <w:sz w:val="18"/>
              </w:rPr>
            </w:pPr>
            <w:r w:rsidRPr="00CD5168">
              <w:rPr>
                <w:rFonts w:asciiTheme="minorHAnsi" w:hAnsiTheme="minorHAnsi" w:cstheme="minorHAnsi"/>
                <w:b/>
                <w:color w:val="163D82"/>
                <w:sz w:val="18"/>
              </w:rPr>
              <w:t>Review</w:t>
            </w:r>
          </w:p>
        </w:tc>
        <w:tc>
          <w:tcPr>
            <w:tcW w:w="1417" w:type="dxa"/>
            <w:tcBorders>
              <w:top w:val="single" w:sz="18" w:space="0" w:color="FFFFFF"/>
              <w:left w:val="single" w:sz="18" w:space="0" w:color="FFFFFF"/>
              <w:bottom w:val="nil"/>
              <w:right w:val="single" w:sz="18" w:space="0" w:color="FFFFFF"/>
            </w:tcBorders>
            <w:shd w:val="clear" w:color="auto" w:fill="D9D9D9"/>
            <w:vAlign w:val="center"/>
          </w:tcPr>
          <w:p w14:paraId="170EDD62" w14:textId="77777777" w:rsidR="00CD5168" w:rsidRPr="00CD5168" w:rsidRDefault="00CD5168" w:rsidP="00F302E6">
            <w:pPr>
              <w:spacing w:before="60" w:after="60" w:line="271" w:lineRule="auto"/>
              <w:jc w:val="center"/>
              <w:rPr>
                <w:rFonts w:asciiTheme="minorHAnsi" w:hAnsiTheme="minorHAnsi" w:cstheme="minorHAnsi"/>
                <w:b/>
                <w:color w:val="163D82"/>
                <w:sz w:val="18"/>
              </w:rPr>
            </w:pPr>
            <w:r w:rsidRPr="00CD5168">
              <w:rPr>
                <w:rFonts w:asciiTheme="minorHAnsi" w:hAnsiTheme="minorHAnsi" w:cstheme="minorHAnsi"/>
                <w:b/>
                <w:color w:val="163D82"/>
                <w:sz w:val="18"/>
              </w:rPr>
              <w:t>Date</w:t>
            </w:r>
          </w:p>
        </w:tc>
        <w:tc>
          <w:tcPr>
            <w:tcW w:w="1276" w:type="dxa"/>
            <w:gridSpan w:val="3"/>
            <w:tcBorders>
              <w:top w:val="single" w:sz="18" w:space="0" w:color="FFFFFF"/>
              <w:left w:val="single" w:sz="18" w:space="0" w:color="FFFFFF"/>
              <w:bottom w:val="nil"/>
              <w:right w:val="single" w:sz="18" w:space="0" w:color="FFFFFF"/>
            </w:tcBorders>
            <w:shd w:val="clear" w:color="auto" w:fill="D9D9D9"/>
            <w:vAlign w:val="center"/>
          </w:tcPr>
          <w:p w14:paraId="304FC122" w14:textId="77777777" w:rsidR="00CD5168" w:rsidRPr="00CD5168" w:rsidRDefault="00CD5168" w:rsidP="00F302E6">
            <w:pPr>
              <w:spacing w:before="60" w:after="60" w:line="271" w:lineRule="auto"/>
              <w:jc w:val="center"/>
              <w:rPr>
                <w:rFonts w:asciiTheme="minorHAnsi" w:hAnsiTheme="minorHAnsi" w:cstheme="minorHAnsi"/>
                <w:b/>
                <w:color w:val="163D82"/>
                <w:sz w:val="18"/>
              </w:rPr>
            </w:pPr>
            <w:r w:rsidRPr="00CD5168">
              <w:rPr>
                <w:rFonts w:asciiTheme="minorHAnsi" w:hAnsiTheme="minorHAnsi" w:cstheme="minorHAnsi"/>
                <w:b/>
                <w:color w:val="163D82"/>
                <w:sz w:val="18"/>
              </w:rPr>
              <w:t>Priority 1</w:t>
            </w:r>
          </w:p>
        </w:tc>
      </w:tr>
      <w:tr w:rsidR="00CD5168" w:rsidRPr="00CD5168" w14:paraId="1609F52E" w14:textId="77777777" w:rsidTr="00502BEA">
        <w:trPr>
          <w:cantSplit/>
        </w:trPr>
        <w:tc>
          <w:tcPr>
            <w:tcW w:w="3685" w:type="dxa"/>
            <w:tcBorders>
              <w:top w:val="nil"/>
              <w:left w:val="nil"/>
              <w:bottom w:val="single" w:sz="4" w:space="0" w:color="FFFFFF"/>
              <w:right w:val="single" w:sz="18" w:space="0" w:color="FFFFFF"/>
            </w:tcBorders>
            <w:shd w:val="clear" w:color="auto" w:fill="F2F2F2"/>
          </w:tcPr>
          <w:p w14:paraId="68A3A7DA" w14:textId="77777777" w:rsidR="00CD5168" w:rsidRPr="00CD5168" w:rsidRDefault="00CD5168" w:rsidP="00F302E6">
            <w:pPr>
              <w:tabs>
                <w:tab w:val="center" w:pos="4153"/>
                <w:tab w:val="right" w:pos="8306"/>
              </w:tabs>
              <w:spacing w:before="60" w:after="60" w:line="271" w:lineRule="auto"/>
              <w:jc w:val="left"/>
              <w:rPr>
                <w:rFonts w:asciiTheme="minorHAnsi" w:hAnsiTheme="minorHAnsi" w:cstheme="minorHAnsi"/>
                <w:sz w:val="18"/>
                <w:highlight w:val="black"/>
              </w:rPr>
            </w:pPr>
            <w:r>
              <w:rPr>
                <w:rFonts w:asciiTheme="minorHAnsi" w:hAnsiTheme="minorHAnsi" w:cstheme="minorHAnsi"/>
                <w:iCs/>
                <w:color w:val="000000"/>
                <w:sz w:val="18"/>
                <w:szCs w:val="18"/>
              </w:rPr>
              <w:t>Evidential Property</w:t>
            </w:r>
          </w:p>
        </w:tc>
        <w:tc>
          <w:tcPr>
            <w:tcW w:w="1417" w:type="dxa"/>
            <w:tcBorders>
              <w:top w:val="nil"/>
              <w:left w:val="single" w:sz="18" w:space="0" w:color="FFFFFF"/>
              <w:bottom w:val="single" w:sz="4" w:space="0" w:color="FFFFFF"/>
              <w:right w:val="single" w:sz="18" w:space="0" w:color="FFFFFF"/>
            </w:tcBorders>
            <w:shd w:val="clear" w:color="auto" w:fill="F2F2F2"/>
            <w:vAlign w:val="center"/>
          </w:tcPr>
          <w:p w14:paraId="696B411E" w14:textId="77777777" w:rsidR="00CD5168" w:rsidRPr="00CD5168" w:rsidRDefault="00CD5168" w:rsidP="00F302E6">
            <w:pPr>
              <w:spacing w:before="60" w:after="60" w:line="271" w:lineRule="auto"/>
              <w:jc w:val="center"/>
              <w:rPr>
                <w:rFonts w:asciiTheme="minorHAnsi" w:hAnsiTheme="minorHAnsi" w:cstheme="minorHAnsi"/>
                <w:sz w:val="18"/>
              </w:rPr>
            </w:pPr>
            <w:r w:rsidRPr="00CD5168">
              <w:rPr>
                <w:rFonts w:asciiTheme="minorHAnsi" w:hAnsiTheme="minorHAnsi" w:cstheme="minorHAnsi"/>
                <w:sz w:val="18"/>
              </w:rPr>
              <w:t>October 2025</w:t>
            </w:r>
          </w:p>
        </w:tc>
        <w:tc>
          <w:tcPr>
            <w:tcW w:w="425" w:type="dxa"/>
            <w:tcBorders>
              <w:top w:val="nil"/>
              <w:left w:val="single" w:sz="18" w:space="0" w:color="FFFFFF"/>
              <w:bottom w:val="single" w:sz="4" w:space="0" w:color="FFFFFF"/>
              <w:right w:val="single" w:sz="18" w:space="0" w:color="FFFFFF"/>
            </w:tcBorders>
            <w:shd w:val="clear" w:color="auto" w:fill="C5E0B3" w:themeFill="accent6" w:themeFillTint="66"/>
            <w:vAlign w:val="center"/>
          </w:tcPr>
          <w:p w14:paraId="52ADFD74" w14:textId="77777777" w:rsidR="00CD5168" w:rsidRPr="00CD5168" w:rsidRDefault="00CD5168" w:rsidP="00F302E6">
            <w:pPr>
              <w:spacing w:before="60" w:after="60" w:line="271" w:lineRule="auto"/>
              <w:jc w:val="center"/>
              <w:rPr>
                <w:rFonts w:asciiTheme="minorHAnsi" w:hAnsiTheme="minorHAnsi" w:cstheme="minorHAnsi"/>
                <w:b/>
                <w:sz w:val="18"/>
              </w:rPr>
            </w:pPr>
            <w:r w:rsidRPr="00CD5168">
              <w:rPr>
                <w:rFonts w:asciiTheme="minorHAnsi" w:hAnsiTheme="minorHAnsi" w:cstheme="minorHAnsi"/>
                <w:b/>
                <w:sz w:val="18"/>
              </w:rPr>
              <w:t>0</w:t>
            </w:r>
          </w:p>
        </w:tc>
        <w:tc>
          <w:tcPr>
            <w:tcW w:w="425" w:type="dxa"/>
            <w:tcBorders>
              <w:top w:val="nil"/>
              <w:left w:val="single" w:sz="18" w:space="0" w:color="FFFFFF"/>
              <w:bottom w:val="single" w:sz="4" w:space="0" w:color="FFFFFF"/>
              <w:right w:val="single" w:sz="18" w:space="0" w:color="FFFFFF"/>
            </w:tcBorders>
            <w:shd w:val="clear" w:color="auto" w:fill="FFCC00"/>
            <w:vAlign w:val="center"/>
          </w:tcPr>
          <w:p w14:paraId="77E13802" w14:textId="77777777" w:rsidR="00CD5168" w:rsidRPr="00CD5168" w:rsidRDefault="00CD5168" w:rsidP="00F302E6">
            <w:pPr>
              <w:spacing w:before="60" w:after="60" w:line="271" w:lineRule="auto"/>
              <w:jc w:val="center"/>
              <w:rPr>
                <w:rFonts w:asciiTheme="minorHAnsi" w:hAnsiTheme="minorHAnsi" w:cstheme="minorHAnsi"/>
                <w:b/>
                <w:sz w:val="18"/>
              </w:rPr>
            </w:pPr>
            <w:r w:rsidRPr="00CD5168">
              <w:rPr>
                <w:rFonts w:asciiTheme="minorHAnsi" w:hAnsiTheme="minorHAnsi" w:cstheme="minorHAnsi"/>
                <w:b/>
                <w:sz w:val="18"/>
              </w:rPr>
              <w:t>0</w:t>
            </w:r>
          </w:p>
        </w:tc>
        <w:tc>
          <w:tcPr>
            <w:tcW w:w="426" w:type="dxa"/>
            <w:tcBorders>
              <w:top w:val="nil"/>
              <w:left w:val="single" w:sz="18" w:space="0" w:color="FFFFFF"/>
              <w:bottom w:val="single" w:sz="4" w:space="0" w:color="FFFFFF"/>
              <w:right w:val="single" w:sz="18" w:space="0" w:color="FFFFFF"/>
            </w:tcBorders>
            <w:shd w:val="clear" w:color="auto" w:fill="DC0D15"/>
            <w:vAlign w:val="center"/>
          </w:tcPr>
          <w:p w14:paraId="162EA202" w14:textId="77777777" w:rsidR="00CD5168" w:rsidRPr="00CD5168" w:rsidRDefault="00CD5168" w:rsidP="00F302E6">
            <w:pPr>
              <w:spacing w:before="60" w:after="60" w:line="271" w:lineRule="auto"/>
              <w:jc w:val="center"/>
              <w:rPr>
                <w:rFonts w:asciiTheme="minorHAnsi" w:hAnsiTheme="minorHAnsi" w:cstheme="minorHAnsi"/>
                <w:b/>
                <w:sz w:val="18"/>
              </w:rPr>
            </w:pPr>
            <w:r>
              <w:rPr>
                <w:rFonts w:asciiTheme="minorHAnsi" w:hAnsiTheme="minorHAnsi" w:cstheme="minorHAnsi"/>
                <w:b/>
                <w:sz w:val="18"/>
              </w:rPr>
              <w:t>2</w:t>
            </w:r>
          </w:p>
        </w:tc>
      </w:tr>
    </w:tbl>
    <w:p w14:paraId="50A2E330" w14:textId="148D17D3" w:rsidR="00E16A19" w:rsidRPr="00E16A19" w:rsidRDefault="00E16A19" w:rsidP="008E7C41">
      <w:pPr>
        <w:spacing w:before="120" w:after="120" w:line="271" w:lineRule="auto"/>
        <w:rPr>
          <w:rFonts w:asciiTheme="minorHAnsi" w:hAnsiTheme="minorHAnsi" w:cstheme="minorHAnsi"/>
          <w:b/>
          <w:color w:val="163D82"/>
          <w:sz w:val="20"/>
          <w:szCs w:val="22"/>
        </w:rPr>
      </w:pPr>
      <w:r w:rsidRPr="00E16A19">
        <w:rPr>
          <w:rFonts w:asciiTheme="minorHAnsi" w:hAnsiTheme="minorHAnsi" w:cstheme="minorHAnsi"/>
          <w:b/>
          <w:color w:val="163D82"/>
          <w:sz w:val="20"/>
          <w:szCs w:val="22"/>
        </w:rPr>
        <w:t>Frauds/Irregularities</w:t>
      </w:r>
    </w:p>
    <w:p w14:paraId="13F28FEB" w14:textId="77777777" w:rsidR="00E16A19" w:rsidRPr="00502BEA" w:rsidRDefault="00E16A19" w:rsidP="008E7C41">
      <w:pPr>
        <w:pStyle w:val="ListParagraph"/>
        <w:numPr>
          <w:ilvl w:val="0"/>
          <w:numId w:val="24"/>
        </w:numPr>
        <w:spacing w:before="120" w:after="160" w:line="259" w:lineRule="auto"/>
        <w:ind w:hanging="720"/>
        <w:jc w:val="both"/>
        <w:rPr>
          <w:rFonts w:asciiTheme="minorHAnsi" w:hAnsiTheme="minorHAnsi"/>
          <w:b/>
          <w:bCs/>
          <w:color w:val="163D82"/>
        </w:rPr>
      </w:pPr>
      <w:r w:rsidRPr="00502BEA">
        <w:rPr>
          <w:rFonts w:asciiTheme="minorHAnsi" w:hAnsiTheme="minorHAnsi" w:cstheme="minorHAnsi"/>
        </w:rPr>
        <w:t>We have not been advised of any frauds or irregularities in the period since the last SICA report was issued.</w:t>
      </w:r>
    </w:p>
    <w:p w14:paraId="5B87D7ED" w14:textId="77777777" w:rsidR="00E16A19" w:rsidRPr="00E16A19" w:rsidRDefault="00E16A19" w:rsidP="008E7C41">
      <w:pPr>
        <w:spacing w:before="120" w:after="120" w:line="271" w:lineRule="auto"/>
        <w:rPr>
          <w:rFonts w:asciiTheme="minorHAnsi" w:hAnsiTheme="minorHAnsi" w:cstheme="minorHAnsi"/>
          <w:b/>
          <w:color w:val="163D82"/>
          <w:sz w:val="20"/>
          <w:szCs w:val="22"/>
        </w:rPr>
      </w:pPr>
      <w:r w:rsidRPr="00E16A19">
        <w:rPr>
          <w:rFonts w:asciiTheme="minorHAnsi" w:hAnsiTheme="minorHAnsi" w:cstheme="minorHAnsi"/>
          <w:b/>
          <w:color w:val="163D82"/>
          <w:sz w:val="20"/>
          <w:szCs w:val="22"/>
        </w:rPr>
        <w:t>Other Matters</w:t>
      </w:r>
    </w:p>
    <w:p w14:paraId="057389B9" w14:textId="7C29E9D5" w:rsidR="00E16A19" w:rsidRPr="00E16A19" w:rsidRDefault="00E16A19" w:rsidP="008E7C41">
      <w:pPr>
        <w:numPr>
          <w:ilvl w:val="0"/>
          <w:numId w:val="23"/>
        </w:numPr>
        <w:spacing w:before="120" w:after="120" w:line="271" w:lineRule="auto"/>
        <w:ind w:hanging="720"/>
        <w:rPr>
          <w:rFonts w:asciiTheme="minorHAnsi" w:eastAsia="Calibri" w:hAnsiTheme="minorHAnsi" w:cstheme="minorBidi"/>
          <w:sz w:val="20"/>
        </w:rPr>
      </w:pPr>
      <w:r w:rsidRPr="4C8BA31E">
        <w:rPr>
          <w:rFonts w:asciiTheme="minorHAnsi" w:eastAsia="Calibri" w:hAnsiTheme="minorHAnsi" w:cstheme="minorBidi"/>
          <w:sz w:val="20"/>
        </w:rPr>
        <w:t xml:space="preserve">We have issued </w:t>
      </w:r>
      <w:bookmarkStart w:id="4" w:name="_Int_ap96KShX"/>
      <w:proofErr w:type="gramStart"/>
      <w:r w:rsidRPr="4C8BA31E">
        <w:rPr>
          <w:rFonts w:asciiTheme="minorHAnsi" w:eastAsia="Calibri" w:hAnsiTheme="minorHAnsi" w:cstheme="minorBidi"/>
          <w:sz w:val="20"/>
        </w:rPr>
        <w:t>a number of</w:t>
      </w:r>
      <w:bookmarkEnd w:id="4"/>
      <w:proofErr w:type="gramEnd"/>
      <w:r w:rsidRPr="4C8BA31E">
        <w:rPr>
          <w:rFonts w:asciiTheme="minorHAnsi" w:eastAsia="Calibri" w:hAnsiTheme="minorHAnsi" w:cstheme="minorBidi"/>
          <w:sz w:val="20"/>
        </w:rPr>
        <w:t xml:space="preserve"> briefing notes and fraud digests</w:t>
      </w:r>
      <w:r w:rsidR="00932D41" w:rsidRPr="00932D41">
        <w:rPr>
          <w:rFonts w:asciiTheme="minorHAnsi" w:eastAsia="Calibri" w:hAnsiTheme="minorHAnsi" w:cstheme="minorBidi"/>
          <w:sz w:val="20"/>
        </w:rPr>
        <w:t xml:space="preserve"> </w:t>
      </w:r>
      <w:r w:rsidR="00932D41" w:rsidRPr="4C8BA31E">
        <w:rPr>
          <w:rFonts w:asciiTheme="minorHAnsi" w:eastAsia="Calibri" w:hAnsiTheme="minorHAnsi" w:cstheme="minorBidi"/>
          <w:sz w:val="20"/>
        </w:rPr>
        <w:t>since the previous SICA report</w:t>
      </w:r>
      <w:r w:rsidRPr="4C8BA31E">
        <w:rPr>
          <w:rFonts w:asciiTheme="minorHAnsi" w:eastAsia="Calibri" w:hAnsiTheme="minorHAnsi" w:cstheme="minorBidi"/>
          <w:sz w:val="20"/>
        </w:rPr>
        <w:t xml:space="preserve">, shown in Appendix </w:t>
      </w:r>
      <w:r w:rsidR="0080490E">
        <w:rPr>
          <w:rFonts w:asciiTheme="minorHAnsi" w:eastAsia="Calibri" w:hAnsiTheme="minorHAnsi" w:cstheme="minorBidi"/>
          <w:sz w:val="20"/>
        </w:rPr>
        <w:t>C</w:t>
      </w:r>
      <w:r w:rsidRPr="4C8BA31E">
        <w:rPr>
          <w:rFonts w:asciiTheme="minorHAnsi" w:eastAsia="Calibri" w:hAnsiTheme="minorHAnsi" w:cstheme="minorBidi"/>
          <w:sz w:val="20"/>
        </w:rPr>
        <w:t>.</w:t>
      </w:r>
    </w:p>
    <w:p w14:paraId="3C7743E4" w14:textId="188E511B" w:rsidR="00E16A19" w:rsidRPr="00E16A19" w:rsidRDefault="00E16A19" w:rsidP="008E7C41">
      <w:pPr>
        <w:spacing w:before="120" w:after="120" w:line="271" w:lineRule="auto"/>
        <w:rPr>
          <w:rFonts w:asciiTheme="minorHAnsi" w:hAnsiTheme="minorHAnsi" w:cstheme="minorHAnsi"/>
          <w:b/>
          <w:color w:val="163D82"/>
          <w:sz w:val="20"/>
          <w:szCs w:val="22"/>
        </w:rPr>
      </w:pPr>
      <w:r w:rsidRPr="00E16A19">
        <w:rPr>
          <w:rFonts w:asciiTheme="minorHAnsi" w:hAnsiTheme="minorHAnsi" w:cstheme="minorHAnsi"/>
          <w:b/>
          <w:color w:val="163D82"/>
          <w:sz w:val="20"/>
          <w:szCs w:val="22"/>
        </w:rPr>
        <w:t>Responsibility/Disclaimer</w:t>
      </w:r>
    </w:p>
    <w:p w14:paraId="4DAABDFB" w14:textId="77777777" w:rsidR="008E7C41" w:rsidRDefault="00E16A19" w:rsidP="008E7C41">
      <w:pPr>
        <w:numPr>
          <w:ilvl w:val="0"/>
          <w:numId w:val="23"/>
        </w:numPr>
        <w:spacing w:before="120" w:after="120" w:line="271" w:lineRule="auto"/>
        <w:ind w:left="709" w:hanging="709"/>
        <w:rPr>
          <w:rFonts w:asciiTheme="minorHAnsi" w:eastAsia="Calibri" w:hAnsiTheme="minorHAnsi" w:cstheme="minorHAnsi"/>
          <w:sz w:val="20"/>
          <w:szCs w:val="22"/>
        </w:rPr>
      </w:pPr>
      <w:r w:rsidRPr="00E16A19">
        <w:rPr>
          <w:rFonts w:asciiTheme="minorHAnsi" w:eastAsia="Calibri" w:hAnsiTheme="minorHAnsi" w:cstheme="minorHAnsi"/>
          <w:sz w:val="20"/>
          <w:szCs w:val="22"/>
        </w:rPr>
        <w:t>This report has been prepared solely for management's use and must not be recited or referred to in whole or in part to third parties without our prior written consent. The matters raised in this report not necessarily a comprehensive statement of all the weaknesses that exist or all the improvements that might be made. No responsibility to any third party is accepted as the report has not been prepared, and is not intended, for any other purpose. TIAA neither owes nor accepts any duty of care to any other party who may receive this report and specifically disclaims any liability for loss, damage or expense of whatsoever nature, which is caused by their reliance on our report</w:t>
      </w:r>
      <w:r w:rsidR="005464C3">
        <w:rPr>
          <w:rFonts w:asciiTheme="minorHAnsi" w:eastAsia="Calibri" w:hAnsiTheme="minorHAnsi" w:cstheme="minorHAnsi"/>
          <w:sz w:val="20"/>
          <w:szCs w:val="22"/>
        </w:rPr>
        <w:t>.</w:t>
      </w:r>
    </w:p>
    <w:p w14:paraId="464BC640" w14:textId="77777777" w:rsidR="008E7C41" w:rsidRDefault="008E7C41" w:rsidP="008E7C41">
      <w:pPr>
        <w:spacing w:before="120" w:after="120" w:line="271" w:lineRule="auto"/>
        <w:rPr>
          <w:rFonts w:asciiTheme="minorHAnsi" w:eastAsia="Calibri" w:hAnsiTheme="minorHAnsi" w:cstheme="minorHAnsi"/>
          <w:sz w:val="20"/>
          <w:szCs w:val="22"/>
        </w:rPr>
        <w:sectPr w:rsidR="008E7C41" w:rsidSect="008E7C41">
          <w:headerReference w:type="default" r:id="rId18"/>
          <w:footerReference w:type="default" r:id="rId19"/>
          <w:type w:val="continuous"/>
          <w:pgSz w:w="16838" w:h="11906" w:orient="landscape"/>
          <w:pgMar w:top="709" w:right="1134" w:bottom="1134" w:left="1134" w:header="283" w:footer="282" w:gutter="0"/>
          <w:cols w:space="708"/>
          <w:docGrid w:linePitch="360"/>
        </w:sectPr>
      </w:pPr>
    </w:p>
    <w:p w14:paraId="46684635" w14:textId="183DEA73" w:rsidR="008E7C41" w:rsidRPr="008E7C41" w:rsidRDefault="008E7C41" w:rsidP="008E7C41">
      <w:pPr>
        <w:pBdr>
          <w:bottom w:val="single" w:sz="24" w:space="1" w:color="50B9A9"/>
        </w:pBdr>
        <w:spacing w:before="120" w:after="120" w:line="271" w:lineRule="auto"/>
        <w:rPr>
          <w:rFonts w:ascii="Calibri" w:eastAsia="Calibri" w:hAnsi="Calibri" w:cs="Calibri"/>
          <w:sz w:val="20"/>
          <w:szCs w:val="22"/>
        </w:rPr>
      </w:pPr>
      <w:r w:rsidRPr="008E7C41">
        <w:rPr>
          <w:rFonts w:ascii="Calibri" w:hAnsi="Calibri" w:cs="Calibri"/>
          <w:color w:val="163D82"/>
          <w:sz w:val="36"/>
          <w:szCs w:val="36"/>
          <w:lang w:eastAsia="en-GB"/>
        </w:rPr>
        <w:lastRenderedPageBreak/>
        <w:t>Appendix A: Progress against Annual Plan 2026-27</w:t>
      </w:r>
    </w:p>
    <w:p w14:paraId="04CEA516" w14:textId="77777777" w:rsidR="008E7C41" w:rsidRDefault="008E7C41" w:rsidP="008E7C41">
      <w:pPr>
        <w:spacing w:before="120" w:after="120" w:line="271" w:lineRule="auto"/>
        <w:rPr>
          <w:rFonts w:asciiTheme="minorHAnsi" w:eastAsia="Calibri" w:hAnsiTheme="minorHAnsi" w:cstheme="minorHAnsi"/>
          <w:sz w:val="20"/>
          <w:szCs w:val="22"/>
        </w:rPr>
      </w:pPr>
    </w:p>
    <w:tbl>
      <w:tblPr>
        <w:tblW w:w="15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4"/>
        <w:gridCol w:w="850"/>
        <w:gridCol w:w="3119"/>
        <w:gridCol w:w="5824"/>
      </w:tblGrid>
      <w:tr w:rsidR="008E7C41" w:rsidRPr="008E7C41" w14:paraId="3C8DF73F"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D9D9D9"/>
            <w:vAlign w:val="center"/>
          </w:tcPr>
          <w:p w14:paraId="682551D4" w14:textId="77777777" w:rsidR="008E7C41" w:rsidRPr="008E7C41" w:rsidRDefault="008E7C41" w:rsidP="00AC7530">
            <w:pPr>
              <w:spacing w:before="60" w:after="60" w:line="271" w:lineRule="auto"/>
              <w:jc w:val="left"/>
              <w:rPr>
                <w:rFonts w:asciiTheme="minorHAnsi" w:hAnsiTheme="minorHAnsi" w:cstheme="minorHAnsi"/>
                <w:b/>
                <w:bCs/>
                <w:color w:val="163D82"/>
                <w:sz w:val="18"/>
                <w:szCs w:val="18"/>
              </w:rPr>
            </w:pPr>
            <w:r w:rsidRPr="008E7C41">
              <w:rPr>
                <w:rFonts w:asciiTheme="minorHAnsi" w:hAnsiTheme="minorHAnsi" w:cstheme="minorHAnsi"/>
                <w:b/>
                <w:bCs/>
                <w:color w:val="163D82"/>
                <w:sz w:val="18"/>
                <w:szCs w:val="18"/>
              </w:rPr>
              <w:t>System</w:t>
            </w:r>
          </w:p>
        </w:tc>
        <w:tc>
          <w:tcPr>
            <w:tcW w:w="850" w:type="dxa"/>
            <w:tcBorders>
              <w:top w:val="single" w:sz="18" w:space="0" w:color="FFFFFF"/>
              <w:left w:val="single" w:sz="18" w:space="0" w:color="FFFFFF"/>
              <w:bottom w:val="single" w:sz="18" w:space="0" w:color="FFFFFF"/>
              <w:right w:val="single" w:sz="18" w:space="0" w:color="FFFFFF"/>
            </w:tcBorders>
            <w:shd w:val="clear" w:color="auto" w:fill="D9D9D9"/>
            <w:vAlign w:val="center"/>
          </w:tcPr>
          <w:p w14:paraId="7AC13284" w14:textId="77777777" w:rsidR="008E7C41" w:rsidRPr="008E7C41" w:rsidRDefault="008E7C41" w:rsidP="00AC7530">
            <w:pPr>
              <w:spacing w:before="60" w:after="60" w:line="271" w:lineRule="auto"/>
              <w:jc w:val="center"/>
              <w:rPr>
                <w:rFonts w:asciiTheme="minorHAnsi" w:hAnsiTheme="minorHAnsi" w:cstheme="minorHAnsi"/>
                <w:b/>
                <w:bCs/>
                <w:color w:val="163D82"/>
                <w:sz w:val="18"/>
                <w:szCs w:val="18"/>
              </w:rPr>
            </w:pPr>
            <w:r w:rsidRPr="008E7C41">
              <w:rPr>
                <w:rFonts w:asciiTheme="minorHAnsi" w:hAnsiTheme="minorHAnsi" w:cstheme="minorHAnsi"/>
                <w:b/>
                <w:bCs/>
                <w:color w:val="163D82"/>
                <w:sz w:val="18"/>
                <w:szCs w:val="18"/>
              </w:rPr>
              <w:t>Planned Quarter</w:t>
            </w:r>
          </w:p>
        </w:tc>
        <w:tc>
          <w:tcPr>
            <w:tcW w:w="3119" w:type="dxa"/>
            <w:tcBorders>
              <w:top w:val="single" w:sz="18" w:space="0" w:color="FFFFFF"/>
              <w:left w:val="single" w:sz="18" w:space="0" w:color="FFFFFF"/>
              <w:bottom w:val="single" w:sz="18" w:space="0" w:color="FFFFFF"/>
              <w:right w:val="single" w:sz="18" w:space="0" w:color="FFFFFF"/>
            </w:tcBorders>
            <w:shd w:val="clear" w:color="auto" w:fill="D9D9D9"/>
            <w:vAlign w:val="center"/>
          </w:tcPr>
          <w:p w14:paraId="60BBDF7F" w14:textId="77777777" w:rsidR="008E7C41" w:rsidRPr="008E7C41" w:rsidRDefault="008E7C41" w:rsidP="00AC7530">
            <w:pPr>
              <w:spacing w:before="60" w:after="60" w:line="271" w:lineRule="auto"/>
              <w:jc w:val="left"/>
              <w:rPr>
                <w:rFonts w:asciiTheme="minorHAnsi" w:hAnsiTheme="minorHAnsi" w:cstheme="minorHAnsi"/>
                <w:b/>
                <w:bCs/>
                <w:color w:val="163D82"/>
                <w:sz w:val="18"/>
                <w:szCs w:val="18"/>
              </w:rPr>
            </w:pPr>
            <w:r w:rsidRPr="008E7C41">
              <w:rPr>
                <w:rFonts w:asciiTheme="minorHAnsi" w:hAnsiTheme="minorHAnsi" w:cstheme="minorHAnsi"/>
                <w:b/>
                <w:bCs/>
                <w:color w:val="163D82"/>
                <w:sz w:val="18"/>
                <w:szCs w:val="18"/>
              </w:rPr>
              <w:t>Current Status</w:t>
            </w:r>
          </w:p>
        </w:tc>
        <w:tc>
          <w:tcPr>
            <w:tcW w:w="5824" w:type="dxa"/>
            <w:tcBorders>
              <w:top w:val="single" w:sz="18" w:space="0" w:color="FFFFFF"/>
              <w:left w:val="single" w:sz="18" w:space="0" w:color="FFFFFF"/>
              <w:bottom w:val="single" w:sz="18" w:space="0" w:color="FFFFFF"/>
              <w:right w:val="single" w:sz="18" w:space="0" w:color="FFFFFF"/>
            </w:tcBorders>
            <w:shd w:val="clear" w:color="auto" w:fill="D9D9D9"/>
            <w:vAlign w:val="center"/>
          </w:tcPr>
          <w:p w14:paraId="2279FA8F" w14:textId="77777777" w:rsidR="008E7C41" w:rsidRPr="008E7C41" w:rsidRDefault="008E7C41" w:rsidP="00AC7530">
            <w:pPr>
              <w:spacing w:before="60" w:after="60" w:line="271" w:lineRule="auto"/>
              <w:jc w:val="left"/>
              <w:rPr>
                <w:rFonts w:asciiTheme="minorHAnsi" w:hAnsiTheme="minorHAnsi" w:cstheme="minorHAnsi"/>
                <w:b/>
                <w:bCs/>
                <w:color w:val="163D82"/>
                <w:sz w:val="18"/>
                <w:szCs w:val="18"/>
              </w:rPr>
            </w:pPr>
            <w:r w:rsidRPr="008E7C41">
              <w:rPr>
                <w:rFonts w:asciiTheme="minorHAnsi" w:hAnsiTheme="minorHAnsi" w:cstheme="minorHAnsi"/>
                <w:b/>
                <w:bCs/>
                <w:color w:val="163D82"/>
                <w:sz w:val="18"/>
                <w:szCs w:val="18"/>
              </w:rPr>
              <w:t>Comments</w:t>
            </w:r>
          </w:p>
        </w:tc>
      </w:tr>
      <w:tr w:rsidR="008E7C41" w:rsidRPr="008E7C41" w14:paraId="655A3EE1" w14:textId="77777777" w:rsidTr="00AC7530">
        <w:trPr>
          <w:cantSplit/>
          <w:trHeight w:val="454"/>
          <w:jc w:val="center"/>
        </w:trPr>
        <w:tc>
          <w:tcPr>
            <w:tcW w:w="15157" w:type="dxa"/>
            <w:gridSpan w:val="4"/>
            <w:tcBorders>
              <w:top w:val="single" w:sz="18" w:space="0" w:color="FFFFFF" w:themeColor="background1"/>
              <w:left w:val="single" w:sz="18" w:space="0" w:color="FFFFFF" w:themeColor="background1"/>
              <w:bottom w:val="nil"/>
              <w:right w:val="single" w:sz="18" w:space="0" w:color="FFFFFF" w:themeColor="background1"/>
            </w:tcBorders>
            <w:shd w:val="clear" w:color="auto" w:fill="D9D9D9"/>
          </w:tcPr>
          <w:p w14:paraId="2D5307AD" w14:textId="77777777" w:rsidR="008E7C41" w:rsidRPr="008E7C41" w:rsidRDefault="008E7C41" w:rsidP="00AC7530">
            <w:pPr>
              <w:spacing w:before="60" w:after="60" w:line="271" w:lineRule="auto"/>
              <w:jc w:val="left"/>
              <w:rPr>
                <w:rFonts w:asciiTheme="minorHAnsi" w:hAnsiTheme="minorHAnsi" w:cstheme="minorHAnsi"/>
                <w:b/>
                <w:sz w:val="18"/>
                <w:szCs w:val="18"/>
              </w:rPr>
            </w:pPr>
            <w:r w:rsidRPr="008E7C41">
              <w:rPr>
                <w:rFonts w:asciiTheme="minorHAnsi" w:hAnsiTheme="minorHAnsi" w:cstheme="minorHAnsi"/>
                <w:b/>
                <w:color w:val="163D82"/>
                <w:sz w:val="18"/>
                <w:szCs w:val="18"/>
              </w:rPr>
              <w:t>Collaborative</w:t>
            </w:r>
          </w:p>
        </w:tc>
      </w:tr>
      <w:tr w:rsidR="008E7C41" w:rsidRPr="008E7C41" w14:paraId="3F533B6D" w14:textId="77777777" w:rsidTr="00AC7530">
        <w:trPr>
          <w:cantSplit/>
          <w:trHeight w:val="454"/>
          <w:jc w:val="center"/>
        </w:trPr>
        <w:tc>
          <w:tcPr>
            <w:tcW w:w="5364" w:type="dxa"/>
            <w:tcBorders>
              <w:top w:val="nil"/>
              <w:left w:val="single" w:sz="18" w:space="0" w:color="FFFFFF" w:themeColor="background1"/>
              <w:bottom w:val="single" w:sz="18" w:space="0" w:color="FFFFFF" w:themeColor="background1"/>
              <w:right w:val="single" w:sz="18" w:space="0" w:color="FFFFFF" w:themeColor="background1"/>
            </w:tcBorders>
            <w:shd w:val="clear" w:color="auto" w:fill="B1E3B7"/>
          </w:tcPr>
          <w:p w14:paraId="522B1F12"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Risk Management - Mitigating Controls</w:t>
            </w:r>
          </w:p>
        </w:tc>
        <w:tc>
          <w:tcPr>
            <w:tcW w:w="850" w:type="dxa"/>
            <w:tcBorders>
              <w:top w:val="nil"/>
              <w:left w:val="single" w:sz="18" w:space="0" w:color="FFFFFF" w:themeColor="background1"/>
              <w:bottom w:val="single" w:sz="18" w:space="0" w:color="FFFFFF" w:themeColor="background1"/>
              <w:right w:val="single" w:sz="18" w:space="0" w:color="FFFFFF" w:themeColor="background1"/>
            </w:tcBorders>
            <w:shd w:val="clear" w:color="auto" w:fill="B1E3B7"/>
          </w:tcPr>
          <w:p w14:paraId="5B53CD81"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w:t>
            </w:r>
          </w:p>
        </w:tc>
        <w:tc>
          <w:tcPr>
            <w:tcW w:w="3119" w:type="dxa"/>
            <w:tcBorders>
              <w:top w:val="nil"/>
              <w:left w:val="single" w:sz="18" w:space="0" w:color="FFFFFF" w:themeColor="background1"/>
              <w:bottom w:val="single" w:sz="18" w:space="0" w:color="FFFFFF" w:themeColor="background1"/>
              <w:right w:val="single" w:sz="18" w:space="0" w:color="FFFFFF" w:themeColor="background1"/>
            </w:tcBorders>
            <w:shd w:val="clear" w:color="auto" w:fill="B1E3B7"/>
          </w:tcPr>
          <w:p w14:paraId="38FFB125"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Final report issued 3</w:t>
            </w:r>
            <w:r w:rsidRPr="008E7C41">
              <w:rPr>
                <w:rFonts w:asciiTheme="minorHAnsi" w:hAnsiTheme="minorHAnsi" w:cstheme="minorHAnsi"/>
                <w:color w:val="000000"/>
                <w:sz w:val="18"/>
                <w:szCs w:val="18"/>
                <w:vertAlign w:val="superscript"/>
              </w:rPr>
              <w:t>rd</w:t>
            </w:r>
            <w:r w:rsidRPr="008E7C41">
              <w:rPr>
                <w:rFonts w:asciiTheme="minorHAnsi" w:hAnsiTheme="minorHAnsi" w:cstheme="minorHAnsi"/>
                <w:color w:val="000000"/>
                <w:sz w:val="18"/>
                <w:szCs w:val="18"/>
              </w:rPr>
              <w:t xml:space="preserve"> September 2026</w:t>
            </w:r>
          </w:p>
        </w:tc>
        <w:tc>
          <w:tcPr>
            <w:tcW w:w="5824" w:type="dxa"/>
            <w:tcBorders>
              <w:top w:val="nil"/>
              <w:left w:val="single" w:sz="18" w:space="0" w:color="FFFFFF" w:themeColor="background1"/>
              <w:bottom w:val="single" w:sz="18" w:space="0" w:color="FFFFFF" w:themeColor="background1"/>
              <w:right w:val="single" w:sz="18" w:space="0" w:color="FFFFFF" w:themeColor="background1"/>
            </w:tcBorders>
            <w:shd w:val="clear" w:color="auto" w:fill="B1E3B7"/>
          </w:tcPr>
          <w:p w14:paraId="443BA5C4"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 xml:space="preserve">Lead Force – Gwent Police </w:t>
            </w:r>
          </w:p>
        </w:tc>
      </w:tr>
      <w:tr w:rsidR="008E7C41" w:rsidRPr="008E7C41" w14:paraId="0532F140"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71B9BA9"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HR Management - Wellbeing Strategy: Occupational Health and Absence</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92FA524"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33DF54EF"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Planned start date 22</w:t>
            </w:r>
            <w:r w:rsidRPr="008E7C41">
              <w:rPr>
                <w:rFonts w:asciiTheme="minorHAnsi" w:hAnsiTheme="minorHAnsi" w:cstheme="minorHAnsi"/>
                <w:color w:val="000000"/>
                <w:sz w:val="18"/>
                <w:szCs w:val="18"/>
                <w:vertAlign w:val="superscript"/>
              </w:rPr>
              <w:t>nd</w:t>
            </w:r>
            <w:r w:rsidRPr="008E7C41">
              <w:rPr>
                <w:rFonts w:asciiTheme="minorHAnsi" w:hAnsiTheme="minorHAnsi" w:cstheme="minorHAnsi"/>
                <w:color w:val="000000"/>
                <w:sz w:val="18"/>
                <w:szCs w:val="18"/>
              </w:rPr>
              <w:t xml:space="preserve"> September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19CA1C3C"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 xml:space="preserve">Lead Force – Gwent Police </w:t>
            </w:r>
          </w:p>
          <w:p w14:paraId="79A9E13E"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Moved to Q2 at the request of South Wales Police</w:t>
            </w:r>
          </w:p>
        </w:tc>
      </w:tr>
      <w:tr w:rsidR="008E7C41" w:rsidRPr="008E7C41" w14:paraId="6BCCFDFA" w14:textId="77777777" w:rsidTr="00AC7530">
        <w:trPr>
          <w:cantSplit/>
          <w:trHeight w:val="454"/>
          <w:jc w:val="center"/>
        </w:trPr>
        <w:tc>
          <w:tcPr>
            <w:tcW w:w="5364" w:type="dxa"/>
            <w:tcBorders>
              <w:top w:val="single" w:sz="18" w:space="0" w:color="FFFFFF" w:themeColor="background1"/>
              <w:left w:val="single" w:sz="18" w:space="0" w:color="FFFFFF"/>
              <w:bottom w:val="single" w:sz="18" w:space="0" w:color="FFFFFF"/>
              <w:right w:val="single" w:sz="18" w:space="0" w:color="FFFFFF"/>
            </w:tcBorders>
            <w:shd w:val="clear" w:color="auto" w:fill="CADAE8"/>
          </w:tcPr>
          <w:p w14:paraId="0E5DE31E"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Annual Governance Statement</w:t>
            </w:r>
          </w:p>
        </w:tc>
        <w:tc>
          <w:tcPr>
            <w:tcW w:w="850" w:type="dxa"/>
            <w:tcBorders>
              <w:top w:val="single" w:sz="18" w:space="0" w:color="FFFFFF" w:themeColor="background1"/>
              <w:left w:val="single" w:sz="18" w:space="0" w:color="FFFFFF"/>
              <w:bottom w:val="single" w:sz="18" w:space="0" w:color="FFFFFF"/>
              <w:right w:val="single" w:sz="18" w:space="0" w:color="FFFFFF"/>
            </w:tcBorders>
            <w:shd w:val="clear" w:color="auto" w:fill="CADAE8"/>
          </w:tcPr>
          <w:p w14:paraId="42DEB896"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w:t>
            </w:r>
          </w:p>
        </w:tc>
        <w:tc>
          <w:tcPr>
            <w:tcW w:w="3119" w:type="dxa"/>
            <w:tcBorders>
              <w:top w:val="single" w:sz="18" w:space="0" w:color="FFFFFF" w:themeColor="background1"/>
              <w:left w:val="single" w:sz="18" w:space="0" w:color="FFFFFF"/>
              <w:bottom w:val="single" w:sz="18" w:space="0" w:color="FFFFFF"/>
              <w:right w:val="single" w:sz="18" w:space="0" w:color="FFFFFF"/>
            </w:tcBorders>
            <w:shd w:val="clear" w:color="auto" w:fill="CADAE8"/>
          </w:tcPr>
          <w:p w14:paraId="755C1F4A"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Planned start date 17</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September 2026</w:t>
            </w:r>
          </w:p>
        </w:tc>
        <w:tc>
          <w:tcPr>
            <w:tcW w:w="5824" w:type="dxa"/>
            <w:tcBorders>
              <w:top w:val="single" w:sz="18" w:space="0" w:color="FFFFFF" w:themeColor="background1"/>
              <w:left w:val="single" w:sz="18" w:space="0" w:color="FFFFFF"/>
              <w:bottom w:val="single" w:sz="18" w:space="0" w:color="FFFFFF"/>
              <w:right w:val="single" w:sz="18" w:space="0" w:color="FFFFFF"/>
            </w:tcBorders>
            <w:shd w:val="clear" w:color="auto" w:fill="CADAE8"/>
          </w:tcPr>
          <w:p w14:paraId="6A29610D"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South Wales Police</w:t>
            </w:r>
          </w:p>
          <w:p w14:paraId="507D23A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Moved from early Q2 to end at the request of South Wales Police and Gwent Police to review 2025/26 statement</w:t>
            </w:r>
          </w:p>
        </w:tc>
      </w:tr>
      <w:tr w:rsidR="008E7C41" w:rsidRPr="008E7C41" w14:paraId="2B1F7D43"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FFFF9C"/>
          </w:tcPr>
          <w:p w14:paraId="323850E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Data Protection / GDPR</w:t>
            </w:r>
          </w:p>
        </w:tc>
        <w:tc>
          <w:tcPr>
            <w:tcW w:w="850" w:type="dxa"/>
            <w:tcBorders>
              <w:top w:val="single" w:sz="18" w:space="0" w:color="FFFFFF"/>
              <w:left w:val="single" w:sz="18" w:space="0" w:color="FFFFFF"/>
              <w:bottom w:val="single" w:sz="18" w:space="0" w:color="FFFFFF"/>
              <w:right w:val="single" w:sz="18" w:space="0" w:color="FFFFFF"/>
            </w:tcBorders>
            <w:shd w:val="clear" w:color="auto" w:fill="FFFF9C"/>
          </w:tcPr>
          <w:p w14:paraId="3583F20D"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left w:val="single" w:sz="18" w:space="0" w:color="FFFFFF"/>
              <w:bottom w:val="single" w:sz="18" w:space="0" w:color="FFFFFF"/>
              <w:right w:val="single" w:sz="18" w:space="0" w:color="FFFFFF"/>
            </w:tcBorders>
            <w:shd w:val="clear" w:color="auto" w:fill="FFFF9C"/>
          </w:tcPr>
          <w:p w14:paraId="21E9B18B"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Fieldwork completed</w:t>
            </w:r>
          </w:p>
        </w:tc>
        <w:tc>
          <w:tcPr>
            <w:tcW w:w="5824" w:type="dxa"/>
            <w:tcBorders>
              <w:top w:val="single" w:sz="18" w:space="0" w:color="FFFFFF"/>
              <w:left w:val="single" w:sz="18" w:space="0" w:color="FFFFFF"/>
              <w:bottom w:val="single" w:sz="18" w:space="0" w:color="FFFFFF"/>
              <w:right w:val="single" w:sz="18" w:space="0" w:color="FFFFFF"/>
            </w:tcBorders>
            <w:shd w:val="clear" w:color="auto" w:fill="FFFF9C"/>
          </w:tcPr>
          <w:p w14:paraId="1D4CECA7"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South Wales Police</w:t>
            </w:r>
          </w:p>
        </w:tc>
      </w:tr>
      <w:tr w:rsidR="008E7C41" w:rsidRPr="008E7C41" w14:paraId="7BCFF087"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72154ED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Performance Management</w:t>
            </w:r>
          </w:p>
        </w:tc>
        <w:tc>
          <w:tcPr>
            <w:tcW w:w="850" w:type="dxa"/>
            <w:tcBorders>
              <w:top w:val="single" w:sz="18" w:space="0" w:color="FFFFFF"/>
              <w:left w:val="single" w:sz="18" w:space="0" w:color="FFFFFF"/>
              <w:bottom w:val="single" w:sz="18" w:space="0" w:color="FFFFFF"/>
              <w:right w:val="single" w:sz="18" w:space="0" w:color="FFFFFF"/>
            </w:tcBorders>
            <w:shd w:val="clear" w:color="auto" w:fill="CADAE8"/>
          </w:tcPr>
          <w:p w14:paraId="367DEC8A"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left w:val="single" w:sz="18" w:space="0" w:color="FFFFFF"/>
              <w:bottom w:val="single" w:sz="18" w:space="0" w:color="FFFFFF"/>
              <w:right w:val="single" w:sz="18" w:space="0" w:color="FFFFFF"/>
            </w:tcBorders>
            <w:shd w:val="clear" w:color="auto" w:fill="CADAE8"/>
          </w:tcPr>
          <w:p w14:paraId="17E83597"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Suggested start date 8</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February 2027</w:t>
            </w:r>
          </w:p>
        </w:tc>
        <w:tc>
          <w:tcPr>
            <w:tcW w:w="5824" w:type="dxa"/>
            <w:tcBorders>
              <w:top w:val="single" w:sz="18" w:space="0" w:color="FFFFFF"/>
              <w:left w:val="single" w:sz="18" w:space="0" w:color="FFFFFF"/>
              <w:bottom w:val="single" w:sz="18" w:space="0" w:color="FFFFFF"/>
              <w:right w:val="single" w:sz="18" w:space="0" w:color="FFFFFF"/>
            </w:tcBorders>
            <w:shd w:val="clear" w:color="auto" w:fill="CADAE8"/>
          </w:tcPr>
          <w:p w14:paraId="425C91F6"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Gwent Police</w:t>
            </w:r>
          </w:p>
          <w:p w14:paraId="7458555E"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Moved to Q4 at the request of each force due to new National Performance Framework</w:t>
            </w:r>
          </w:p>
        </w:tc>
      </w:tr>
      <w:tr w:rsidR="008E7C41" w:rsidRPr="008E7C41" w14:paraId="64EEFCEE"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F4D4E2"/>
          </w:tcPr>
          <w:p w14:paraId="734B7522"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Property Subject to Charge (Evidential Property)</w:t>
            </w:r>
          </w:p>
        </w:tc>
        <w:tc>
          <w:tcPr>
            <w:tcW w:w="850" w:type="dxa"/>
            <w:tcBorders>
              <w:top w:val="single" w:sz="18" w:space="0" w:color="FFFFFF"/>
              <w:left w:val="single" w:sz="18" w:space="0" w:color="FFFFFF"/>
              <w:bottom w:val="single" w:sz="18" w:space="0" w:color="FFFFFF"/>
              <w:right w:val="single" w:sz="18" w:space="0" w:color="FFFFFF"/>
            </w:tcBorders>
            <w:shd w:val="clear" w:color="auto" w:fill="F4D4E2"/>
          </w:tcPr>
          <w:p w14:paraId="30D99090"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left w:val="single" w:sz="18" w:space="0" w:color="FFFFFF"/>
              <w:bottom w:val="single" w:sz="18" w:space="0" w:color="FFFFFF"/>
              <w:right w:val="single" w:sz="18" w:space="0" w:color="FFFFFF"/>
            </w:tcBorders>
            <w:shd w:val="clear" w:color="auto" w:fill="F4D4E2"/>
          </w:tcPr>
          <w:p w14:paraId="258BBDDB"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Draft report issued 7</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September 2026</w:t>
            </w:r>
          </w:p>
        </w:tc>
        <w:tc>
          <w:tcPr>
            <w:tcW w:w="5824" w:type="dxa"/>
            <w:tcBorders>
              <w:top w:val="single" w:sz="18" w:space="0" w:color="FFFFFF"/>
              <w:left w:val="single" w:sz="18" w:space="0" w:color="FFFFFF"/>
              <w:bottom w:val="single" w:sz="18" w:space="0" w:color="FFFFFF"/>
              <w:right w:val="single" w:sz="18" w:space="0" w:color="FFFFFF"/>
            </w:tcBorders>
            <w:shd w:val="clear" w:color="auto" w:fill="F4D4E2"/>
          </w:tcPr>
          <w:p w14:paraId="7CFF305B"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 xml:space="preserve">Lead Force – North Wales Police </w:t>
            </w:r>
          </w:p>
        </w:tc>
      </w:tr>
      <w:tr w:rsidR="008E7C41" w:rsidRPr="008E7C41" w14:paraId="3AF6F348"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3F6A29A0"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Pensions Governance (TPR requirements / security of transfers out)</w:t>
            </w:r>
          </w:p>
        </w:tc>
        <w:tc>
          <w:tcPr>
            <w:tcW w:w="850" w:type="dxa"/>
            <w:tcBorders>
              <w:top w:val="single" w:sz="18" w:space="0" w:color="FFFFFF"/>
              <w:left w:val="single" w:sz="18" w:space="0" w:color="FFFFFF"/>
              <w:bottom w:val="single" w:sz="18" w:space="0" w:color="FFFFFF"/>
              <w:right w:val="single" w:sz="18" w:space="0" w:color="FFFFFF"/>
            </w:tcBorders>
            <w:shd w:val="clear" w:color="auto" w:fill="CADAE8"/>
          </w:tcPr>
          <w:p w14:paraId="66CBBFEE"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left w:val="single" w:sz="18" w:space="0" w:color="FFFFFF"/>
              <w:bottom w:val="single" w:sz="18" w:space="0" w:color="FFFFFF"/>
              <w:right w:val="single" w:sz="18" w:space="0" w:color="FFFFFF"/>
            </w:tcBorders>
            <w:shd w:val="clear" w:color="auto" w:fill="CADAE8"/>
          </w:tcPr>
          <w:p w14:paraId="318F0160"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Planned start date 13</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November 2026</w:t>
            </w:r>
          </w:p>
        </w:tc>
        <w:tc>
          <w:tcPr>
            <w:tcW w:w="5824" w:type="dxa"/>
            <w:tcBorders>
              <w:top w:val="single" w:sz="18" w:space="0" w:color="FFFFFF"/>
              <w:left w:val="single" w:sz="18" w:space="0" w:color="FFFFFF"/>
              <w:bottom w:val="single" w:sz="18" w:space="0" w:color="FFFFFF"/>
              <w:right w:val="single" w:sz="18" w:space="0" w:color="FFFFFF"/>
            </w:tcBorders>
            <w:shd w:val="clear" w:color="auto" w:fill="CADAE8"/>
          </w:tcPr>
          <w:p w14:paraId="563499A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Dyfed-Powys Police</w:t>
            </w:r>
          </w:p>
        </w:tc>
      </w:tr>
      <w:tr w:rsidR="008E7C41" w:rsidRPr="008E7C41" w14:paraId="08D8FAF7"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2EDFEEAB"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Counter Fraud – External Exposure - Digital Threats</w:t>
            </w:r>
          </w:p>
        </w:tc>
        <w:tc>
          <w:tcPr>
            <w:tcW w:w="850" w:type="dxa"/>
            <w:tcBorders>
              <w:top w:val="single" w:sz="18" w:space="0" w:color="FFFFFF"/>
              <w:left w:val="single" w:sz="18" w:space="0" w:color="FFFFFF"/>
              <w:bottom w:val="single" w:sz="18" w:space="0" w:color="FFFFFF"/>
              <w:right w:val="single" w:sz="18" w:space="0" w:color="FFFFFF"/>
            </w:tcBorders>
            <w:shd w:val="clear" w:color="auto" w:fill="CADAE8"/>
          </w:tcPr>
          <w:p w14:paraId="5FD3E3F8"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left w:val="single" w:sz="18" w:space="0" w:color="FFFFFF"/>
              <w:bottom w:val="single" w:sz="18" w:space="0" w:color="FFFFFF"/>
              <w:right w:val="single" w:sz="18" w:space="0" w:color="FFFFFF"/>
            </w:tcBorders>
            <w:shd w:val="clear" w:color="auto" w:fill="CADAE8"/>
          </w:tcPr>
          <w:p w14:paraId="5EDD96BB"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Planned start date 24</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November 2026</w:t>
            </w:r>
          </w:p>
        </w:tc>
        <w:tc>
          <w:tcPr>
            <w:tcW w:w="5824" w:type="dxa"/>
            <w:tcBorders>
              <w:top w:val="single" w:sz="18" w:space="0" w:color="FFFFFF"/>
              <w:left w:val="single" w:sz="18" w:space="0" w:color="FFFFFF"/>
              <w:bottom w:val="single" w:sz="18" w:space="0" w:color="FFFFFF"/>
              <w:right w:val="single" w:sz="18" w:space="0" w:color="FFFFFF"/>
            </w:tcBorders>
            <w:shd w:val="clear" w:color="auto" w:fill="CADAE8"/>
          </w:tcPr>
          <w:p w14:paraId="75EC648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Dyfed-Powys Police</w:t>
            </w:r>
          </w:p>
        </w:tc>
      </w:tr>
      <w:tr w:rsidR="008E7C41" w:rsidRPr="008E7C41" w14:paraId="01429E7D"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07209580"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Creditors</w:t>
            </w:r>
          </w:p>
        </w:tc>
        <w:tc>
          <w:tcPr>
            <w:tcW w:w="850" w:type="dxa"/>
            <w:tcBorders>
              <w:top w:val="single" w:sz="18" w:space="0" w:color="FFFFFF"/>
              <w:left w:val="single" w:sz="18" w:space="0" w:color="FFFFFF"/>
              <w:bottom w:val="single" w:sz="18" w:space="0" w:color="FFFFFF"/>
              <w:right w:val="single" w:sz="18" w:space="0" w:color="FFFFFF"/>
            </w:tcBorders>
            <w:shd w:val="clear" w:color="auto" w:fill="CADAE8"/>
          </w:tcPr>
          <w:p w14:paraId="0813F2B8"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left w:val="single" w:sz="18" w:space="0" w:color="FFFFFF"/>
              <w:bottom w:val="single" w:sz="18" w:space="0" w:color="FFFFFF"/>
              <w:right w:val="single" w:sz="18" w:space="0" w:color="FFFFFF"/>
            </w:tcBorders>
            <w:shd w:val="clear" w:color="auto" w:fill="CADAE8"/>
          </w:tcPr>
          <w:p w14:paraId="00533E8F"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Planned start date 4</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November 2026</w:t>
            </w:r>
          </w:p>
        </w:tc>
        <w:tc>
          <w:tcPr>
            <w:tcW w:w="5824" w:type="dxa"/>
            <w:tcBorders>
              <w:top w:val="single" w:sz="18" w:space="0" w:color="FFFFFF"/>
              <w:left w:val="single" w:sz="18" w:space="0" w:color="FFFFFF"/>
              <w:bottom w:val="single" w:sz="18" w:space="0" w:color="FFFFFF"/>
              <w:right w:val="single" w:sz="18" w:space="0" w:color="FFFFFF"/>
            </w:tcBorders>
            <w:shd w:val="clear" w:color="auto" w:fill="CADAE8"/>
          </w:tcPr>
          <w:p w14:paraId="1493B2E4"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North Wales Police</w:t>
            </w:r>
          </w:p>
        </w:tc>
      </w:tr>
      <w:tr w:rsidR="008E7C41" w:rsidRPr="008E7C41" w14:paraId="247BD20E"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73C6D218"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Payroll</w:t>
            </w:r>
          </w:p>
        </w:tc>
        <w:tc>
          <w:tcPr>
            <w:tcW w:w="850"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2D76C6F5"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40BB6D4F"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 xml:space="preserve">Planned </w:t>
            </w:r>
            <w:r w:rsidRPr="008E7C41">
              <w:rPr>
                <w:rFonts w:asciiTheme="minorHAnsi" w:hAnsiTheme="minorHAnsi" w:cstheme="minorHAnsi"/>
                <w:color w:val="000000"/>
                <w:sz w:val="18"/>
                <w:szCs w:val="18"/>
              </w:rPr>
              <w:t>start date 2</w:t>
            </w:r>
            <w:r w:rsidRPr="008E7C41">
              <w:rPr>
                <w:rFonts w:asciiTheme="minorHAnsi" w:hAnsiTheme="minorHAnsi" w:cstheme="minorHAnsi"/>
                <w:color w:val="000000"/>
                <w:sz w:val="18"/>
                <w:szCs w:val="18"/>
                <w:vertAlign w:val="superscript"/>
              </w:rPr>
              <w:t>nd</w:t>
            </w:r>
            <w:r w:rsidRPr="008E7C41">
              <w:rPr>
                <w:rFonts w:asciiTheme="minorHAnsi" w:hAnsiTheme="minorHAnsi" w:cstheme="minorHAnsi"/>
                <w:color w:val="000000"/>
                <w:sz w:val="18"/>
                <w:szCs w:val="18"/>
              </w:rPr>
              <w:t xml:space="preserve"> November 2026</w:t>
            </w:r>
          </w:p>
        </w:tc>
        <w:tc>
          <w:tcPr>
            <w:tcW w:w="5824"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715D5466"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Dyfed-Powys Police</w:t>
            </w:r>
          </w:p>
        </w:tc>
      </w:tr>
      <w:tr w:rsidR="008E7C41" w:rsidRPr="008E7C41" w14:paraId="73C3047C"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3D362672"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Estate Management – Planned and Preventative Maintenance</w:t>
            </w:r>
          </w:p>
        </w:tc>
        <w:tc>
          <w:tcPr>
            <w:tcW w:w="850"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616DC891"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4BB444C2"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Planned start date 23</w:t>
            </w:r>
            <w:r w:rsidRPr="008E7C41">
              <w:rPr>
                <w:rFonts w:asciiTheme="minorHAnsi" w:hAnsiTheme="minorHAnsi" w:cstheme="minorHAnsi"/>
                <w:sz w:val="18"/>
                <w:szCs w:val="18"/>
                <w:vertAlign w:val="superscript"/>
              </w:rPr>
              <w:t>rd</w:t>
            </w:r>
            <w:r w:rsidRPr="008E7C41">
              <w:rPr>
                <w:rFonts w:asciiTheme="minorHAnsi" w:hAnsiTheme="minorHAnsi" w:cstheme="minorHAnsi"/>
                <w:sz w:val="18"/>
                <w:szCs w:val="18"/>
              </w:rPr>
              <w:t xml:space="preserve"> November 2026</w:t>
            </w:r>
          </w:p>
        </w:tc>
        <w:tc>
          <w:tcPr>
            <w:tcW w:w="5824"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5DBE9766"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South Wales Police</w:t>
            </w:r>
          </w:p>
        </w:tc>
      </w:tr>
      <w:tr w:rsidR="008E7C41" w:rsidRPr="008E7C41" w14:paraId="099143A5" w14:textId="77777777" w:rsidTr="00AC7530">
        <w:trPr>
          <w:cantSplit/>
          <w:trHeight w:val="454"/>
          <w:jc w:val="center"/>
        </w:trPr>
        <w:tc>
          <w:tcPr>
            <w:tcW w:w="5364" w:type="dxa"/>
            <w:tcBorders>
              <w:top w:val="single" w:sz="18" w:space="0" w:color="FFFFFF"/>
              <w:left w:val="single" w:sz="18" w:space="0" w:color="FFFFFF"/>
              <w:bottom w:val="single" w:sz="18" w:space="0" w:color="FFFFFF"/>
              <w:right w:val="single" w:sz="18" w:space="0" w:color="FFFFFF"/>
            </w:tcBorders>
            <w:shd w:val="clear" w:color="auto" w:fill="CADAE8"/>
          </w:tcPr>
          <w:p w14:paraId="1B90007C"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Joint Scientific Investigation Unit</w:t>
            </w:r>
          </w:p>
        </w:tc>
        <w:tc>
          <w:tcPr>
            <w:tcW w:w="850"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7E6F5D33"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11576AA9"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Planned start date 14</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December 2026</w:t>
            </w:r>
          </w:p>
        </w:tc>
        <w:tc>
          <w:tcPr>
            <w:tcW w:w="5824" w:type="dxa"/>
            <w:tcBorders>
              <w:top w:val="single" w:sz="18" w:space="0" w:color="FFFFFF"/>
              <w:left w:val="single" w:sz="18" w:space="0" w:color="FFFFFF" w:themeColor="background1"/>
              <w:bottom w:val="single" w:sz="18" w:space="0" w:color="FFFFFF" w:themeColor="background1"/>
              <w:right w:val="single" w:sz="18" w:space="0" w:color="FFFFFF" w:themeColor="background1"/>
            </w:tcBorders>
            <w:shd w:val="clear" w:color="auto" w:fill="CADAE8"/>
          </w:tcPr>
          <w:p w14:paraId="61A3960E"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Lead Force – South Wales Police</w:t>
            </w:r>
          </w:p>
          <w:p w14:paraId="5BC08DEC"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Moved to Q3 at the request of Dyfed-Powys Police due to the timing of them joining the Joint Unit</w:t>
            </w:r>
          </w:p>
          <w:p w14:paraId="051173B9"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47256EFD" w14:textId="77777777" w:rsidTr="00AC7530">
        <w:trPr>
          <w:cantSplit/>
          <w:trHeight w:val="454"/>
          <w:jc w:val="center"/>
        </w:trPr>
        <w:tc>
          <w:tcPr>
            <w:tcW w:w="15157"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D9D9D9"/>
          </w:tcPr>
          <w:p w14:paraId="24DCD6B4"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Gwent Police Only</w:t>
            </w:r>
          </w:p>
        </w:tc>
      </w:tr>
      <w:tr w:rsidR="008E7C41" w:rsidRPr="008E7C41" w14:paraId="47C9C4AE"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21FB136"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lastRenderedPageBreak/>
              <w:t>ICT – Governance</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14DE1B2B"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27C4FD18"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Suggested start date 8</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February 2027</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4B2E3C3D"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Moved to Q4 at the request of Management due to timing of new ICT in-house arrangements commencing July 2026</w:t>
            </w:r>
          </w:p>
        </w:tc>
      </w:tr>
      <w:tr w:rsidR="008E7C41" w:rsidRPr="008E7C41" w14:paraId="3B2768A6"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228B1CDB"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Debtors</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4DDEC8A3"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76C3EF33"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Draft report issued 24</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July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55BC7D80"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582DDF4A"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71E67747"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Contract Management</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317AC9DE"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4E9F12DA"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Draft report pending</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47A320CB"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0322FE7F"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72DC0806"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Community Engagement</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7E2CCED4"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1807969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Fieldwork completed</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76284D1B"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3979561E"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08A0103"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Interim Follow Up</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955B6BE"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2</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68508218"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Planned start date 14</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September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39BC249"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569492C9"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EE99071"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Treasury Management</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61572D32"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686DB19A" w14:textId="77777777" w:rsidR="008E7C41" w:rsidRPr="008E7C41" w:rsidRDefault="008E7C41" w:rsidP="00AC7530">
            <w:pPr>
              <w:jc w:val="left"/>
              <w:rPr>
                <w:rFonts w:asciiTheme="minorHAnsi" w:hAnsiTheme="minorHAnsi" w:cstheme="minorHAnsi"/>
                <w:color w:val="000000"/>
                <w:sz w:val="18"/>
                <w:szCs w:val="18"/>
                <w:highlight w:val="yellow"/>
              </w:rPr>
            </w:pPr>
            <w:r w:rsidRPr="008E7C41">
              <w:rPr>
                <w:rFonts w:asciiTheme="minorHAnsi" w:hAnsiTheme="minorHAnsi" w:cstheme="minorHAnsi"/>
                <w:sz w:val="18"/>
                <w:szCs w:val="18"/>
              </w:rPr>
              <w:t>Planned start date 7</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December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53434400"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469228B0"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1CCFFA3F"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Human Resources (HR) - Strategy</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1BFF277"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6BC5A62E"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Planned start date 15</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September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188522BB"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12F28C68"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702FD016"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Rota Management</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754EC843"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6A659E4F"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Fieldwork commenced 7</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September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FFF9C"/>
          </w:tcPr>
          <w:p w14:paraId="57773329"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 xml:space="preserve">Moved to Q2 at the request of Management </w:t>
            </w:r>
          </w:p>
        </w:tc>
      </w:tr>
      <w:tr w:rsidR="008E7C41" w:rsidRPr="008E7C41" w14:paraId="2BF9EA82"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E012375"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Estates Management – Strategy (Carried forward from 2025/26)</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CBA29C1"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3</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5CE09A77"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sz w:val="18"/>
                <w:szCs w:val="18"/>
              </w:rPr>
              <w:t>Planned start date 5</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October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2F92C0C4"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59A6E456"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vAlign w:val="center"/>
          </w:tcPr>
          <w:p w14:paraId="2DA645C2"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Commissioning</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5ECEF6B8"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4</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44DBE97A" w14:textId="77777777" w:rsidR="008E7C41" w:rsidRPr="008E7C41" w:rsidRDefault="008E7C41" w:rsidP="00AC7530">
            <w:pPr>
              <w:jc w:val="left"/>
              <w:rPr>
                <w:rFonts w:asciiTheme="minorHAnsi" w:hAnsiTheme="minorHAnsi" w:cstheme="minorHAnsi"/>
                <w:sz w:val="18"/>
                <w:szCs w:val="18"/>
              </w:rPr>
            </w:pPr>
            <w:r w:rsidRPr="008E7C41">
              <w:rPr>
                <w:rFonts w:asciiTheme="minorHAnsi" w:hAnsiTheme="minorHAnsi" w:cstheme="minorHAnsi"/>
                <w:color w:val="000000"/>
                <w:sz w:val="18"/>
                <w:szCs w:val="18"/>
              </w:rPr>
              <w:t>Planned start date 18</w:t>
            </w:r>
            <w:r w:rsidRPr="008E7C41">
              <w:rPr>
                <w:rFonts w:asciiTheme="minorHAnsi" w:hAnsiTheme="minorHAnsi" w:cstheme="minorHAnsi"/>
                <w:color w:val="000000"/>
                <w:sz w:val="18"/>
                <w:szCs w:val="18"/>
                <w:vertAlign w:val="superscript"/>
              </w:rPr>
              <w:t>th</w:t>
            </w:r>
            <w:r w:rsidRPr="008E7C41">
              <w:rPr>
                <w:rFonts w:asciiTheme="minorHAnsi" w:hAnsiTheme="minorHAnsi" w:cstheme="minorHAnsi"/>
                <w:color w:val="000000"/>
                <w:sz w:val="18"/>
                <w:szCs w:val="18"/>
              </w:rPr>
              <w:t xml:space="preserve"> January 2027</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4398D818"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10BE21E3"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vAlign w:val="center"/>
          </w:tcPr>
          <w:p w14:paraId="7292AC5A"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Follow up – Year End</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FEAF539"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4</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73CE87B6" w14:textId="77777777" w:rsidR="008E7C41" w:rsidRPr="008E7C41" w:rsidRDefault="008E7C41" w:rsidP="00AC7530">
            <w:pPr>
              <w:spacing w:before="60" w:after="60" w:line="271" w:lineRule="auto"/>
              <w:jc w:val="left"/>
              <w:rPr>
                <w:rFonts w:asciiTheme="minorHAnsi" w:hAnsiTheme="minorHAnsi" w:cstheme="minorHAnsi"/>
                <w:sz w:val="18"/>
                <w:szCs w:val="18"/>
              </w:rPr>
            </w:pPr>
            <w:r w:rsidRPr="008E7C41">
              <w:rPr>
                <w:rFonts w:asciiTheme="minorHAnsi" w:hAnsiTheme="minorHAnsi" w:cstheme="minorHAnsi"/>
                <w:sz w:val="18"/>
                <w:szCs w:val="18"/>
              </w:rPr>
              <w:t>Planned start date 8</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February 2027</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553942A2"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349BBDE3"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vAlign w:val="center"/>
          </w:tcPr>
          <w:p w14:paraId="6926BD8E"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Liaison with Audit Wales</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E42E45A"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1-4</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373F1C86" w14:textId="77777777" w:rsidR="008E7C41" w:rsidRPr="008E7C41" w:rsidRDefault="008E7C41" w:rsidP="00AC7530">
            <w:pPr>
              <w:spacing w:before="60" w:after="60" w:line="271" w:lineRule="auto"/>
              <w:jc w:val="left"/>
              <w:rPr>
                <w:rFonts w:asciiTheme="minorHAnsi" w:hAnsiTheme="minorHAnsi" w:cstheme="minorHAnsi"/>
                <w:sz w:val="18"/>
                <w:szCs w:val="18"/>
              </w:rPr>
            </w:pPr>
            <w:r w:rsidRPr="008E7C41">
              <w:rPr>
                <w:rFonts w:asciiTheme="minorHAnsi" w:hAnsiTheme="minorHAnsi" w:cstheme="minorHAnsi"/>
                <w:sz w:val="18"/>
                <w:szCs w:val="18"/>
              </w:rPr>
              <w:t>To be used as required</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B3613A1"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414BA106"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vAlign w:val="center"/>
          </w:tcPr>
          <w:p w14:paraId="55D0825C"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Annual Planning</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3B25D58B"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357E1255" w14:textId="77777777" w:rsidR="008E7C41" w:rsidRPr="008E7C41" w:rsidRDefault="008E7C41" w:rsidP="00AC7530">
            <w:pPr>
              <w:spacing w:before="60" w:after="60" w:line="271" w:lineRule="auto"/>
              <w:jc w:val="left"/>
              <w:rPr>
                <w:rFonts w:asciiTheme="minorHAnsi" w:hAnsiTheme="minorHAnsi" w:cstheme="minorHAnsi"/>
                <w:sz w:val="18"/>
                <w:szCs w:val="18"/>
              </w:rPr>
            </w:pPr>
            <w:r w:rsidRPr="008E7C41">
              <w:rPr>
                <w:rFonts w:asciiTheme="minorHAnsi" w:hAnsiTheme="minorHAnsi" w:cstheme="minorHAnsi"/>
                <w:sz w:val="18"/>
                <w:szCs w:val="18"/>
              </w:rPr>
              <w:t>Draft report issued 11</w:t>
            </w:r>
            <w:r w:rsidRPr="008E7C41">
              <w:rPr>
                <w:rFonts w:asciiTheme="minorHAnsi" w:hAnsiTheme="minorHAnsi" w:cstheme="minorHAnsi"/>
                <w:sz w:val="18"/>
                <w:szCs w:val="18"/>
                <w:vertAlign w:val="superscript"/>
              </w:rPr>
              <w:t>th</w:t>
            </w:r>
            <w:r w:rsidRPr="008E7C41">
              <w:rPr>
                <w:rFonts w:asciiTheme="minorHAnsi" w:hAnsiTheme="minorHAnsi" w:cstheme="minorHAnsi"/>
                <w:sz w:val="18"/>
                <w:szCs w:val="18"/>
              </w:rPr>
              <w:t xml:space="preserve"> March 2026</w:t>
            </w: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4D4E2"/>
          </w:tcPr>
          <w:p w14:paraId="409222BE"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4F75FE62"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vAlign w:val="center"/>
          </w:tcPr>
          <w:p w14:paraId="0D6D4065"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Annual Report</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334C14AB"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4</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8C1C3E2" w14:textId="77777777" w:rsidR="008E7C41" w:rsidRPr="008E7C41" w:rsidRDefault="008E7C41" w:rsidP="00AC7530">
            <w:pPr>
              <w:spacing w:before="60" w:after="60" w:line="271" w:lineRule="auto"/>
              <w:jc w:val="left"/>
              <w:rPr>
                <w:rFonts w:asciiTheme="minorHAnsi" w:hAnsiTheme="minorHAnsi" w:cstheme="minorHAnsi"/>
                <w:sz w:val="18"/>
                <w:szCs w:val="18"/>
              </w:rPr>
            </w:pP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C846DD3" w14:textId="77777777" w:rsidR="008E7C41" w:rsidRPr="008E7C41" w:rsidRDefault="008E7C41" w:rsidP="00AC7530">
            <w:pPr>
              <w:jc w:val="left"/>
              <w:rPr>
                <w:rFonts w:asciiTheme="minorHAnsi" w:hAnsiTheme="minorHAnsi" w:cstheme="minorHAnsi"/>
                <w:color w:val="000000"/>
                <w:sz w:val="18"/>
                <w:szCs w:val="18"/>
              </w:rPr>
            </w:pPr>
          </w:p>
        </w:tc>
      </w:tr>
      <w:tr w:rsidR="008E7C41" w:rsidRPr="008E7C41" w14:paraId="42D6DD4B" w14:textId="77777777" w:rsidTr="00AC7530">
        <w:trPr>
          <w:cantSplit/>
          <w:trHeight w:val="454"/>
          <w:jc w:val="center"/>
        </w:trPr>
        <w:tc>
          <w:tcPr>
            <w:tcW w:w="536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vAlign w:val="center"/>
          </w:tcPr>
          <w:p w14:paraId="7CACE16C" w14:textId="77777777" w:rsidR="008E7C41" w:rsidRPr="008E7C41" w:rsidRDefault="008E7C41" w:rsidP="00AC7530">
            <w:pPr>
              <w:jc w:val="left"/>
              <w:rPr>
                <w:rFonts w:asciiTheme="minorHAnsi" w:hAnsiTheme="minorHAnsi" w:cstheme="minorHAnsi"/>
                <w:color w:val="000000"/>
                <w:sz w:val="18"/>
                <w:szCs w:val="18"/>
              </w:rPr>
            </w:pPr>
            <w:r w:rsidRPr="008E7C41">
              <w:rPr>
                <w:rFonts w:asciiTheme="minorHAnsi" w:hAnsiTheme="minorHAnsi" w:cstheme="minorHAnsi"/>
                <w:color w:val="000000"/>
                <w:sz w:val="18"/>
                <w:szCs w:val="18"/>
              </w:rPr>
              <w:t>Audit Management</w:t>
            </w:r>
          </w:p>
        </w:tc>
        <w:tc>
          <w:tcPr>
            <w:tcW w:w="850"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0F50D4B0" w14:textId="77777777" w:rsidR="008E7C41" w:rsidRPr="008E7C41" w:rsidRDefault="008E7C41" w:rsidP="00AC7530">
            <w:pPr>
              <w:jc w:val="center"/>
              <w:rPr>
                <w:rFonts w:asciiTheme="minorHAnsi" w:hAnsiTheme="minorHAnsi" w:cstheme="minorHAnsi"/>
                <w:color w:val="000000"/>
                <w:sz w:val="18"/>
                <w:szCs w:val="18"/>
              </w:rPr>
            </w:pPr>
            <w:r w:rsidRPr="008E7C41">
              <w:rPr>
                <w:rFonts w:asciiTheme="minorHAnsi" w:hAnsiTheme="minorHAnsi" w:cstheme="minorHAnsi"/>
                <w:color w:val="000000"/>
                <w:sz w:val="18"/>
                <w:szCs w:val="18"/>
              </w:rPr>
              <w:t>1-4</w:t>
            </w:r>
          </w:p>
        </w:tc>
        <w:tc>
          <w:tcPr>
            <w:tcW w:w="311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2AFC1F82" w14:textId="77777777" w:rsidR="008E7C41" w:rsidRPr="008E7C41" w:rsidRDefault="008E7C41" w:rsidP="00AC7530">
            <w:pPr>
              <w:spacing w:before="60" w:after="60" w:line="271" w:lineRule="auto"/>
              <w:jc w:val="left"/>
              <w:rPr>
                <w:rFonts w:asciiTheme="minorHAnsi" w:hAnsiTheme="minorHAnsi" w:cstheme="minorHAnsi"/>
                <w:sz w:val="18"/>
                <w:szCs w:val="18"/>
              </w:rPr>
            </w:pPr>
          </w:p>
        </w:tc>
        <w:tc>
          <w:tcPr>
            <w:tcW w:w="582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CADAE8"/>
          </w:tcPr>
          <w:p w14:paraId="25518137" w14:textId="77777777" w:rsidR="008E7C41" w:rsidRPr="008E7C41" w:rsidRDefault="008E7C41" w:rsidP="00AC7530">
            <w:pPr>
              <w:jc w:val="left"/>
              <w:rPr>
                <w:rFonts w:asciiTheme="minorHAnsi" w:hAnsiTheme="minorHAnsi" w:cstheme="minorHAnsi"/>
                <w:color w:val="000000"/>
                <w:sz w:val="18"/>
                <w:szCs w:val="18"/>
              </w:rPr>
            </w:pPr>
          </w:p>
        </w:tc>
      </w:tr>
    </w:tbl>
    <w:p w14:paraId="53575E35" w14:textId="77777777" w:rsidR="008E7C41" w:rsidRDefault="008E7C41" w:rsidP="008E7C41">
      <w:pPr>
        <w:spacing w:before="120" w:after="120" w:line="271" w:lineRule="auto"/>
        <w:rPr>
          <w:rFonts w:asciiTheme="minorHAnsi" w:eastAsia="Calibri" w:hAnsiTheme="minorHAnsi" w:cstheme="minorHAnsi"/>
          <w:sz w:val="20"/>
          <w:szCs w:val="22"/>
        </w:rPr>
      </w:pPr>
    </w:p>
    <w:p w14:paraId="291FB409" w14:textId="77777777" w:rsidR="008E7C41" w:rsidRPr="00967589" w:rsidRDefault="008E7C41" w:rsidP="008E7C41">
      <w:pPr>
        <w:spacing w:before="120" w:after="60"/>
        <w:ind w:firstLine="709"/>
        <w:jc w:val="left"/>
        <w:rPr>
          <w:rFonts w:asciiTheme="minorHAnsi" w:hAnsiTheme="minorHAnsi" w:cs="Arial"/>
          <w:b/>
          <w:bCs/>
          <w:color w:val="163D82"/>
          <w:sz w:val="20"/>
          <w:szCs w:val="22"/>
        </w:rPr>
      </w:pPr>
      <w:r w:rsidRPr="00967589">
        <w:rPr>
          <w:rFonts w:asciiTheme="minorHAnsi" w:hAnsiTheme="minorHAnsi" w:cs="Arial"/>
          <w:b/>
          <w:bCs/>
          <w:color w:val="163D82"/>
          <w:sz w:val="20"/>
          <w:szCs w:val="22"/>
        </w:rPr>
        <w:t>KEY:</w:t>
      </w:r>
    </w:p>
    <w:tbl>
      <w:tblPr>
        <w:tblStyle w:val="TableGrid2"/>
        <w:tblW w:w="0" w:type="auto"/>
        <w:tblInd w:w="5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50"/>
        <w:gridCol w:w="2127"/>
        <w:gridCol w:w="283"/>
        <w:gridCol w:w="851"/>
        <w:gridCol w:w="2268"/>
        <w:gridCol w:w="283"/>
        <w:gridCol w:w="851"/>
        <w:gridCol w:w="2126"/>
        <w:gridCol w:w="425"/>
        <w:gridCol w:w="851"/>
        <w:gridCol w:w="2268"/>
      </w:tblGrid>
      <w:tr w:rsidR="008E7C41" w:rsidRPr="00967589" w14:paraId="5B6EEE33" w14:textId="77777777" w:rsidTr="00995F02">
        <w:tc>
          <w:tcPr>
            <w:tcW w:w="850" w:type="dxa"/>
            <w:tcBorders>
              <w:top w:val="single" w:sz="4" w:space="0" w:color="BFBFBF"/>
              <w:left w:val="single" w:sz="4" w:space="0" w:color="BFBFBF"/>
              <w:bottom w:val="single" w:sz="4" w:space="0" w:color="BFBFBF"/>
              <w:right w:val="single" w:sz="4" w:space="0" w:color="BFBFBF"/>
            </w:tcBorders>
            <w:shd w:val="clear" w:color="auto" w:fill="CADAE8"/>
          </w:tcPr>
          <w:p w14:paraId="2B58B728" w14:textId="77777777" w:rsidR="008E7C41" w:rsidRPr="00967589" w:rsidRDefault="008E7C41" w:rsidP="00995F02">
            <w:pPr>
              <w:spacing w:before="60" w:after="60"/>
              <w:jc w:val="left"/>
              <w:rPr>
                <w:rFonts w:asciiTheme="minorHAnsi" w:hAnsiTheme="minorHAnsi" w:cs="Arial"/>
                <w:sz w:val="18"/>
                <w:szCs w:val="18"/>
              </w:rPr>
            </w:pPr>
          </w:p>
        </w:tc>
        <w:tc>
          <w:tcPr>
            <w:tcW w:w="2127" w:type="dxa"/>
            <w:tcBorders>
              <w:top w:val="single" w:sz="4" w:space="0" w:color="BFBFBF"/>
              <w:left w:val="single" w:sz="4" w:space="0" w:color="BFBFBF"/>
              <w:bottom w:val="single" w:sz="4" w:space="0" w:color="BFBFBF"/>
              <w:right w:val="single" w:sz="4" w:space="0" w:color="BFBFBF"/>
            </w:tcBorders>
            <w:hideMark/>
          </w:tcPr>
          <w:p w14:paraId="057754DF" w14:textId="77777777" w:rsidR="008E7C41" w:rsidRPr="00967589" w:rsidRDefault="008E7C41" w:rsidP="00995F02">
            <w:pPr>
              <w:spacing w:before="60" w:after="60"/>
              <w:jc w:val="left"/>
              <w:rPr>
                <w:rFonts w:asciiTheme="minorHAnsi" w:hAnsiTheme="minorHAnsi" w:cs="Arial"/>
                <w:b/>
                <w:bCs/>
                <w:color w:val="163D82"/>
                <w:sz w:val="18"/>
                <w:szCs w:val="18"/>
              </w:rPr>
            </w:pPr>
            <w:r w:rsidRPr="00967589">
              <w:rPr>
                <w:rFonts w:asciiTheme="minorHAnsi" w:hAnsiTheme="minorHAnsi" w:cs="Arial"/>
                <w:sz w:val="18"/>
                <w:szCs w:val="18"/>
              </w:rPr>
              <w:t>To be commenced</w:t>
            </w:r>
          </w:p>
        </w:tc>
        <w:tc>
          <w:tcPr>
            <w:tcW w:w="283" w:type="dxa"/>
            <w:tcBorders>
              <w:top w:val="nil"/>
              <w:left w:val="single" w:sz="4" w:space="0" w:color="BFBFBF"/>
              <w:bottom w:val="nil"/>
              <w:right w:val="single" w:sz="4" w:space="0" w:color="BFBFBF"/>
            </w:tcBorders>
          </w:tcPr>
          <w:p w14:paraId="4DFFB299" w14:textId="77777777" w:rsidR="008E7C41" w:rsidRPr="00967589" w:rsidRDefault="008E7C41" w:rsidP="00995F02">
            <w:pPr>
              <w:spacing w:before="120" w:after="60"/>
              <w:jc w:val="left"/>
              <w:rPr>
                <w:rFonts w:asciiTheme="minorHAnsi" w:hAnsiTheme="minorHAnsi" w:cs="Arial"/>
                <w:b/>
                <w:bCs/>
                <w:color w:val="163D82"/>
                <w:sz w:val="18"/>
                <w:szCs w:val="18"/>
              </w:rPr>
            </w:pPr>
          </w:p>
        </w:tc>
        <w:tc>
          <w:tcPr>
            <w:tcW w:w="851" w:type="dxa"/>
            <w:tcBorders>
              <w:top w:val="single" w:sz="4" w:space="0" w:color="BFBFBF"/>
              <w:left w:val="single" w:sz="4" w:space="0" w:color="BFBFBF"/>
              <w:bottom w:val="single" w:sz="4" w:space="0" w:color="BFBFBF"/>
              <w:right w:val="single" w:sz="4" w:space="0" w:color="BFBFBF"/>
            </w:tcBorders>
            <w:shd w:val="clear" w:color="auto" w:fill="FFFF9C"/>
          </w:tcPr>
          <w:p w14:paraId="65736B46" w14:textId="77777777" w:rsidR="008E7C41" w:rsidRPr="00967589" w:rsidRDefault="008E7C41" w:rsidP="00995F02">
            <w:pPr>
              <w:spacing w:before="60" w:after="60"/>
              <w:jc w:val="left"/>
              <w:rPr>
                <w:rFonts w:asciiTheme="minorHAnsi" w:hAnsiTheme="minorHAnsi" w:cs="Arial"/>
                <w:sz w:val="18"/>
                <w:szCs w:val="18"/>
              </w:rPr>
            </w:pPr>
          </w:p>
        </w:tc>
        <w:tc>
          <w:tcPr>
            <w:tcW w:w="2268" w:type="dxa"/>
            <w:tcBorders>
              <w:top w:val="single" w:sz="4" w:space="0" w:color="BFBFBF"/>
              <w:left w:val="single" w:sz="4" w:space="0" w:color="BFBFBF"/>
              <w:bottom w:val="single" w:sz="4" w:space="0" w:color="BFBFBF"/>
              <w:right w:val="single" w:sz="4" w:space="0" w:color="BFBFBF"/>
            </w:tcBorders>
            <w:hideMark/>
          </w:tcPr>
          <w:p w14:paraId="17E75884" w14:textId="77777777" w:rsidR="008E7C41" w:rsidRPr="00967589" w:rsidRDefault="008E7C41" w:rsidP="00995F02">
            <w:pPr>
              <w:spacing w:before="60" w:after="60"/>
              <w:jc w:val="left"/>
              <w:rPr>
                <w:rFonts w:asciiTheme="minorHAnsi" w:hAnsiTheme="minorHAnsi" w:cs="Arial"/>
                <w:sz w:val="18"/>
                <w:szCs w:val="18"/>
              </w:rPr>
            </w:pPr>
            <w:r w:rsidRPr="00967589">
              <w:rPr>
                <w:rFonts w:asciiTheme="minorHAnsi" w:hAnsiTheme="minorHAnsi" w:cs="Arial"/>
                <w:sz w:val="18"/>
                <w:szCs w:val="18"/>
              </w:rPr>
              <w:t>Site work commenced</w:t>
            </w:r>
          </w:p>
        </w:tc>
        <w:tc>
          <w:tcPr>
            <w:tcW w:w="283" w:type="dxa"/>
            <w:tcBorders>
              <w:top w:val="nil"/>
              <w:left w:val="single" w:sz="4" w:space="0" w:color="BFBFBF"/>
              <w:bottom w:val="nil"/>
              <w:right w:val="single" w:sz="4" w:space="0" w:color="BFBFBF"/>
            </w:tcBorders>
          </w:tcPr>
          <w:p w14:paraId="213B6BA3" w14:textId="77777777" w:rsidR="008E7C41" w:rsidRPr="00967589" w:rsidRDefault="008E7C41" w:rsidP="00995F02">
            <w:pPr>
              <w:spacing w:before="120" w:after="60"/>
              <w:jc w:val="left"/>
              <w:rPr>
                <w:rFonts w:asciiTheme="minorHAnsi" w:hAnsiTheme="minorHAnsi" w:cs="Arial"/>
                <w:b/>
                <w:bCs/>
                <w:color w:val="163D82"/>
                <w:sz w:val="18"/>
                <w:szCs w:val="18"/>
              </w:rPr>
            </w:pPr>
          </w:p>
        </w:tc>
        <w:tc>
          <w:tcPr>
            <w:tcW w:w="851" w:type="dxa"/>
            <w:tcBorders>
              <w:top w:val="single" w:sz="4" w:space="0" w:color="BFBFBF"/>
              <w:left w:val="single" w:sz="4" w:space="0" w:color="BFBFBF"/>
              <w:bottom w:val="single" w:sz="4" w:space="0" w:color="BFBFBF"/>
              <w:right w:val="single" w:sz="4" w:space="0" w:color="BFBFBF"/>
            </w:tcBorders>
            <w:shd w:val="clear" w:color="auto" w:fill="F4D4E2"/>
          </w:tcPr>
          <w:p w14:paraId="7F9D2214" w14:textId="77777777" w:rsidR="008E7C41" w:rsidRPr="00967589" w:rsidRDefault="008E7C41" w:rsidP="00995F02">
            <w:pPr>
              <w:spacing w:before="60" w:after="60"/>
              <w:jc w:val="left"/>
              <w:rPr>
                <w:rFonts w:asciiTheme="minorHAnsi" w:hAnsiTheme="minorHAnsi" w:cs="Arial"/>
                <w:sz w:val="18"/>
                <w:szCs w:val="18"/>
              </w:rPr>
            </w:pPr>
          </w:p>
        </w:tc>
        <w:tc>
          <w:tcPr>
            <w:tcW w:w="2126" w:type="dxa"/>
            <w:tcBorders>
              <w:top w:val="single" w:sz="4" w:space="0" w:color="BFBFBF"/>
              <w:left w:val="single" w:sz="4" w:space="0" w:color="BFBFBF"/>
              <w:bottom w:val="single" w:sz="4" w:space="0" w:color="BFBFBF"/>
              <w:right w:val="single" w:sz="4" w:space="0" w:color="BFBFBF"/>
            </w:tcBorders>
            <w:hideMark/>
          </w:tcPr>
          <w:p w14:paraId="4A315F9D" w14:textId="77777777" w:rsidR="008E7C41" w:rsidRPr="00967589" w:rsidRDefault="008E7C41" w:rsidP="00995F02">
            <w:pPr>
              <w:spacing w:before="60" w:after="60"/>
              <w:jc w:val="left"/>
              <w:rPr>
                <w:rFonts w:asciiTheme="minorHAnsi" w:hAnsiTheme="minorHAnsi" w:cs="Arial"/>
                <w:sz w:val="18"/>
                <w:szCs w:val="18"/>
              </w:rPr>
            </w:pPr>
            <w:r w:rsidRPr="00967589">
              <w:rPr>
                <w:rFonts w:asciiTheme="minorHAnsi" w:hAnsiTheme="minorHAnsi" w:cs="Arial"/>
                <w:sz w:val="18"/>
                <w:szCs w:val="18"/>
              </w:rPr>
              <w:t>Draft report issued</w:t>
            </w:r>
          </w:p>
        </w:tc>
        <w:tc>
          <w:tcPr>
            <w:tcW w:w="425" w:type="dxa"/>
            <w:tcBorders>
              <w:top w:val="nil"/>
              <w:left w:val="single" w:sz="4" w:space="0" w:color="BFBFBF"/>
              <w:bottom w:val="nil"/>
              <w:right w:val="single" w:sz="4" w:space="0" w:color="BFBFBF"/>
            </w:tcBorders>
          </w:tcPr>
          <w:p w14:paraId="632DD7BC" w14:textId="77777777" w:rsidR="008E7C41" w:rsidRPr="00967589" w:rsidRDefault="008E7C41" w:rsidP="00995F02">
            <w:pPr>
              <w:spacing w:before="120" w:after="60"/>
              <w:jc w:val="left"/>
              <w:rPr>
                <w:rFonts w:asciiTheme="minorHAnsi" w:hAnsiTheme="minorHAnsi" w:cs="Arial"/>
                <w:b/>
                <w:bCs/>
                <w:color w:val="163D82"/>
                <w:sz w:val="18"/>
                <w:szCs w:val="18"/>
              </w:rPr>
            </w:pPr>
          </w:p>
        </w:tc>
        <w:tc>
          <w:tcPr>
            <w:tcW w:w="851" w:type="dxa"/>
            <w:tcBorders>
              <w:top w:val="single" w:sz="4" w:space="0" w:color="BFBFBF"/>
              <w:left w:val="single" w:sz="4" w:space="0" w:color="BFBFBF"/>
              <w:bottom w:val="single" w:sz="4" w:space="0" w:color="BFBFBF"/>
              <w:right w:val="single" w:sz="4" w:space="0" w:color="BFBFBF"/>
            </w:tcBorders>
            <w:shd w:val="clear" w:color="auto" w:fill="B1E3B7"/>
          </w:tcPr>
          <w:p w14:paraId="70BA2EFF" w14:textId="77777777" w:rsidR="008E7C41" w:rsidRPr="00967589" w:rsidRDefault="008E7C41" w:rsidP="00995F02">
            <w:pPr>
              <w:spacing w:before="120" w:after="60"/>
              <w:jc w:val="left"/>
              <w:rPr>
                <w:rFonts w:asciiTheme="minorHAnsi" w:hAnsiTheme="minorHAnsi" w:cs="Arial"/>
                <w:b/>
                <w:bCs/>
                <w:color w:val="163D82"/>
                <w:sz w:val="18"/>
                <w:szCs w:val="18"/>
              </w:rPr>
            </w:pPr>
          </w:p>
        </w:tc>
        <w:tc>
          <w:tcPr>
            <w:tcW w:w="2268" w:type="dxa"/>
            <w:tcBorders>
              <w:top w:val="single" w:sz="4" w:space="0" w:color="BFBFBF"/>
              <w:left w:val="single" w:sz="4" w:space="0" w:color="BFBFBF"/>
              <w:bottom w:val="single" w:sz="4" w:space="0" w:color="BFBFBF"/>
              <w:right w:val="single" w:sz="4" w:space="0" w:color="BFBFBF"/>
            </w:tcBorders>
            <w:hideMark/>
          </w:tcPr>
          <w:p w14:paraId="31A9D576" w14:textId="77777777" w:rsidR="008E7C41" w:rsidRPr="00967589" w:rsidRDefault="008E7C41" w:rsidP="00995F02">
            <w:pPr>
              <w:spacing w:before="60" w:after="60"/>
              <w:jc w:val="left"/>
              <w:rPr>
                <w:rFonts w:asciiTheme="minorHAnsi" w:hAnsiTheme="minorHAnsi" w:cs="Arial"/>
                <w:b/>
                <w:bCs/>
                <w:color w:val="163D82"/>
                <w:sz w:val="18"/>
                <w:szCs w:val="18"/>
              </w:rPr>
            </w:pPr>
            <w:r w:rsidRPr="00967589">
              <w:rPr>
                <w:rFonts w:asciiTheme="minorHAnsi" w:hAnsiTheme="minorHAnsi" w:cs="Arial"/>
                <w:sz w:val="18"/>
                <w:szCs w:val="18"/>
              </w:rPr>
              <w:t>Final report issued</w:t>
            </w:r>
          </w:p>
        </w:tc>
      </w:tr>
    </w:tbl>
    <w:p w14:paraId="214D6A87" w14:textId="77777777" w:rsidR="008E7C41" w:rsidRDefault="008E7C41" w:rsidP="008E7C41">
      <w:pPr>
        <w:spacing w:before="120" w:after="120" w:line="271" w:lineRule="auto"/>
        <w:rPr>
          <w:rFonts w:asciiTheme="minorHAnsi" w:eastAsia="Calibri" w:hAnsiTheme="minorHAnsi" w:cstheme="minorHAnsi"/>
          <w:sz w:val="20"/>
          <w:szCs w:val="22"/>
        </w:rPr>
      </w:pPr>
    </w:p>
    <w:p w14:paraId="1996B934" w14:textId="77777777" w:rsidR="008E7C41" w:rsidRDefault="008E7C41" w:rsidP="008E7C41">
      <w:pPr>
        <w:spacing w:before="120" w:after="120" w:line="271" w:lineRule="auto"/>
        <w:rPr>
          <w:rFonts w:asciiTheme="minorHAnsi" w:eastAsia="Calibri" w:hAnsiTheme="minorHAnsi" w:cstheme="minorHAnsi"/>
          <w:sz w:val="20"/>
          <w:szCs w:val="22"/>
        </w:rPr>
      </w:pPr>
    </w:p>
    <w:p w14:paraId="027CDE37" w14:textId="77777777" w:rsidR="008E7C41" w:rsidRDefault="008E7C41" w:rsidP="008E7C41">
      <w:pPr>
        <w:spacing w:before="120" w:after="120" w:line="271" w:lineRule="auto"/>
        <w:rPr>
          <w:rFonts w:asciiTheme="minorHAnsi" w:eastAsia="Calibri" w:hAnsiTheme="minorHAnsi" w:cstheme="minorHAnsi"/>
          <w:sz w:val="20"/>
          <w:szCs w:val="22"/>
        </w:rPr>
        <w:sectPr w:rsidR="008E7C41" w:rsidSect="008E7C41">
          <w:headerReference w:type="default" r:id="rId20"/>
          <w:footerReference w:type="default" r:id="rId21"/>
          <w:pgSz w:w="16838" w:h="11906" w:orient="landscape"/>
          <w:pgMar w:top="709" w:right="1134" w:bottom="1134" w:left="1134" w:header="283" w:footer="282" w:gutter="0"/>
          <w:cols w:space="708"/>
          <w:docGrid w:linePitch="360"/>
        </w:sectPr>
      </w:pPr>
    </w:p>
    <w:p w14:paraId="0ED5ACB2" w14:textId="39657B13" w:rsidR="008E7C41" w:rsidRPr="001C433B" w:rsidRDefault="008E7C41" w:rsidP="001C433B">
      <w:pPr>
        <w:pBdr>
          <w:bottom w:val="single" w:sz="24" w:space="3" w:color="50B9A9"/>
        </w:pBdr>
        <w:spacing w:before="120" w:after="120" w:line="271" w:lineRule="auto"/>
        <w:ind w:right="-315"/>
        <w:rPr>
          <w:rFonts w:asciiTheme="minorHAnsi" w:eastAsia="SimSun" w:hAnsiTheme="minorHAnsi" w:cstheme="minorHAnsi"/>
          <w:bCs/>
          <w:color w:val="163D82"/>
          <w:sz w:val="36"/>
          <w:szCs w:val="36"/>
          <w:lang w:eastAsia="zh-CN"/>
        </w:rPr>
      </w:pPr>
      <w:r w:rsidRPr="001C433B">
        <w:rPr>
          <w:rFonts w:asciiTheme="minorHAnsi" w:eastAsia="SimSun" w:hAnsiTheme="minorHAnsi" w:cstheme="minorHAnsi"/>
          <w:bCs/>
          <w:color w:val="163D82"/>
          <w:sz w:val="36"/>
          <w:szCs w:val="36"/>
          <w:lang w:eastAsia="zh-CN"/>
        </w:rPr>
        <w:lastRenderedPageBreak/>
        <w:t>Priority 1 Recommendations - Progress update</w:t>
      </w:r>
      <w:r w:rsidRPr="001C433B">
        <w:rPr>
          <w:rFonts w:asciiTheme="minorHAnsi" w:eastAsia="SimSun" w:hAnsiTheme="minorHAnsi" w:cstheme="minorHAnsi"/>
          <w:bCs/>
          <w:color w:val="163D82"/>
          <w:sz w:val="36"/>
          <w:szCs w:val="36"/>
          <w:lang w:eastAsia="zh-CN"/>
        </w:rPr>
        <w:t xml:space="preserve">                                                                                     Appendix B</w:t>
      </w:r>
    </w:p>
    <w:p w14:paraId="5BE40996" w14:textId="77777777" w:rsidR="008E7C41" w:rsidRDefault="008E7C41" w:rsidP="00D069B9">
      <w:pPr>
        <w:pStyle w:val="TIAAHeadingOne"/>
        <w:spacing w:before="144" w:after="144"/>
        <w:jc w:val="left"/>
        <w:rPr>
          <w:rFonts w:cs="Calibri"/>
          <w:b w:val="0"/>
          <w:color w:val="163D82"/>
          <w:sz w:val="36"/>
          <w:szCs w:val="36"/>
          <w:lang w:eastAsia="en-GB"/>
        </w:rPr>
      </w:pPr>
    </w:p>
    <w:tbl>
      <w:tblPr>
        <w:tblW w:w="15381" w:type="dxa"/>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top w:w="120" w:type="dxa"/>
          <w:left w:w="60" w:type="dxa"/>
          <w:bottom w:w="120" w:type="dxa"/>
          <w:right w:w="60" w:type="dxa"/>
        </w:tblCellMar>
        <w:tblLook w:val="0000" w:firstRow="0" w:lastRow="0" w:firstColumn="0" w:lastColumn="0" w:noHBand="0" w:noVBand="0"/>
      </w:tblPr>
      <w:tblGrid>
        <w:gridCol w:w="2971"/>
        <w:gridCol w:w="850"/>
        <w:gridCol w:w="3370"/>
        <w:gridCol w:w="1126"/>
        <w:gridCol w:w="1521"/>
        <w:gridCol w:w="4409"/>
        <w:gridCol w:w="1134"/>
      </w:tblGrid>
      <w:tr w:rsidR="001C433B" w:rsidRPr="00373BE3" w14:paraId="0592324E" w14:textId="77777777" w:rsidTr="001C433B">
        <w:trPr>
          <w:cantSplit/>
          <w:tblHeader/>
          <w:jc w:val="center"/>
        </w:trPr>
        <w:tc>
          <w:tcPr>
            <w:tcW w:w="2971" w:type="dxa"/>
            <w:tcBorders>
              <w:bottom w:val="single" w:sz="8" w:space="0" w:color="BFBFBF"/>
            </w:tcBorders>
            <w:shd w:val="clear" w:color="auto" w:fill="D9D9D9"/>
          </w:tcPr>
          <w:p w14:paraId="29EF31D8"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F20BCE">
              <w:rPr>
                <w:rFonts w:asciiTheme="minorHAnsi" w:hAnsiTheme="minorHAnsi" w:cstheme="minorHAnsi"/>
                <w:b/>
                <w:color w:val="163D82"/>
                <w:sz w:val="18"/>
                <w:szCs w:val="18"/>
              </w:rPr>
              <w:t>Recommendation</w:t>
            </w:r>
          </w:p>
        </w:tc>
        <w:tc>
          <w:tcPr>
            <w:tcW w:w="850" w:type="dxa"/>
            <w:tcBorders>
              <w:bottom w:val="single" w:sz="8" w:space="0" w:color="BFBFBF"/>
            </w:tcBorders>
            <w:shd w:val="clear" w:color="auto" w:fill="D9D9D9"/>
          </w:tcPr>
          <w:p w14:paraId="5857F400"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Priority</w:t>
            </w:r>
          </w:p>
        </w:tc>
        <w:tc>
          <w:tcPr>
            <w:tcW w:w="3370" w:type="dxa"/>
            <w:tcBorders>
              <w:bottom w:val="single" w:sz="8" w:space="0" w:color="BFBFBF"/>
            </w:tcBorders>
            <w:shd w:val="clear" w:color="auto" w:fill="D9D9D9"/>
          </w:tcPr>
          <w:p w14:paraId="4138773F"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Management</w:t>
            </w:r>
          </w:p>
          <w:p w14:paraId="2E437E29"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Comments</w:t>
            </w:r>
          </w:p>
        </w:tc>
        <w:tc>
          <w:tcPr>
            <w:tcW w:w="1126" w:type="dxa"/>
            <w:tcBorders>
              <w:bottom w:val="single" w:sz="8" w:space="0" w:color="BFBFBF"/>
            </w:tcBorders>
            <w:shd w:val="clear" w:color="auto" w:fill="D9D9D9"/>
          </w:tcPr>
          <w:p w14:paraId="6E4BAF4D"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Implementation</w:t>
            </w:r>
          </w:p>
          <w:p w14:paraId="689116F4"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Timetable</w:t>
            </w:r>
          </w:p>
        </w:tc>
        <w:tc>
          <w:tcPr>
            <w:tcW w:w="1521" w:type="dxa"/>
            <w:tcBorders>
              <w:bottom w:val="single" w:sz="8" w:space="0" w:color="BFBFBF"/>
            </w:tcBorders>
            <w:shd w:val="clear" w:color="auto" w:fill="D9D9D9"/>
          </w:tcPr>
          <w:p w14:paraId="212A83C1"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Responsible</w:t>
            </w:r>
          </w:p>
          <w:p w14:paraId="770D5947"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Officer</w:t>
            </w:r>
          </w:p>
        </w:tc>
        <w:tc>
          <w:tcPr>
            <w:tcW w:w="4409" w:type="dxa"/>
            <w:tcBorders>
              <w:bottom w:val="single" w:sz="8" w:space="0" w:color="BFBFBF"/>
            </w:tcBorders>
            <w:shd w:val="clear" w:color="auto" w:fill="D9D9D9"/>
          </w:tcPr>
          <w:p w14:paraId="5626F4A6"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Action taken to date (and any extant risk exposure)</w:t>
            </w:r>
          </w:p>
        </w:tc>
        <w:tc>
          <w:tcPr>
            <w:tcW w:w="1134" w:type="dxa"/>
            <w:tcBorders>
              <w:bottom w:val="single" w:sz="8" w:space="0" w:color="BFBFBF"/>
            </w:tcBorders>
            <w:shd w:val="clear" w:color="auto" w:fill="D9D9D9"/>
          </w:tcPr>
          <w:p w14:paraId="2F8467E3" w14:textId="77777777" w:rsidR="001C433B" w:rsidRPr="00373BE3" w:rsidRDefault="001C433B" w:rsidP="0010713F">
            <w:pPr>
              <w:spacing w:before="60" w:after="60" w:line="271" w:lineRule="auto"/>
              <w:jc w:val="center"/>
              <w:rPr>
                <w:rFonts w:asciiTheme="minorHAnsi" w:hAnsiTheme="minorHAnsi" w:cstheme="minorHAnsi"/>
                <w:b/>
                <w:color w:val="163D82"/>
                <w:sz w:val="18"/>
                <w:szCs w:val="18"/>
              </w:rPr>
            </w:pPr>
            <w:r w:rsidRPr="00373BE3">
              <w:rPr>
                <w:rFonts w:asciiTheme="minorHAnsi" w:hAnsiTheme="minorHAnsi" w:cstheme="minorHAnsi"/>
                <w:b/>
                <w:color w:val="163D82"/>
                <w:sz w:val="18"/>
                <w:szCs w:val="18"/>
              </w:rPr>
              <w:t>Risk Mitigated</w:t>
            </w:r>
          </w:p>
        </w:tc>
      </w:tr>
      <w:tr w:rsidR="001C433B" w:rsidRPr="00094534" w14:paraId="2E8FB4AF" w14:textId="77777777" w:rsidTr="001C433B">
        <w:trPr>
          <w:cantSplit/>
          <w:trHeight w:val="57"/>
          <w:jc w:val="center"/>
        </w:trPr>
        <w:tc>
          <w:tcPr>
            <w:tcW w:w="15381" w:type="dxa"/>
            <w:gridSpan w:val="7"/>
          </w:tcPr>
          <w:p w14:paraId="54A08EB6" w14:textId="77777777" w:rsidR="001C433B" w:rsidRPr="00094534" w:rsidRDefault="001C433B" w:rsidP="0010713F">
            <w:pPr>
              <w:spacing w:before="60" w:after="60" w:line="271" w:lineRule="auto"/>
              <w:rPr>
                <w:rFonts w:asciiTheme="minorHAnsi" w:hAnsiTheme="minorHAnsi" w:cstheme="minorHAnsi"/>
                <w:iCs/>
                <w:color w:val="000000"/>
                <w:sz w:val="18"/>
                <w:szCs w:val="18"/>
                <w:highlight w:val="yellow"/>
              </w:rPr>
            </w:pPr>
            <w:r w:rsidRPr="00DF210D">
              <w:rPr>
                <w:rFonts w:asciiTheme="minorHAnsi" w:hAnsiTheme="minorHAnsi" w:cstheme="minorHAnsi"/>
                <w:iCs/>
                <w:color w:val="000000"/>
                <w:sz w:val="18"/>
                <w:szCs w:val="18"/>
              </w:rPr>
              <w:t>Evidential Property</w:t>
            </w:r>
          </w:p>
        </w:tc>
      </w:tr>
      <w:tr w:rsidR="001C433B" w:rsidRPr="00373BE3" w14:paraId="3EA4E81D" w14:textId="77777777" w:rsidTr="001C433B">
        <w:trPr>
          <w:cantSplit/>
          <w:jc w:val="center"/>
        </w:trPr>
        <w:tc>
          <w:tcPr>
            <w:tcW w:w="2971" w:type="dxa"/>
          </w:tcPr>
          <w:p w14:paraId="5A136BDF" w14:textId="77777777" w:rsidR="001C433B" w:rsidRPr="00373BE3" w:rsidRDefault="001C433B" w:rsidP="0010713F">
            <w:pPr>
              <w:spacing w:before="60" w:after="60" w:line="271" w:lineRule="auto"/>
              <w:rPr>
                <w:rFonts w:asciiTheme="minorHAnsi" w:hAnsiTheme="minorHAnsi" w:cstheme="minorHAnsi"/>
                <w:color w:val="000000"/>
                <w:sz w:val="18"/>
                <w:szCs w:val="18"/>
              </w:rPr>
            </w:pPr>
            <w:r w:rsidRPr="00DF210D">
              <w:rPr>
                <w:rFonts w:ascii="Calibri" w:eastAsia="Aptos" w:hAnsi="Calibri" w:cs="Calibri"/>
                <w:color w:val="000000"/>
                <w:kern w:val="2"/>
                <w:sz w:val="18"/>
                <w:szCs w:val="24"/>
                <w14:ligatures w14:val="standardContextual"/>
              </w:rPr>
              <w:t xml:space="preserve">The status of the 26 exhibits at the Blackwood Station interim storage identified as unaccounted for be investigated and NicheRMS be updated to reflect their </w:t>
            </w:r>
            <w:proofErr w:type="gramStart"/>
            <w:r w:rsidRPr="00DF210D">
              <w:rPr>
                <w:rFonts w:ascii="Calibri" w:eastAsia="Aptos" w:hAnsi="Calibri" w:cs="Calibri"/>
                <w:color w:val="000000"/>
                <w:kern w:val="2"/>
                <w:sz w:val="18"/>
                <w:szCs w:val="24"/>
                <w14:ligatures w14:val="standardContextual"/>
              </w:rPr>
              <w:t>current status</w:t>
            </w:r>
            <w:proofErr w:type="gramEnd"/>
          </w:p>
        </w:tc>
        <w:tc>
          <w:tcPr>
            <w:tcW w:w="850" w:type="dxa"/>
            <w:shd w:val="clear" w:color="auto" w:fill="DC0D15"/>
          </w:tcPr>
          <w:p w14:paraId="361E4319" w14:textId="77777777" w:rsidR="001C433B" w:rsidRPr="00373BE3" w:rsidRDefault="001C433B" w:rsidP="0010713F">
            <w:pPr>
              <w:spacing w:before="60" w:after="60" w:line="271" w:lineRule="auto"/>
              <w:jc w:val="center"/>
              <w:rPr>
                <w:rFonts w:asciiTheme="minorHAnsi" w:hAnsiTheme="minorHAnsi" w:cstheme="minorHAnsi"/>
                <w:color w:val="FFFFFF"/>
                <w:sz w:val="18"/>
                <w:szCs w:val="18"/>
              </w:rPr>
            </w:pPr>
            <w:r w:rsidRPr="00373BE3">
              <w:rPr>
                <w:rFonts w:asciiTheme="minorHAnsi" w:hAnsiTheme="minorHAnsi" w:cstheme="minorHAnsi"/>
                <w:color w:val="FFFFFF"/>
                <w:sz w:val="18"/>
                <w:szCs w:val="18"/>
              </w:rPr>
              <w:t>1</w:t>
            </w:r>
          </w:p>
        </w:tc>
        <w:tc>
          <w:tcPr>
            <w:tcW w:w="3370" w:type="dxa"/>
          </w:tcPr>
          <w:p w14:paraId="4200DDF0" w14:textId="77777777" w:rsidR="001C433B" w:rsidRPr="00DF210D" w:rsidRDefault="001C433B" w:rsidP="0010713F">
            <w:pPr>
              <w:spacing w:before="60" w:after="60"/>
              <w:rPr>
                <w:rFonts w:ascii="Calibri" w:eastAsia="Aptos" w:hAnsi="Calibri" w:cs="Calibri"/>
                <w:i/>
                <w:color w:val="000000"/>
                <w:kern w:val="2"/>
                <w:sz w:val="18"/>
                <w:szCs w:val="24"/>
                <w14:ligatures w14:val="standardContextual"/>
              </w:rPr>
            </w:pPr>
            <w:r w:rsidRPr="00DF210D">
              <w:rPr>
                <w:rFonts w:ascii="Calibri" w:eastAsia="Aptos" w:hAnsi="Calibri" w:cs="Calibri"/>
                <w:i/>
                <w:color w:val="000000"/>
                <w:kern w:val="2"/>
                <w:sz w:val="18"/>
                <w:szCs w:val="24"/>
                <w14:ligatures w14:val="standardContextual"/>
              </w:rPr>
              <w:t>Investigations continue for exhibits marked as “Not in Store”.</w:t>
            </w:r>
          </w:p>
          <w:p w14:paraId="364F2172" w14:textId="77777777" w:rsidR="001C433B" w:rsidRPr="00DF210D" w:rsidRDefault="001C433B" w:rsidP="0010713F">
            <w:pPr>
              <w:spacing w:before="60" w:after="60"/>
              <w:rPr>
                <w:rFonts w:ascii="Calibri" w:eastAsia="Aptos" w:hAnsi="Calibri" w:cs="Calibri"/>
                <w:i/>
                <w:color w:val="000000"/>
                <w:kern w:val="2"/>
                <w:sz w:val="18"/>
                <w:szCs w:val="24"/>
                <w14:ligatures w14:val="standardContextual"/>
              </w:rPr>
            </w:pPr>
            <w:r w:rsidRPr="00DF210D">
              <w:rPr>
                <w:rFonts w:ascii="Calibri" w:eastAsia="Aptos" w:hAnsi="Calibri" w:cs="Calibri"/>
                <w:i/>
                <w:color w:val="000000"/>
                <w:kern w:val="2"/>
                <w:sz w:val="18"/>
                <w:szCs w:val="24"/>
                <w14:ligatures w14:val="standardContextual"/>
              </w:rPr>
              <w:t>Once Officers confirm they cannot locate exhibits and a missing items report has been completed, exhibits are marked as confirmed missing.</w:t>
            </w:r>
          </w:p>
          <w:p w14:paraId="14C2E36A" w14:textId="77777777" w:rsidR="001C433B" w:rsidRPr="00DF210D" w:rsidRDefault="001C433B" w:rsidP="0010713F">
            <w:pPr>
              <w:spacing w:before="60" w:after="60"/>
              <w:rPr>
                <w:rFonts w:ascii="Calibri" w:eastAsia="Aptos" w:hAnsi="Calibri" w:cs="Calibri"/>
                <w:i/>
                <w:color w:val="000000"/>
                <w:kern w:val="2"/>
                <w:sz w:val="18"/>
                <w:szCs w:val="24"/>
                <w14:ligatures w14:val="standardContextual"/>
              </w:rPr>
            </w:pPr>
            <w:r w:rsidRPr="00DF210D">
              <w:rPr>
                <w:rFonts w:ascii="Calibri" w:eastAsia="Aptos" w:hAnsi="Calibri" w:cs="Calibri"/>
                <w:i/>
                <w:color w:val="000000"/>
                <w:kern w:val="2"/>
                <w:sz w:val="18"/>
                <w:szCs w:val="24"/>
                <w14:ligatures w14:val="standardContextual"/>
              </w:rPr>
              <w:t>Evidential Property Unit (EPU) Senior Leadership Team (SLT) are meeting on 02.10.25 to review all confirmed missing.</w:t>
            </w:r>
          </w:p>
          <w:p w14:paraId="139B1A8C" w14:textId="77777777" w:rsidR="001C433B" w:rsidRPr="00DF210D" w:rsidRDefault="001C433B" w:rsidP="0010713F">
            <w:pPr>
              <w:rPr>
                <w:rFonts w:ascii="Calibri" w:hAnsi="Calibri" w:cs="Calibri"/>
                <w:i/>
                <w:color w:val="000000"/>
                <w:sz w:val="18"/>
              </w:rPr>
            </w:pPr>
            <w:r w:rsidRPr="00DF210D">
              <w:rPr>
                <w:rFonts w:ascii="Calibri" w:eastAsia="Aptos" w:hAnsi="Calibri" w:cs="Calibri"/>
                <w:i/>
                <w:color w:val="000000"/>
                <w:kern w:val="2"/>
                <w:sz w:val="18"/>
                <w:szCs w:val="24"/>
                <w14:ligatures w14:val="standardContextual"/>
              </w:rPr>
              <w:t>Initial meeting for the Missing items Scrutiny Panel has been set for 28.11.25</w:t>
            </w:r>
          </w:p>
        </w:tc>
        <w:tc>
          <w:tcPr>
            <w:tcW w:w="1126" w:type="dxa"/>
          </w:tcPr>
          <w:p w14:paraId="405639D0" w14:textId="77777777" w:rsidR="001C433B" w:rsidRPr="00DF210D" w:rsidRDefault="001C433B" w:rsidP="0010713F">
            <w:pPr>
              <w:spacing w:before="60" w:after="60"/>
              <w:jc w:val="center"/>
              <w:rPr>
                <w:rFonts w:ascii="Calibri" w:hAnsi="Calibri" w:cs="Calibri"/>
                <w:i/>
                <w:color w:val="000000"/>
                <w:sz w:val="18"/>
              </w:rPr>
            </w:pPr>
            <w:r w:rsidRPr="00DF210D">
              <w:rPr>
                <w:rFonts w:ascii="Calibri" w:hAnsi="Calibri" w:cs="Calibri"/>
                <w:i/>
                <w:color w:val="000000"/>
                <w:sz w:val="18"/>
              </w:rPr>
              <w:t xml:space="preserve">Commences </w:t>
            </w:r>
          </w:p>
          <w:p w14:paraId="46F4A8F1" w14:textId="77777777" w:rsidR="001C433B" w:rsidRPr="00DF210D" w:rsidRDefault="001C433B" w:rsidP="0010713F">
            <w:pPr>
              <w:spacing w:before="60" w:after="60"/>
              <w:jc w:val="center"/>
              <w:rPr>
                <w:rFonts w:ascii="Calibri" w:hAnsi="Calibri" w:cs="Calibri"/>
                <w:i/>
                <w:color w:val="000000"/>
                <w:sz w:val="18"/>
              </w:rPr>
            </w:pPr>
            <w:r w:rsidRPr="00DF210D">
              <w:rPr>
                <w:rFonts w:ascii="Calibri" w:hAnsi="Calibri" w:cs="Calibri"/>
                <w:i/>
                <w:color w:val="000000"/>
                <w:sz w:val="18"/>
              </w:rPr>
              <w:t>02/10/</w:t>
            </w:r>
            <w:r>
              <w:rPr>
                <w:rFonts w:ascii="Calibri" w:hAnsi="Calibri" w:cs="Calibri"/>
                <w:i/>
                <w:color w:val="000000"/>
                <w:sz w:val="18"/>
              </w:rPr>
              <w:t>20</w:t>
            </w:r>
            <w:r w:rsidRPr="00DF210D">
              <w:rPr>
                <w:rFonts w:ascii="Calibri" w:hAnsi="Calibri" w:cs="Calibri"/>
                <w:i/>
                <w:color w:val="000000"/>
                <w:sz w:val="18"/>
              </w:rPr>
              <w:t xml:space="preserve">25 </w:t>
            </w:r>
          </w:p>
          <w:p w14:paraId="33021139" w14:textId="77777777" w:rsidR="001C433B" w:rsidRPr="00DF210D" w:rsidRDefault="001C433B" w:rsidP="0010713F">
            <w:pPr>
              <w:spacing w:before="60" w:after="60"/>
              <w:jc w:val="center"/>
              <w:rPr>
                <w:rFonts w:ascii="Calibri" w:hAnsi="Calibri" w:cs="Calibri"/>
                <w:i/>
                <w:color w:val="000000"/>
                <w:sz w:val="18"/>
              </w:rPr>
            </w:pPr>
          </w:p>
          <w:p w14:paraId="715B9238" w14:textId="77777777" w:rsidR="001C433B" w:rsidRPr="00DF210D" w:rsidRDefault="001C433B" w:rsidP="0010713F">
            <w:pPr>
              <w:spacing w:before="60" w:after="60" w:line="271" w:lineRule="auto"/>
              <w:jc w:val="center"/>
              <w:rPr>
                <w:rFonts w:ascii="Calibri" w:hAnsi="Calibri" w:cs="Calibri"/>
                <w:i/>
                <w:color w:val="000000"/>
                <w:sz w:val="18"/>
                <w:szCs w:val="18"/>
                <w:highlight w:val="black"/>
              </w:rPr>
            </w:pPr>
            <w:r w:rsidRPr="00DF210D">
              <w:rPr>
                <w:rFonts w:ascii="Calibri" w:hAnsi="Calibri" w:cs="Calibri"/>
                <w:i/>
                <w:color w:val="000000"/>
                <w:sz w:val="18"/>
              </w:rPr>
              <w:t>31/12/</w:t>
            </w:r>
            <w:r>
              <w:rPr>
                <w:rFonts w:ascii="Calibri" w:hAnsi="Calibri" w:cs="Calibri"/>
                <w:i/>
                <w:color w:val="000000"/>
                <w:sz w:val="18"/>
              </w:rPr>
              <w:t>20</w:t>
            </w:r>
            <w:r w:rsidRPr="00DF210D">
              <w:rPr>
                <w:rFonts w:ascii="Calibri" w:hAnsi="Calibri" w:cs="Calibri"/>
                <w:i/>
                <w:color w:val="000000"/>
                <w:sz w:val="18"/>
              </w:rPr>
              <w:t xml:space="preserve">25 </w:t>
            </w:r>
          </w:p>
        </w:tc>
        <w:tc>
          <w:tcPr>
            <w:tcW w:w="1521" w:type="dxa"/>
          </w:tcPr>
          <w:p w14:paraId="6105585E" w14:textId="77777777" w:rsidR="001C433B" w:rsidRPr="00DF210D" w:rsidRDefault="001C433B" w:rsidP="0010713F">
            <w:pPr>
              <w:spacing w:before="60" w:after="60"/>
              <w:rPr>
                <w:rFonts w:ascii="Calibri" w:hAnsi="Calibri" w:cs="Calibri"/>
                <w:i/>
                <w:color w:val="000000"/>
                <w:sz w:val="18"/>
              </w:rPr>
            </w:pPr>
            <w:r w:rsidRPr="00DF210D">
              <w:rPr>
                <w:rFonts w:ascii="Calibri" w:hAnsi="Calibri" w:cs="Calibri"/>
                <w:i/>
                <w:color w:val="000000"/>
                <w:sz w:val="18"/>
              </w:rPr>
              <w:t>Ali Williams</w:t>
            </w:r>
          </w:p>
          <w:p w14:paraId="251BE8E3" w14:textId="77777777" w:rsidR="001C433B" w:rsidRPr="00DF210D" w:rsidRDefault="001C433B" w:rsidP="0010713F">
            <w:pPr>
              <w:spacing w:before="60" w:after="60" w:line="271" w:lineRule="auto"/>
              <w:rPr>
                <w:rFonts w:ascii="Calibri" w:hAnsi="Calibri" w:cs="Calibri"/>
                <w:i/>
                <w:color w:val="000000"/>
                <w:sz w:val="18"/>
                <w:szCs w:val="18"/>
                <w:highlight w:val="black"/>
              </w:rPr>
            </w:pPr>
            <w:r w:rsidRPr="00DF210D">
              <w:rPr>
                <w:rFonts w:ascii="Calibri" w:hAnsi="Calibri" w:cs="Calibri"/>
                <w:i/>
                <w:color w:val="000000"/>
                <w:sz w:val="18"/>
              </w:rPr>
              <w:t xml:space="preserve">EPU </w:t>
            </w:r>
            <w:proofErr w:type="gramStart"/>
            <w:r w:rsidRPr="00DF210D">
              <w:rPr>
                <w:rFonts w:ascii="Calibri" w:hAnsi="Calibri" w:cs="Calibri"/>
                <w:i/>
                <w:color w:val="000000"/>
                <w:sz w:val="18"/>
              </w:rPr>
              <w:t>Lead</w:t>
            </w:r>
            <w:proofErr w:type="gramEnd"/>
          </w:p>
        </w:tc>
        <w:tc>
          <w:tcPr>
            <w:tcW w:w="4409" w:type="dxa"/>
          </w:tcPr>
          <w:p w14:paraId="3AC22508" w14:textId="77777777" w:rsidR="001C433B" w:rsidRDefault="001C433B" w:rsidP="0010713F">
            <w:pPr>
              <w:spacing w:before="60" w:after="60" w:line="271" w:lineRule="auto"/>
              <w:rPr>
                <w:rFonts w:asciiTheme="minorHAnsi" w:hAnsiTheme="minorHAnsi" w:cstheme="minorHAnsi"/>
                <w:i/>
                <w:color w:val="000000"/>
                <w:sz w:val="18"/>
                <w:szCs w:val="18"/>
              </w:rPr>
            </w:pPr>
            <w:r>
              <w:rPr>
                <w:rFonts w:asciiTheme="minorHAnsi" w:hAnsiTheme="minorHAnsi" w:cstheme="minorHAnsi"/>
                <w:b/>
                <w:bCs/>
                <w:i/>
                <w:color w:val="000000"/>
                <w:sz w:val="18"/>
                <w:szCs w:val="18"/>
              </w:rPr>
              <w:t>Febr</w:t>
            </w:r>
            <w:r w:rsidRPr="005C0CF0">
              <w:rPr>
                <w:rFonts w:asciiTheme="minorHAnsi" w:hAnsiTheme="minorHAnsi" w:cstheme="minorHAnsi"/>
                <w:b/>
                <w:bCs/>
                <w:i/>
                <w:color w:val="000000"/>
                <w:sz w:val="18"/>
                <w:szCs w:val="18"/>
              </w:rPr>
              <w:t>uary 2026</w:t>
            </w:r>
            <w:r>
              <w:rPr>
                <w:rFonts w:asciiTheme="minorHAnsi" w:hAnsiTheme="minorHAnsi" w:cstheme="minorHAnsi"/>
                <w:i/>
                <w:color w:val="000000"/>
                <w:sz w:val="18"/>
                <w:szCs w:val="18"/>
              </w:rPr>
              <w:t xml:space="preserve"> – </w:t>
            </w:r>
          </w:p>
          <w:p w14:paraId="45137235" w14:textId="77777777" w:rsidR="001C433B" w:rsidRDefault="001C433B" w:rsidP="0010713F">
            <w:pPr>
              <w:spacing w:before="60" w:after="60" w:line="271" w:lineRule="auto"/>
              <w:rPr>
                <w:rFonts w:asciiTheme="minorHAnsi" w:hAnsiTheme="minorHAnsi" w:cstheme="minorHAnsi"/>
                <w:i/>
                <w:color w:val="000000"/>
                <w:sz w:val="18"/>
                <w:szCs w:val="18"/>
              </w:rPr>
            </w:pPr>
            <w:r w:rsidRPr="009B2637">
              <w:rPr>
                <w:rFonts w:asciiTheme="minorHAnsi" w:hAnsiTheme="minorHAnsi" w:cstheme="minorHAnsi"/>
                <w:i/>
                <w:color w:val="000000"/>
                <w:sz w:val="18"/>
                <w:szCs w:val="18"/>
              </w:rPr>
              <w:t xml:space="preserve">The EPU Lead </w:t>
            </w:r>
            <w:r>
              <w:rPr>
                <w:rFonts w:asciiTheme="minorHAnsi" w:hAnsiTheme="minorHAnsi" w:cstheme="minorHAnsi"/>
                <w:i/>
                <w:color w:val="000000"/>
                <w:sz w:val="18"/>
                <w:szCs w:val="18"/>
              </w:rPr>
              <w:t>confirmed that this is still work in progress but good progress is being achieved in the investigations.</w:t>
            </w:r>
          </w:p>
          <w:p w14:paraId="16112DFA" w14:textId="77777777" w:rsidR="001C433B" w:rsidRDefault="001C433B" w:rsidP="0010713F">
            <w:pPr>
              <w:spacing w:before="60" w:after="60" w:line="271" w:lineRule="auto"/>
              <w:rPr>
                <w:rFonts w:asciiTheme="minorHAnsi" w:hAnsiTheme="minorHAnsi" w:cstheme="minorHAnsi"/>
                <w:b/>
                <w:bCs/>
                <w:i/>
                <w:color w:val="000000"/>
                <w:sz w:val="18"/>
                <w:szCs w:val="18"/>
              </w:rPr>
            </w:pPr>
            <w:r w:rsidRPr="00615616">
              <w:rPr>
                <w:rFonts w:asciiTheme="minorHAnsi" w:hAnsiTheme="minorHAnsi" w:cstheme="minorHAnsi"/>
                <w:b/>
                <w:bCs/>
                <w:i/>
                <w:color w:val="000000"/>
                <w:sz w:val="18"/>
                <w:szCs w:val="18"/>
              </w:rPr>
              <w:t>June 2026</w:t>
            </w:r>
          </w:p>
          <w:p w14:paraId="2C1D97AE" w14:textId="77777777" w:rsidR="001C433B" w:rsidRDefault="001C433B" w:rsidP="0010713F">
            <w:pPr>
              <w:spacing w:before="60" w:after="60" w:line="271" w:lineRule="auto"/>
              <w:rPr>
                <w:rFonts w:asciiTheme="minorHAnsi" w:hAnsiTheme="minorHAnsi" w:cstheme="minorHAnsi"/>
                <w:i/>
                <w:color w:val="000000"/>
                <w:sz w:val="18"/>
                <w:szCs w:val="18"/>
              </w:rPr>
            </w:pPr>
            <w:r>
              <w:rPr>
                <w:rFonts w:asciiTheme="minorHAnsi" w:hAnsiTheme="minorHAnsi" w:cstheme="minorHAnsi"/>
                <w:i/>
                <w:color w:val="000000"/>
                <w:sz w:val="18"/>
                <w:szCs w:val="18"/>
              </w:rPr>
              <w:t>Th</w:t>
            </w:r>
            <w:r w:rsidRPr="00615616">
              <w:rPr>
                <w:rFonts w:asciiTheme="minorHAnsi" w:hAnsiTheme="minorHAnsi" w:cstheme="minorHAnsi"/>
                <w:i/>
                <w:color w:val="000000"/>
                <w:sz w:val="18"/>
                <w:szCs w:val="18"/>
              </w:rPr>
              <w:t>e EPU Lead confirmed that there is only one which is still under investigation</w:t>
            </w:r>
            <w:r>
              <w:rPr>
                <w:rFonts w:asciiTheme="minorHAnsi" w:hAnsiTheme="minorHAnsi" w:cstheme="minorHAnsi"/>
                <w:i/>
                <w:color w:val="000000"/>
                <w:sz w:val="18"/>
                <w:szCs w:val="18"/>
              </w:rPr>
              <w:t>.</w:t>
            </w:r>
          </w:p>
          <w:p w14:paraId="0650A91C" w14:textId="77777777" w:rsidR="001C433B" w:rsidRDefault="001C433B" w:rsidP="0010713F">
            <w:pPr>
              <w:spacing w:before="60" w:after="60" w:line="271" w:lineRule="auto"/>
              <w:rPr>
                <w:rFonts w:asciiTheme="minorHAnsi" w:hAnsiTheme="minorHAnsi" w:cstheme="minorHAnsi"/>
                <w:b/>
                <w:bCs/>
                <w:i/>
                <w:color w:val="000000"/>
                <w:sz w:val="18"/>
                <w:szCs w:val="18"/>
              </w:rPr>
            </w:pPr>
            <w:r w:rsidRPr="000837E7">
              <w:rPr>
                <w:rFonts w:asciiTheme="minorHAnsi" w:hAnsiTheme="minorHAnsi" w:cstheme="minorHAnsi"/>
                <w:b/>
                <w:bCs/>
                <w:i/>
                <w:color w:val="000000"/>
                <w:sz w:val="18"/>
                <w:szCs w:val="18"/>
              </w:rPr>
              <w:t>September 2026</w:t>
            </w:r>
          </w:p>
          <w:p w14:paraId="5F7441CE" w14:textId="77777777" w:rsidR="001C433B" w:rsidRPr="000837E7" w:rsidRDefault="001C433B" w:rsidP="0010713F">
            <w:pPr>
              <w:spacing w:before="60" w:after="60" w:line="271" w:lineRule="auto"/>
              <w:rPr>
                <w:rFonts w:asciiTheme="minorHAnsi" w:hAnsiTheme="minorHAnsi" w:cstheme="minorHAnsi"/>
                <w:i/>
                <w:color w:val="000000"/>
                <w:sz w:val="18"/>
                <w:szCs w:val="18"/>
                <w:highlight w:val="black"/>
              </w:rPr>
            </w:pPr>
            <w:r w:rsidRPr="000837E7">
              <w:rPr>
                <w:rFonts w:asciiTheme="minorHAnsi" w:hAnsiTheme="minorHAnsi" w:cstheme="minorHAnsi"/>
                <w:i/>
                <w:color w:val="000000"/>
                <w:sz w:val="18"/>
                <w:szCs w:val="18"/>
              </w:rPr>
              <w:t>This has no</w:t>
            </w:r>
            <w:r>
              <w:rPr>
                <w:rFonts w:asciiTheme="minorHAnsi" w:hAnsiTheme="minorHAnsi" w:cstheme="minorHAnsi"/>
                <w:i/>
                <w:color w:val="000000"/>
                <w:sz w:val="18"/>
                <w:szCs w:val="18"/>
              </w:rPr>
              <w:t>w been implemented and signed off as part of the interim follow up in September 2026</w:t>
            </w:r>
          </w:p>
        </w:tc>
        <w:tc>
          <w:tcPr>
            <w:tcW w:w="1134" w:type="dxa"/>
            <w:shd w:val="clear" w:color="auto" w:fill="DC0D15"/>
          </w:tcPr>
          <w:p w14:paraId="0A0D633E" w14:textId="77777777" w:rsidR="001C433B" w:rsidRPr="00373BE3" w:rsidRDefault="001C433B" w:rsidP="0010713F">
            <w:pPr>
              <w:spacing w:before="60" w:after="60" w:line="271" w:lineRule="auto"/>
              <w:rPr>
                <w:rFonts w:asciiTheme="minorHAnsi" w:hAnsiTheme="minorHAnsi" w:cstheme="minorHAnsi"/>
                <w:i/>
                <w:color w:val="000000"/>
                <w:sz w:val="18"/>
                <w:szCs w:val="18"/>
                <w:highlight w:val="black"/>
              </w:rPr>
            </w:pPr>
          </w:p>
        </w:tc>
      </w:tr>
      <w:tr w:rsidR="001C433B" w:rsidRPr="00373BE3" w14:paraId="32E5D917" w14:textId="77777777" w:rsidTr="001C433B">
        <w:trPr>
          <w:cantSplit/>
          <w:trHeight w:val="2182"/>
          <w:jc w:val="center"/>
        </w:trPr>
        <w:tc>
          <w:tcPr>
            <w:tcW w:w="2971" w:type="dxa"/>
            <w:tcBorders>
              <w:bottom w:val="single" w:sz="8" w:space="0" w:color="BFBFBF"/>
            </w:tcBorders>
          </w:tcPr>
          <w:p w14:paraId="576968EA" w14:textId="77777777" w:rsidR="001C433B" w:rsidRPr="00373BE3" w:rsidRDefault="001C433B" w:rsidP="0010713F">
            <w:pPr>
              <w:spacing w:before="60" w:after="60" w:line="271" w:lineRule="auto"/>
              <w:rPr>
                <w:rFonts w:asciiTheme="minorHAnsi" w:hAnsiTheme="minorHAnsi" w:cstheme="minorHAnsi"/>
                <w:color w:val="000000"/>
                <w:sz w:val="18"/>
                <w:szCs w:val="18"/>
              </w:rPr>
            </w:pPr>
            <w:r w:rsidRPr="00DF210D">
              <w:rPr>
                <w:rFonts w:asciiTheme="minorHAnsi" w:hAnsiTheme="minorHAnsi" w:cstheme="minorHAnsi"/>
                <w:color w:val="000000"/>
                <w:sz w:val="18"/>
                <w:szCs w:val="18"/>
              </w:rPr>
              <w:t xml:space="preserve">The status of the 22 exhibits at the Newport Station interim storage identified as unaccounted for be investigated and NicheRMS be updated to reflect their </w:t>
            </w:r>
            <w:proofErr w:type="gramStart"/>
            <w:r w:rsidRPr="00DF210D">
              <w:rPr>
                <w:rFonts w:asciiTheme="minorHAnsi" w:hAnsiTheme="minorHAnsi" w:cstheme="minorHAnsi"/>
                <w:color w:val="000000"/>
                <w:sz w:val="18"/>
                <w:szCs w:val="18"/>
              </w:rPr>
              <w:t>current status</w:t>
            </w:r>
            <w:proofErr w:type="gramEnd"/>
            <w:r w:rsidRPr="00DF210D">
              <w:rPr>
                <w:rFonts w:asciiTheme="minorHAnsi" w:hAnsiTheme="minorHAnsi" w:cstheme="minorHAnsi"/>
                <w:color w:val="000000"/>
                <w:sz w:val="18"/>
                <w:szCs w:val="18"/>
              </w:rPr>
              <w:t>.</w:t>
            </w:r>
          </w:p>
        </w:tc>
        <w:tc>
          <w:tcPr>
            <w:tcW w:w="850" w:type="dxa"/>
            <w:tcBorders>
              <w:bottom w:val="single" w:sz="8" w:space="0" w:color="BFBFBF"/>
            </w:tcBorders>
            <w:shd w:val="clear" w:color="auto" w:fill="DC0D15"/>
          </w:tcPr>
          <w:p w14:paraId="01EAC4AF" w14:textId="77777777" w:rsidR="001C433B" w:rsidRPr="00373BE3" w:rsidRDefault="001C433B" w:rsidP="0010713F">
            <w:pPr>
              <w:spacing w:before="60" w:after="60" w:line="271" w:lineRule="auto"/>
              <w:jc w:val="center"/>
              <w:rPr>
                <w:rFonts w:asciiTheme="minorHAnsi" w:hAnsiTheme="minorHAnsi" w:cstheme="minorHAnsi"/>
                <w:color w:val="FFFFFF"/>
                <w:sz w:val="18"/>
                <w:szCs w:val="18"/>
              </w:rPr>
            </w:pPr>
            <w:r>
              <w:rPr>
                <w:rFonts w:asciiTheme="minorHAnsi" w:hAnsiTheme="minorHAnsi" w:cstheme="minorHAnsi"/>
                <w:color w:val="FFFFFF"/>
                <w:sz w:val="18"/>
                <w:szCs w:val="18"/>
              </w:rPr>
              <w:t>1</w:t>
            </w:r>
          </w:p>
        </w:tc>
        <w:tc>
          <w:tcPr>
            <w:tcW w:w="3370" w:type="dxa"/>
          </w:tcPr>
          <w:p w14:paraId="268821BA" w14:textId="77777777" w:rsidR="001C433B" w:rsidRPr="00DF0424" w:rsidRDefault="001C433B" w:rsidP="0010713F">
            <w:pPr>
              <w:spacing w:before="60" w:after="60"/>
              <w:rPr>
                <w:rFonts w:asciiTheme="minorHAnsi" w:hAnsiTheme="minorHAnsi" w:cstheme="minorHAnsi"/>
                <w:i/>
                <w:color w:val="000000"/>
                <w:sz w:val="18"/>
                <w:szCs w:val="18"/>
              </w:rPr>
            </w:pPr>
            <w:r w:rsidRPr="00DF0424">
              <w:rPr>
                <w:rFonts w:asciiTheme="minorHAnsi" w:hAnsiTheme="minorHAnsi" w:cstheme="minorHAnsi"/>
                <w:i/>
                <w:color w:val="000000"/>
                <w:sz w:val="18"/>
                <w:szCs w:val="18"/>
              </w:rPr>
              <w:t>Investigations continue for exhibits marked as “Not in Store”.</w:t>
            </w:r>
          </w:p>
          <w:p w14:paraId="4F82A03B" w14:textId="77777777" w:rsidR="001C433B" w:rsidRPr="00DF0424" w:rsidRDefault="001C433B" w:rsidP="0010713F">
            <w:pPr>
              <w:spacing w:before="60" w:after="60"/>
              <w:rPr>
                <w:rFonts w:asciiTheme="minorHAnsi" w:hAnsiTheme="minorHAnsi" w:cstheme="minorHAnsi"/>
                <w:i/>
                <w:color w:val="000000"/>
                <w:sz w:val="18"/>
                <w:szCs w:val="18"/>
              </w:rPr>
            </w:pPr>
            <w:r w:rsidRPr="00DF0424">
              <w:rPr>
                <w:rFonts w:asciiTheme="minorHAnsi" w:hAnsiTheme="minorHAnsi" w:cstheme="minorHAnsi"/>
                <w:i/>
                <w:color w:val="000000"/>
                <w:sz w:val="18"/>
                <w:szCs w:val="18"/>
              </w:rPr>
              <w:t>Once Officers confirm they cannot locate exhibits and a missing items report has been completed, exhibits are marked as confirmed missing.</w:t>
            </w:r>
          </w:p>
          <w:p w14:paraId="6149E919" w14:textId="77777777" w:rsidR="001C433B" w:rsidRPr="00DF0424" w:rsidRDefault="001C433B" w:rsidP="0010713F">
            <w:pPr>
              <w:spacing w:before="60" w:after="60"/>
              <w:rPr>
                <w:rFonts w:asciiTheme="minorHAnsi" w:hAnsiTheme="minorHAnsi" w:cstheme="minorHAnsi"/>
                <w:i/>
                <w:color w:val="000000"/>
                <w:sz w:val="18"/>
                <w:szCs w:val="18"/>
              </w:rPr>
            </w:pPr>
            <w:r w:rsidRPr="00DF0424">
              <w:rPr>
                <w:rFonts w:asciiTheme="minorHAnsi" w:hAnsiTheme="minorHAnsi" w:cstheme="minorHAnsi"/>
                <w:i/>
                <w:color w:val="000000"/>
                <w:sz w:val="18"/>
                <w:szCs w:val="18"/>
              </w:rPr>
              <w:t>Evidential Property Unit (EPU) Senior Leadership Team (SLT) are meeting on 02.10.25 to review all confirmed missing.</w:t>
            </w:r>
          </w:p>
          <w:p w14:paraId="6B8052F9" w14:textId="77777777" w:rsidR="001C433B" w:rsidRPr="00DF0424" w:rsidRDefault="001C433B" w:rsidP="0010713F">
            <w:pPr>
              <w:rPr>
                <w:rFonts w:ascii="Calibri" w:hAnsi="Calibri" w:cs="Calibri"/>
                <w:i/>
                <w:color w:val="000000"/>
                <w:sz w:val="18"/>
                <w:szCs w:val="18"/>
              </w:rPr>
            </w:pPr>
            <w:r w:rsidRPr="00DF0424">
              <w:rPr>
                <w:rFonts w:asciiTheme="minorHAnsi" w:hAnsiTheme="minorHAnsi" w:cstheme="minorHAnsi"/>
                <w:i/>
                <w:color w:val="000000"/>
                <w:sz w:val="18"/>
                <w:szCs w:val="18"/>
              </w:rPr>
              <w:t>Initial meeting for the Missing items Scrutiny Panel has been set for 28.11.25</w:t>
            </w:r>
          </w:p>
        </w:tc>
        <w:tc>
          <w:tcPr>
            <w:tcW w:w="1126" w:type="dxa"/>
          </w:tcPr>
          <w:p w14:paraId="34FC1411" w14:textId="77777777" w:rsidR="001C433B" w:rsidRPr="00DF210D" w:rsidRDefault="001C433B" w:rsidP="0010713F">
            <w:pPr>
              <w:spacing w:before="60" w:after="60" w:line="271" w:lineRule="auto"/>
              <w:jc w:val="center"/>
              <w:rPr>
                <w:rFonts w:asciiTheme="minorHAnsi" w:hAnsiTheme="minorHAnsi" w:cstheme="minorHAnsi"/>
                <w:i/>
                <w:color w:val="000000"/>
                <w:sz w:val="18"/>
                <w:szCs w:val="18"/>
                <w:highlight w:val="black"/>
              </w:rPr>
            </w:pPr>
            <w:r w:rsidRPr="00DF210D">
              <w:rPr>
                <w:rFonts w:asciiTheme="minorHAnsi" w:hAnsiTheme="minorHAnsi" w:cstheme="minorHAnsi"/>
                <w:i/>
                <w:color w:val="000000"/>
                <w:sz w:val="18"/>
              </w:rPr>
              <w:t>31/12/</w:t>
            </w:r>
            <w:r>
              <w:rPr>
                <w:rFonts w:asciiTheme="minorHAnsi" w:hAnsiTheme="minorHAnsi" w:cstheme="minorHAnsi"/>
                <w:i/>
                <w:color w:val="000000"/>
                <w:sz w:val="18"/>
              </w:rPr>
              <w:t>20</w:t>
            </w:r>
            <w:r w:rsidRPr="00DF210D">
              <w:rPr>
                <w:rFonts w:asciiTheme="minorHAnsi" w:hAnsiTheme="minorHAnsi" w:cstheme="minorHAnsi"/>
                <w:i/>
                <w:color w:val="000000"/>
                <w:sz w:val="18"/>
              </w:rPr>
              <w:t xml:space="preserve">25 </w:t>
            </w:r>
          </w:p>
        </w:tc>
        <w:tc>
          <w:tcPr>
            <w:tcW w:w="1521" w:type="dxa"/>
          </w:tcPr>
          <w:p w14:paraId="459AA286" w14:textId="77777777" w:rsidR="001C433B" w:rsidRPr="00DF210D" w:rsidRDefault="001C433B" w:rsidP="0010713F">
            <w:pPr>
              <w:spacing w:before="60" w:after="60"/>
              <w:rPr>
                <w:rFonts w:asciiTheme="minorHAnsi" w:hAnsiTheme="minorHAnsi" w:cstheme="minorHAnsi"/>
                <w:i/>
                <w:color w:val="000000"/>
                <w:sz w:val="18"/>
              </w:rPr>
            </w:pPr>
            <w:r w:rsidRPr="00DF210D">
              <w:rPr>
                <w:rFonts w:asciiTheme="minorHAnsi" w:hAnsiTheme="minorHAnsi" w:cstheme="minorHAnsi"/>
                <w:i/>
                <w:color w:val="000000"/>
                <w:sz w:val="18"/>
              </w:rPr>
              <w:t>Ali Williams</w:t>
            </w:r>
          </w:p>
          <w:p w14:paraId="5859BA0E" w14:textId="77777777" w:rsidR="001C433B" w:rsidRPr="00DF210D" w:rsidRDefault="001C433B" w:rsidP="0010713F">
            <w:pPr>
              <w:spacing w:before="60" w:after="60" w:line="271" w:lineRule="auto"/>
              <w:rPr>
                <w:rFonts w:asciiTheme="minorHAnsi" w:hAnsiTheme="minorHAnsi" w:cstheme="minorHAnsi"/>
                <w:i/>
                <w:color w:val="000000"/>
                <w:sz w:val="18"/>
                <w:szCs w:val="18"/>
                <w:highlight w:val="black"/>
              </w:rPr>
            </w:pPr>
            <w:r w:rsidRPr="00DF210D">
              <w:rPr>
                <w:rFonts w:asciiTheme="minorHAnsi" w:hAnsiTheme="minorHAnsi" w:cstheme="minorHAnsi"/>
                <w:i/>
                <w:color w:val="000000"/>
                <w:sz w:val="18"/>
              </w:rPr>
              <w:t xml:space="preserve">EPU </w:t>
            </w:r>
            <w:proofErr w:type="gramStart"/>
            <w:r w:rsidRPr="00DF210D">
              <w:rPr>
                <w:rFonts w:asciiTheme="minorHAnsi" w:hAnsiTheme="minorHAnsi" w:cstheme="minorHAnsi"/>
                <w:i/>
                <w:color w:val="000000"/>
                <w:sz w:val="18"/>
              </w:rPr>
              <w:t>Lead</w:t>
            </w:r>
            <w:proofErr w:type="gramEnd"/>
          </w:p>
        </w:tc>
        <w:tc>
          <w:tcPr>
            <w:tcW w:w="4409" w:type="dxa"/>
            <w:tcBorders>
              <w:bottom w:val="single" w:sz="8" w:space="0" w:color="BFBFBF"/>
            </w:tcBorders>
          </w:tcPr>
          <w:p w14:paraId="0543A0F4" w14:textId="77777777" w:rsidR="001C433B" w:rsidRDefault="001C433B" w:rsidP="0010713F">
            <w:pPr>
              <w:spacing w:before="60" w:after="60" w:line="271" w:lineRule="auto"/>
              <w:rPr>
                <w:rFonts w:asciiTheme="minorHAnsi" w:hAnsiTheme="minorHAnsi" w:cstheme="minorHAnsi"/>
                <w:b/>
                <w:bCs/>
                <w:i/>
                <w:color w:val="000000"/>
                <w:sz w:val="18"/>
                <w:szCs w:val="18"/>
              </w:rPr>
            </w:pPr>
            <w:r>
              <w:rPr>
                <w:rFonts w:asciiTheme="minorHAnsi" w:hAnsiTheme="minorHAnsi" w:cstheme="minorHAnsi"/>
                <w:b/>
                <w:bCs/>
                <w:i/>
                <w:color w:val="000000"/>
                <w:sz w:val="18"/>
                <w:szCs w:val="18"/>
              </w:rPr>
              <w:t>February 2026 –</w:t>
            </w:r>
          </w:p>
          <w:p w14:paraId="0E825968" w14:textId="77777777" w:rsidR="001C433B" w:rsidRDefault="001C433B" w:rsidP="0010713F">
            <w:pPr>
              <w:spacing w:before="60" w:after="60" w:line="271" w:lineRule="auto"/>
              <w:rPr>
                <w:rFonts w:asciiTheme="minorHAnsi" w:hAnsiTheme="minorHAnsi" w:cstheme="minorHAnsi"/>
                <w:i/>
                <w:color w:val="000000"/>
                <w:sz w:val="18"/>
                <w:szCs w:val="18"/>
              </w:rPr>
            </w:pPr>
            <w:r w:rsidRPr="009B2637">
              <w:rPr>
                <w:rFonts w:asciiTheme="minorHAnsi" w:hAnsiTheme="minorHAnsi" w:cstheme="minorHAnsi"/>
                <w:i/>
                <w:color w:val="000000"/>
                <w:sz w:val="18"/>
                <w:szCs w:val="18"/>
              </w:rPr>
              <w:t xml:space="preserve">The EPU Lead </w:t>
            </w:r>
            <w:r>
              <w:rPr>
                <w:rFonts w:asciiTheme="minorHAnsi" w:hAnsiTheme="minorHAnsi" w:cstheme="minorHAnsi"/>
                <w:i/>
                <w:color w:val="000000"/>
                <w:sz w:val="18"/>
                <w:szCs w:val="18"/>
              </w:rPr>
              <w:t>confirmed that this is still work in progress but good progress is being achieved in the investigations.</w:t>
            </w:r>
          </w:p>
          <w:p w14:paraId="39AC9711" w14:textId="77777777" w:rsidR="001C433B" w:rsidRDefault="001C433B" w:rsidP="0010713F">
            <w:pPr>
              <w:spacing w:before="60" w:after="60" w:line="271" w:lineRule="auto"/>
              <w:rPr>
                <w:rFonts w:asciiTheme="minorHAnsi" w:hAnsiTheme="minorHAnsi" w:cstheme="minorHAnsi"/>
                <w:b/>
                <w:bCs/>
                <w:i/>
                <w:color w:val="000000"/>
                <w:sz w:val="18"/>
                <w:szCs w:val="18"/>
              </w:rPr>
            </w:pPr>
            <w:r>
              <w:rPr>
                <w:rFonts w:asciiTheme="minorHAnsi" w:hAnsiTheme="minorHAnsi" w:cstheme="minorHAnsi"/>
                <w:b/>
                <w:bCs/>
                <w:i/>
                <w:color w:val="000000"/>
                <w:sz w:val="18"/>
                <w:szCs w:val="18"/>
              </w:rPr>
              <w:t>June 2026</w:t>
            </w:r>
          </w:p>
          <w:p w14:paraId="2D2C2811" w14:textId="77777777" w:rsidR="001C433B" w:rsidRDefault="001C433B" w:rsidP="0010713F">
            <w:pPr>
              <w:spacing w:before="60" w:after="60" w:line="271" w:lineRule="auto"/>
              <w:rPr>
                <w:rFonts w:asciiTheme="minorHAnsi" w:hAnsiTheme="minorHAnsi" w:cstheme="minorHAnsi"/>
                <w:i/>
                <w:color w:val="000000"/>
                <w:sz w:val="18"/>
                <w:szCs w:val="18"/>
              </w:rPr>
            </w:pPr>
            <w:r>
              <w:rPr>
                <w:rFonts w:asciiTheme="minorHAnsi" w:hAnsiTheme="minorHAnsi" w:cstheme="minorHAnsi"/>
                <w:i/>
                <w:color w:val="000000"/>
                <w:sz w:val="18"/>
                <w:szCs w:val="18"/>
              </w:rPr>
              <w:t>Th</w:t>
            </w:r>
            <w:r w:rsidRPr="00615616">
              <w:rPr>
                <w:rFonts w:asciiTheme="minorHAnsi" w:hAnsiTheme="minorHAnsi" w:cstheme="minorHAnsi"/>
                <w:i/>
                <w:color w:val="000000"/>
                <w:sz w:val="18"/>
                <w:szCs w:val="18"/>
              </w:rPr>
              <w:t xml:space="preserve">e EPU Lead confirmed that there </w:t>
            </w:r>
            <w:r>
              <w:rPr>
                <w:rFonts w:asciiTheme="minorHAnsi" w:hAnsiTheme="minorHAnsi" w:cstheme="minorHAnsi"/>
                <w:i/>
                <w:color w:val="000000"/>
                <w:sz w:val="18"/>
                <w:szCs w:val="18"/>
              </w:rPr>
              <w:t>are</w:t>
            </w:r>
            <w:r w:rsidRPr="00615616">
              <w:rPr>
                <w:rFonts w:asciiTheme="minorHAnsi" w:hAnsiTheme="minorHAnsi" w:cstheme="minorHAnsi"/>
                <w:i/>
                <w:color w:val="000000"/>
                <w:sz w:val="18"/>
                <w:szCs w:val="18"/>
              </w:rPr>
              <w:t xml:space="preserve"> only </w:t>
            </w:r>
            <w:r>
              <w:rPr>
                <w:rFonts w:asciiTheme="minorHAnsi" w:hAnsiTheme="minorHAnsi" w:cstheme="minorHAnsi"/>
                <w:i/>
                <w:color w:val="000000"/>
                <w:sz w:val="18"/>
                <w:szCs w:val="18"/>
              </w:rPr>
              <w:t>two</w:t>
            </w:r>
            <w:r w:rsidRPr="00615616">
              <w:rPr>
                <w:rFonts w:asciiTheme="minorHAnsi" w:hAnsiTheme="minorHAnsi" w:cstheme="minorHAnsi"/>
                <w:i/>
                <w:color w:val="000000"/>
                <w:sz w:val="18"/>
                <w:szCs w:val="18"/>
              </w:rPr>
              <w:t xml:space="preserve"> which </w:t>
            </w:r>
            <w:r>
              <w:rPr>
                <w:rFonts w:asciiTheme="minorHAnsi" w:hAnsiTheme="minorHAnsi" w:cstheme="minorHAnsi"/>
                <w:i/>
                <w:color w:val="000000"/>
                <w:sz w:val="18"/>
                <w:szCs w:val="18"/>
              </w:rPr>
              <w:t>are</w:t>
            </w:r>
            <w:r w:rsidRPr="00615616">
              <w:rPr>
                <w:rFonts w:asciiTheme="minorHAnsi" w:hAnsiTheme="minorHAnsi" w:cstheme="minorHAnsi"/>
                <w:i/>
                <w:color w:val="000000"/>
                <w:sz w:val="18"/>
                <w:szCs w:val="18"/>
              </w:rPr>
              <w:t xml:space="preserve"> still under investigation</w:t>
            </w:r>
            <w:r>
              <w:rPr>
                <w:rFonts w:asciiTheme="minorHAnsi" w:hAnsiTheme="minorHAnsi" w:cstheme="minorHAnsi"/>
                <w:i/>
                <w:color w:val="000000"/>
                <w:sz w:val="18"/>
                <w:szCs w:val="18"/>
              </w:rPr>
              <w:t>.</w:t>
            </w:r>
          </w:p>
          <w:p w14:paraId="1209D332" w14:textId="77777777" w:rsidR="001C433B" w:rsidRDefault="001C433B" w:rsidP="0010713F">
            <w:pPr>
              <w:spacing w:before="60" w:after="60" w:line="271" w:lineRule="auto"/>
              <w:rPr>
                <w:rFonts w:asciiTheme="minorHAnsi" w:hAnsiTheme="minorHAnsi" w:cstheme="minorHAnsi"/>
                <w:b/>
                <w:bCs/>
                <w:i/>
                <w:color w:val="000000"/>
                <w:sz w:val="18"/>
                <w:szCs w:val="18"/>
              </w:rPr>
            </w:pPr>
            <w:r w:rsidRPr="000837E7">
              <w:rPr>
                <w:rFonts w:asciiTheme="minorHAnsi" w:hAnsiTheme="minorHAnsi" w:cstheme="minorHAnsi"/>
                <w:b/>
                <w:bCs/>
                <w:i/>
                <w:color w:val="000000"/>
                <w:sz w:val="18"/>
                <w:szCs w:val="18"/>
              </w:rPr>
              <w:t>September 2026</w:t>
            </w:r>
          </w:p>
          <w:p w14:paraId="1DF7CF6D" w14:textId="77777777" w:rsidR="001C433B" w:rsidRPr="005C0CF0" w:rsidRDefault="001C433B" w:rsidP="0010713F">
            <w:pPr>
              <w:spacing w:before="60" w:after="60" w:line="271" w:lineRule="auto"/>
              <w:rPr>
                <w:rFonts w:asciiTheme="minorHAnsi" w:hAnsiTheme="minorHAnsi" w:cstheme="minorHAnsi"/>
                <w:b/>
                <w:bCs/>
                <w:i/>
                <w:color w:val="000000"/>
                <w:sz w:val="18"/>
                <w:szCs w:val="18"/>
              </w:rPr>
            </w:pPr>
            <w:r w:rsidRPr="000837E7">
              <w:rPr>
                <w:rFonts w:asciiTheme="minorHAnsi" w:hAnsiTheme="minorHAnsi" w:cstheme="minorHAnsi"/>
                <w:i/>
                <w:color w:val="000000"/>
                <w:sz w:val="18"/>
                <w:szCs w:val="18"/>
              </w:rPr>
              <w:t>This has no</w:t>
            </w:r>
            <w:r>
              <w:rPr>
                <w:rFonts w:asciiTheme="minorHAnsi" w:hAnsiTheme="minorHAnsi" w:cstheme="minorHAnsi"/>
                <w:i/>
                <w:color w:val="000000"/>
                <w:sz w:val="18"/>
                <w:szCs w:val="18"/>
              </w:rPr>
              <w:t>w been implemented and signed off as part of the interim follow up in September 2026</w:t>
            </w:r>
          </w:p>
        </w:tc>
        <w:tc>
          <w:tcPr>
            <w:tcW w:w="1134" w:type="dxa"/>
            <w:tcBorders>
              <w:bottom w:val="single" w:sz="8" w:space="0" w:color="BFBFBF"/>
            </w:tcBorders>
            <w:shd w:val="clear" w:color="auto" w:fill="DC0D15"/>
          </w:tcPr>
          <w:p w14:paraId="46DD4D28" w14:textId="77777777" w:rsidR="001C433B" w:rsidRPr="00373BE3" w:rsidRDefault="001C433B" w:rsidP="0010713F">
            <w:pPr>
              <w:spacing w:before="60" w:after="60" w:line="271" w:lineRule="auto"/>
              <w:rPr>
                <w:rFonts w:asciiTheme="minorHAnsi" w:hAnsiTheme="minorHAnsi" w:cstheme="minorHAnsi"/>
                <w:i/>
                <w:color w:val="000000"/>
                <w:sz w:val="18"/>
                <w:szCs w:val="18"/>
                <w:highlight w:val="black"/>
              </w:rPr>
            </w:pPr>
          </w:p>
        </w:tc>
      </w:tr>
    </w:tbl>
    <w:p w14:paraId="2CB563D6" w14:textId="77777777" w:rsidR="008E7C41" w:rsidRDefault="008E7C41" w:rsidP="00D069B9">
      <w:pPr>
        <w:pStyle w:val="TIAAHeadingOne"/>
        <w:spacing w:before="144" w:after="144"/>
        <w:jc w:val="left"/>
        <w:rPr>
          <w:rFonts w:cs="Calibri"/>
          <w:b w:val="0"/>
          <w:color w:val="163D82"/>
          <w:sz w:val="36"/>
          <w:szCs w:val="36"/>
          <w:lang w:eastAsia="en-GB"/>
        </w:rPr>
      </w:pPr>
    </w:p>
    <w:p w14:paraId="75D44E5B" w14:textId="77777777" w:rsidR="008E7C41" w:rsidRDefault="008E7C41" w:rsidP="00D069B9">
      <w:pPr>
        <w:pStyle w:val="TIAAHeadingOne"/>
        <w:spacing w:before="144" w:after="144"/>
        <w:jc w:val="left"/>
        <w:rPr>
          <w:rFonts w:cs="Calibri"/>
          <w:b w:val="0"/>
          <w:color w:val="163D82"/>
          <w:sz w:val="36"/>
          <w:szCs w:val="36"/>
          <w:lang w:eastAsia="en-GB"/>
        </w:rPr>
        <w:sectPr w:rsidR="008E7C41" w:rsidSect="008E7C41">
          <w:headerReference w:type="default" r:id="rId22"/>
          <w:footerReference w:type="default" r:id="rId23"/>
          <w:pgSz w:w="16834" w:h="11909" w:orient="landscape" w:code="9"/>
          <w:pgMar w:top="851" w:right="851" w:bottom="851" w:left="851" w:header="283" w:footer="283" w:gutter="0"/>
          <w:cols w:space="708"/>
          <w:docGrid w:linePitch="360"/>
        </w:sectPr>
      </w:pPr>
    </w:p>
    <w:p w14:paraId="393DCF57" w14:textId="599FA280" w:rsidR="001C433B" w:rsidRDefault="001C433B" w:rsidP="001C433B">
      <w:pPr>
        <w:pStyle w:val="TIAAHeadingOne"/>
        <w:pBdr>
          <w:bottom w:val="single" w:sz="24" w:space="1" w:color="50B9A9"/>
        </w:pBdr>
        <w:spacing w:before="144" w:after="144"/>
        <w:jc w:val="left"/>
        <w:rPr>
          <w:rFonts w:cs="Calibri"/>
          <w:b w:val="0"/>
          <w:color w:val="163D82"/>
          <w:sz w:val="36"/>
          <w:szCs w:val="36"/>
          <w:lang w:eastAsia="en-GB"/>
        </w:rPr>
      </w:pPr>
      <w:r w:rsidRPr="4C8BA31E">
        <w:rPr>
          <w:rFonts w:cs="Calibri"/>
          <w:b w:val="0"/>
          <w:color w:val="163D82"/>
          <w:sz w:val="36"/>
          <w:szCs w:val="36"/>
          <w:lang w:eastAsia="en-GB"/>
        </w:rPr>
        <w:lastRenderedPageBreak/>
        <w:t xml:space="preserve">Appendix </w:t>
      </w:r>
      <w:r>
        <w:rPr>
          <w:rFonts w:cs="Calibri"/>
          <w:b w:val="0"/>
          <w:color w:val="163D82"/>
          <w:sz w:val="36"/>
          <w:szCs w:val="36"/>
          <w:lang w:eastAsia="en-GB"/>
        </w:rPr>
        <w:t>C</w:t>
      </w:r>
      <w:r w:rsidRPr="4C8BA31E">
        <w:rPr>
          <w:rFonts w:cs="Calibri"/>
          <w:b w:val="0"/>
          <w:color w:val="163D82"/>
          <w:sz w:val="36"/>
          <w:szCs w:val="36"/>
          <w:lang w:eastAsia="en-GB"/>
        </w:rPr>
        <w:t>: Briefings on Developments in Governance, Risk and Control</w:t>
      </w:r>
    </w:p>
    <w:p w14:paraId="50977951" w14:textId="77777777" w:rsidR="001C433B" w:rsidRPr="001C433B" w:rsidRDefault="001C433B" w:rsidP="00D069B9">
      <w:pPr>
        <w:pStyle w:val="TIAAHeadingOne"/>
        <w:spacing w:before="144" w:after="144"/>
        <w:jc w:val="left"/>
        <w:rPr>
          <w:rFonts w:cs="Calibri"/>
          <w:b w:val="0"/>
          <w:color w:val="163D82"/>
          <w:sz w:val="6"/>
          <w:szCs w:val="6"/>
          <w:lang w:eastAsia="en-GB"/>
        </w:rPr>
      </w:pPr>
    </w:p>
    <w:p w14:paraId="0A6B0AEE" w14:textId="77777777" w:rsidR="001C433B" w:rsidRPr="00082039" w:rsidRDefault="001C433B" w:rsidP="001C433B">
      <w:pPr>
        <w:spacing w:before="120" w:after="120" w:line="271" w:lineRule="auto"/>
        <w:rPr>
          <w:rFonts w:asciiTheme="minorHAnsi" w:hAnsiTheme="minorHAnsi" w:cstheme="minorBidi"/>
          <w:sz w:val="20"/>
        </w:rPr>
      </w:pPr>
      <w:r w:rsidRPr="4C8BA31E">
        <w:rPr>
          <w:rFonts w:asciiTheme="minorHAnsi" w:hAnsiTheme="minorHAnsi" w:cstheme="minorBidi"/>
          <w:sz w:val="20"/>
        </w:rPr>
        <w:t xml:space="preserve">TIAA produce regular briefing notes to summarise new developments in Governance, Risk, Control, Counter Fraud and Security Management which may have an impact on our clients.  These are shared with clients and made available through our Online Client Portal. A summary list of those briefings issued in the last three months which may be of relevance to </w:t>
      </w:r>
      <w:r>
        <w:rPr>
          <w:rFonts w:asciiTheme="minorHAnsi" w:hAnsiTheme="minorHAnsi" w:cstheme="minorBidi"/>
          <w:sz w:val="20"/>
        </w:rPr>
        <w:t>Gwent Police</w:t>
      </w:r>
      <w:r w:rsidRPr="4C8BA31E">
        <w:rPr>
          <w:rFonts w:asciiTheme="minorHAnsi" w:hAnsiTheme="minorHAnsi" w:cstheme="minorBidi"/>
          <w:sz w:val="20"/>
        </w:rPr>
        <w:t xml:space="preserve"> is given below:</w:t>
      </w:r>
    </w:p>
    <w:p w14:paraId="478F010F" w14:textId="77777777" w:rsidR="001C433B" w:rsidRDefault="001C433B" w:rsidP="001C433B">
      <w:pPr>
        <w:spacing w:before="120" w:after="120" w:line="271" w:lineRule="auto"/>
        <w:rPr>
          <w:rFonts w:asciiTheme="minorHAnsi" w:hAnsiTheme="minorHAnsi" w:cstheme="minorBidi"/>
          <w:b/>
          <w:bCs/>
          <w:color w:val="163D82"/>
          <w:sz w:val="20"/>
        </w:rPr>
      </w:pPr>
      <w:r w:rsidRPr="0974A560">
        <w:rPr>
          <w:rFonts w:asciiTheme="minorHAnsi" w:hAnsiTheme="minorHAnsi" w:cstheme="minorBidi"/>
          <w:b/>
          <w:bCs/>
          <w:color w:val="163D82"/>
          <w:sz w:val="20"/>
        </w:rPr>
        <w:t>Summary of recent Client Briefings and Alerts</w:t>
      </w:r>
    </w:p>
    <w:p w14:paraId="342BABD0" w14:textId="77777777" w:rsidR="001C433B" w:rsidRPr="001C433B" w:rsidRDefault="001C433B" w:rsidP="00D069B9">
      <w:pPr>
        <w:pStyle w:val="TIAAHeadingOne"/>
        <w:spacing w:before="144" w:after="144"/>
        <w:jc w:val="left"/>
        <w:rPr>
          <w:rFonts w:cs="Calibri"/>
          <w:b w:val="0"/>
          <w:color w:val="163D82"/>
          <w:sz w:val="4"/>
          <w:szCs w:val="4"/>
          <w:lang w:eastAsia="en-GB"/>
        </w:rPr>
      </w:pPr>
    </w:p>
    <w:tbl>
      <w:tblPr>
        <w:tblW w:w="4920" w:type="pct"/>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A0" w:firstRow="1" w:lastRow="0" w:firstColumn="1" w:lastColumn="0" w:noHBand="1" w:noVBand="1"/>
      </w:tblPr>
      <w:tblGrid>
        <w:gridCol w:w="1211"/>
        <w:gridCol w:w="1330"/>
        <w:gridCol w:w="1277"/>
        <w:gridCol w:w="1981"/>
        <w:gridCol w:w="2409"/>
        <w:gridCol w:w="6662"/>
      </w:tblGrid>
      <w:tr w:rsidR="001C433B" w:rsidRPr="005464C3" w14:paraId="4C7646B7" w14:textId="77777777" w:rsidTr="001C433B">
        <w:trPr>
          <w:cantSplit/>
          <w:trHeight w:val="498"/>
          <w:tblHeader/>
        </w:trPr>
        <w:tc>
          <w:tcPr>
            <w:tcW w:w="407" w:type="pct"/>
            <w:shd w:val="clear" w:color="auto" w:fill="163D82"/>
            <w:vAlign w:val="center"/>
          </w:tcPr>
          <w:p w14:paraId="27943DD0" w14:textId="5B504116" w:rsidR="001C433B" w:rsidRDefault="001C433B" w:rsidP="001C433B">
            <w:pPr>
              <w:spacing w:before="60" w:after="60" w:line="271" w:lineRule="auto"/>
              <w:jc w:val="center"/>
              <w:rPr>
                <w:rFonts w:ascii="Calibri" w:hAnsi="Calibri" w:cs="Calibri"/>
                <w:sz w:val="18"/>
                <w:szCs w:val="18"/>
              </w:rPr>
            </w:pPr>
            <w:r w:rsidRPr="005464C3">
              <w:rPr>
                <w:rFonts w:asciiTheme="minorHAnsi" w:hAnsiTheme="minorHAnsi" w:cstheme="minorHAnsi"/>
                <w:b/>
                <w:color w:val="FFFFFF" w:themeColor="background1"/>
                <w:sz w:val="18"/>
                <w:szCs w:val="18"/>
              </w:rPr>
              <w:t>Date Issued</w:t>
            </w:r>
          </w:p>
        </w:tc>
        <w:tc>
          <w:tcPr>
            <w:tcW w:w="447" w:type="pct"/>
            <w:shd w:val="clear" w:color="auto" w:fill="163D82"/>
            <w:vAlign w:val="center"/>
          </w:tcPr>
          <w:p w14:paraId="7D141B37" w14:textId="30DDCE26" w:rsidR="001C433B" w:rsidRDefault="001C433B" w:rsidP="001C433B">
            <w:pPr>
              <w:spacing w:before="60" w:after="60" w:line="271" w:lineRule="auto"/>
              <w:jc w:val="center"/>
              <w:rPr>
                <w:rFonts w:ascii="Calibri" w:hAnsi="Calibri" w:cs="Calibri"/>
                <w:sz w:val="18"/>
                <w:szCs w:val="18"/>
              </w:rPr>
            </w:pPr>
            <w:r w:rsidRPr="005464C3">
              <w:rPr>
                <w:rFonts w:asciiTheme="minorHAnsi" w:hAnsiTheme="minorHAnsi" w:cstheme="minorHAnsi"/>
                <w:b/>
                <w:color w:val="FFFFFF" w:themeColor="background1"/>
                <w:sz w:val="18"/>
                <w:szCs w:val="18"/>
              </w:rPr>
              <w:t>Sector</w:t>
            </w:r>
          </w:p>
        </w:tc>
        <w:tc>
          <w:tcPr>
            <w:tcW w:w="429" w:type="pct"/>
            <w:shd w:val="clear" w:color="auto" w:fill="163D82"/>
            <w:vAlign w:val="center"/>
          </w:tcPr>
          <w:p w14:paraId="07651833" w14:textId="483A4386" w:rsidR="001C433B" w:rsidRDefault="001C433B" w:rsidP="001C433B">
            <w:pPr>
              <w:spacing w:before="60" w:after="60" w:line="271" w:lineRule="auto"/>
              <w:jc w:val="center"/>
              <w:rPr>
                <w:rFonts w:ascii="Calibri" w:hAnsi="Calibri" w:cs="Calibri"/>
                <w:sz w:val="18"/>
                <w:szCs w:val="18"/>
              </w:rPr>
            </w:pPr>
            <w:r w:rsidRPr="005464C3">
              <w:rPr>
                <w:rFonts w:asciiTheme="minorHAnsi" w:hAnsiTheme="minorHAnsi" w:cstheme="minorHAnsi"/>
                <w:b/>
                <w:color w:val="FFFFFF" w:themeColor="background1"/>
                <w:sz w:val="18"/>
                <w:szCs w:val="18"/>
              </w:rPr>
              <w:t>Briefing Type</w:t>
            </w:r>
          </w:p>
        </w:tc>
        <w:tc>
          <w:tcPr>
            <w:tcW w:w="666" w:type="pct"/>
            <w:shd w:val="clear" w:color="auto" w:fill="163D82"/>
            <w:vAlign w:val="center"/>
          </w:tcPr>
          <w:p w14:paraId="4C5E22E2" w14:textId="7E3D3C99" w:rsidR="001C433B" w:rsidRDefault="001C433B" w:rsidP="001C433B">
            <w:pPr>
              <w:spacing w:before="60" w:after="60" w:line="271" w:lineRule="auto"/>
              <w:jc w:val="center"/>
              <w:rPr>
                <w:rFonts w:ascii="Calibri" w:hAnsi="Calibri" w:cs="Calibri"/>
                <w:sz w:val="18"/>
                <w:szCs w:val="18"/>
              </w:rPr>
            </w:pPr>
            <w:r w:rsidRPr="005464C3">
              <w:rPr>
                <w:rFonts w:asciiTheme="minorHAnsi" w:hAnsiTheme="minorHAnsi" w:cstheme="minorHAnsi"/>
                <w:b/>
                <w:color w:val="FFFFFF" w:themeColor="background1"/>
                <w:sz w:val="18"/>
                <w:szCs w:val="18"/>
              </w:rPr>
              <w:t>Subject</w:t>
            </w:r>
          </w:p>
        </w:tc>
        <w:tc>
          <w:tcPr>
            <w:tcW w:w="810" w:type="pct"/>
            <w:shd w:val="clear" w:color="auto" w:fill="163D82"/>
            <w:vAlign w:val="center"/>
          </w:tcPr>
          <w:p w14:paraId="526D2772" w14:textId="0E4AC062" w:rsidR="001C433B" w:rsidRDefault="001C433B" w:rsidP="001C433B">
            <w:pPr>
              <w:jc w:val="center"/>
              <w:rPr>
                <w:rFonts w:ascii="Calibri" w:hAnsi="Calibri" w:cs="Calibri"/>
                <w:sz w:val="18"/>
                <w:szCs w:val="18"/>
              </w:rPr>
            </w:pPr>
            <w:r w:rsidRPr="005464C3">
              <w:rPr>
                <w:rFonts w:asciiTheme="minorHAnsi" w:hAnsiTheme="minorHAnsi" w:cstheme="minorHAnsi"/>
                <w:b/>
                <w:color w:val="FFFFFF" w:themeColor="background1"/>
                <w:sz w:val="18"/>
                <w:szCs w:val="18"/>
              </w:rPr>
              <w:t>Website Link</w:t>
            </w:r>
          </w:p>
        </w:tc>
        <w:tc>
          <w:tcPr>
            <w:tcW w:w="2240" w:type="pct"/>
            <w:shd w:val="clear" w:color="auto" w:fill="163D82"/>
            <w:vAlign w:val="center"/>
          </w:tcPr>
          <w:p w14:paraId="408F171B" w14:textId="64C31A62" w:rsidR="001C433B" w:rsidRDefault="001C433B" w:rsidP="001C433B">
            <w:pPr>
              <w:jc w:val="center"/>
              <w:rPr>
                <w:rFonts w:asciiTheme="minorHAnsi" w:hAnsiTheme="minorHAnsi" w:cstheme="minorHAnsi"/>
                <w:sz w:val="18"/>
                <w:szCs w:val="18"/>
              </w:rPr>
            </w:pPr>
            <w:r w:rsidRPr="005464C3">
              <w:rPr>
                <w:rFonts w:asciiTheme="minorHAnsi" w:hAnsiTheme="minorHAnsi" w:cstheme="minorHAnsi"/>
                <w:b/>
                <w:color w:val="FFFFFF" w:themeColor="background1"/>
                <w:sz w:val="18"/>
                <w:szCs w:val="18"/>
              </w:rPr>
              <w:t>TIAA Comments</w:t>
            </w:r>
          </w:p>
        </w:tc>
      </w:tr>
      <w:tr w:rsidR="001C433B" w:rsidRPr="005464C3" w14:paraId="7385E8AB" w14:textId="77777777" w:rsidTr="001C433B">
        <w:trPr>
          <w:cantSplit/>
          <w:trHeight w:val="1191"/>
        </w:trPr>
        <w:tc>
          <w:tcPr>
            <w:tcW w:w="407" w:type="pct"/>
            <w:vAlign w:val="center"/>
          </w:tcPr>
          <w:p w14:paraId="2C5E4B48" w14:textId="77777777" w:rsidR="001C433B" w:rsidRPr="005464C3" w:rsidRDefault="001C433B" w:rsidP="001C433B">
            <w:pPr>
              <w:spacing w:before="60" w:after="60" w:line="271" w:lineRule="auto"/>
              <w:jc w:val="center"/>
              <w:rPr>
                <w:rFonts w:asciiTheme="minorHAnsi" w:eastAsia="Calibri" w:hAnsiTheme="minorHAnsi" w:cstheme="minorHAnsi"/>
                <w:sz w:val="18"/>
                <w:szCs w:val="18"/>
              </w:rPr>
            </w:pPr>
            <w:r>
              <w:rPr>
                <w:rFonts w:ascii="Calibri" w:hAnsi="Calibri" w:cs="Calibri"/>
                <w:sz w:val="18"/>
                <w:szCs w:val="18"/>
              </w:rPr>
              <w:t>26 August 2026</w:t>
            </w:r>
          </w:p>
        </w:tc>
        <w:tc>
          <w:tcPr>
            <w:tcW w:w="447" w:type="pct"/>
            <w:vAlign w:val="center"/>
          </w:tcPr>
          <w:p w14:paraId="387ACA7F" w14:textId="77777777" w:rsidR="001C433B" w:rsidRPr="005464C3" w:rsidRDefault="001C433B" w:rsidP="001C433B">
            <w:pPr>
              <w:spacing w:before="60" w:after="60" w:line="271" w:lineRule="auto"/>
              <w:jc w:val="center"/>
              <w:rPr>
                <w:rFonts w:asciiTheme="minorHAnsi" w:eastAsia="Calibri" w:hAnsiTheme="minorHAnsi" w:cstheme="minorHAnsi"/>
                <w:sz w:val="18"/>
                <w:szCs w:val="18"/>
              </w:rPr>
            </w:pPr>
            <w:r>
              <w:rPr>
                <w:rFonts w:ascii="Calibri" w:hAnsi="Calibri" w:cs="Calibri"/>
                <w:sz w:val="18"/>
                <w:szCs w:val="18"/>
              </w:rPr>
              <w:t>Emergency Services</w:t>
            </w:r>
          </w:p>
        </w:tc>
        <w:tc>
          <w:tcPr>
            <w:tcW w:w="429" w:type="pct"/>
            <w:vAlign w:val="center"/>
          </w:tcPr>
          <w:p w14:paraId="59B72C99" w14:textId="77777777" w:rsidR="001C433B" w:rsidRPr="005464C3" w:rsidRDefault="001C433B" w:rsidP="001C433B">
            <w:pPr>
              <w:spacing w:before="60" w:after="60" w:line="271" w:lineRule="auto"/>
              <w:jc w:val="center"/>
              <w:rPr>
                <w:rFonts w:asciiTheme="minorHAnsi" w:hAnsiTheme="minorHAnsi" w:cstheme="minorHAnsi"/>
                <w:sz w:val="18"/>
                <w:szCs w:val="18"/>
              </w:rPr>
            </w:pPr>
            <w:r>
              <w:rPr>
                <w:rFonts w:ascii="Calibri" w:hAnsi="Calibri" w:cs="Calibri"/>
                <w:sz w:val="18"/>
                <w:szCs w:val="18"/>
              </w:rPr>
              <w:t>Client Briefing Note</w:t>
            </w:r>
          </w:p>
        </w:tc>
        <w:tc>
          <w:tcPr>
            <w:tcW w:w="666" w:type="pct"/>
            <w:vAlign w:val="center"/>
          </w:tcPr>
          <w:p w14:paraId="6336C7D7" w14:textId="77777777" w:rsidR="001C433B" w:rsidRPr="005464C3" w:rsidRDefault="001C433B" w:rsidP="001C433B">
            <w:pPr>
              <w:spacing w:before="60" w:after="60" w:line="271" w:lineRule="auto"/>
              <w:jc w:val="center"/>
              <w:rPr>
                <w:rFonts w:asciiTheme="minorHAnsi" w:hAnsiTheme="minorHAnsi" w:cstheme="minorHAnsi"/>
                <w:sz w:val="18"/>
                <w:szCs w:val="18"/>
              </w:rPr>
            </w:pPr>
            <w:r>
              <w:rPr>
                <w:rFonts w:ascii="Calibri" w:hAnsi="Calibri" w:cs="Calibri"/>
                <w:sz w:val="18"/>
                <w:szCs w:val="18"/>
              </w:rPr>
              <w:t>New Police Performance Ratings</w:t>
            </w:r>
          </w:p>
        </w:tc>
        <w:tc>
          <w:tcPr>
            <w:tcW w:w="810" w:type="pct"/>
            <w:vAlign w:val="center"/>
          </w:tcPr>
          <w:p w14:paraId="479D7047" w14:textId="77777777" w:rsidR="001C433B" w:rsidRPr="005464C3" w:rsidRDefault="001C433B" w:rsidP="001C433B">
            <w:pPr>
              <w:jc w:val="center"/>
              <w:rPr>
                <w:rFonts w:asciiTheme="minorHAnsi" w:eastAsia="Calibri" w:hAnsiTheme="minorHAnsi" w:cstheme="minorHAnsi"/>
                <w:sz w:val="18"/>
                <w:szCs w:val="18"/>
              </w:rPr>
            </w:pPr>
            <w:r>
              <w:rPr>
                <w:rFonts w:ascii="Calibri" w:hAnsi="Calibri" w:cs="Calibri"/>
                <w:sz w:val="18"/>
                <w:szCs w:val="18"/>
              </w:rPr>
              <w:t>Issued to client forces and awaiting upload.</w:t>
            </w:r>
          </w:p>
        </w:tc>
        <w:tc>
          <w:tcPr>
            <w:tcW w:w="2240" w:type="pct"/>
          </w:tcPr>
          <w:p w14:paraId="7DE92037" w14:textId="77777777" w:rsidR="001C433B" w:rsidRPr="005464C3" w:rsidRDefault="001C433B" w:rsidP="008E0B3C">
            <w:pPr>
              <w:rPr>
                <w:rFonts w:asciiTheme="minorHAnsi" w:eastAsia="Calibri" w:hAnsiTheme="minorHAnsi" w:cstheme="minorHAnsi"/>
                <w:sz w:val="18"/>
                <w:szCs w:val="18"/>
              </w:rPr>
            </w:pPr>
            <w:r>
              <w:rPr>
                <w:rFonts w:asciiTheme="minorHAnsi" w:hAnsiTheme="minorHAnsi" w:cstheme="minorHAnsi"/>
                <w:sz w:val="18"/>
                <w:szCs w:val="18"/>
              </w:rPr>
              <w:t>The introduction of the new Policing Performance System (PPS) marks a significant change in how police force performance is assessed, monitored and supported across England and Wales. Introduced in April 2026, the system replaces the previous Scan and Engage arrangements and aims to identify performance concerns earlier, enabling targeted support and intervention before issues become entrenched.</w:t>
            </w:r>
          </w:p>
        </w:tc>
      </w:tr>
      <w:tr w:rsidR="001C433B" w:rsidRPr="005464C3" w14:paraId="18AA53EE" w14:textId="77777777" w:rsidTr="001C433B">
        <w:trPr>
          <w:cantSplit/>
          <w:trHeight w:val="1191"/>
        </w:trPr>
        <w:tc>
          <w:tcPr>
            <w:tcW w:w="407" w:type="pct"/>
            <w:vAlign w:val="center"/>
          </w:tcPr>
          <w:p w14:paraId="733BF0B6"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24 August 2026</w:t>
            </w:r>
          </w:p>
        </w:tc>
        <w:tc>
          <w:tcPr>
            <w:tcW w:w="447" w:type="pct"/>
            <w:vAlign w:val="center"/>
          </w:tcPr>
          <w:p w14:paraId="5D8E7B6A"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E2170BE"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23EEFDB2"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 xml:space="preserve">Learned Society of Wales and </w:t>
            </w:r>
            <w:proofErr w:type="spellStart"/>
            <w:r w:rsidRPr="005464C3">
              <w:rPr>
                <w:rFonts w:asciiTheme="minorHAnsi" w:hAnsiTheme="minorHAnsi" w:cstheme="minorHAnsi"/>
                <w:sz w:val="18"/>
                <w:szCs w:val="18"/>
              </w:rPr>
              <w:t>Medr</w:t>
            </w:r>
            <w:proofErr w:type="spellEnd"/>
            <w:r w:rsidRPr="005464C3">
              <w:rPr>
                <w:rFonts w:asciiTheme="minorHAnsi" w:hAnsiTheme="minorHAnsi" w:cstheme="minorHAnsi"/>
                <w:sz w:val="18"/>
                <w:szCs w:val="18"/>
              </w:rPr>
              <w:t xml:space="preserve"> Renew Strategic Partnership to Strengthen Research and Innovation</w:t>
            </w:r>
          </w:p>
        </w:tc>
        <w:tc>
          <w:tcPr>
            <w:tcW w:w="810" w:type="pct"/>
            <w:vAlign w:val="center"/>
          </w:tcPr>
          <w:p w14:paraId="228752E2" w14:textId="77777777" w:rsidR="001C433B" w:rsidRPr="005464C3" w:rsidRDefault="001C433B" w:rsidP="001C433B">
            <w:pPr>
              <w:jc w:val="center"/>
              <w:rPr>
                <w:rFonts w:asciiTheme="minorHAnsi" w:hAnsiTheme="minorHAnsi" w:cstheme="minorHAnsi"/>
                <w:sz w:val="18"/>
                <w:szCs w:val="18"/>
              </w:rPr>
            </w:pPr>
            <w:hyperlink r:id="rId24" w:history="1">
              <w:r w:rsidRPr="005464C3">
                <w:rPr>
                  <w:rFonts w:asciiTheme="minorHAnsi" w:hAnsiTheme="minorHAnsi" w:cstheme="minorHAnsi"/>
                  <w:color w:val="0000FF"/>
                  <w:sz w:val="18"/>
                  <w:szCs w:val="18"/>
                  <w:u w:val="single"/>
                </w:rPr>
                <w:t xml:space="preserve">Learned Society of Wales and </w:t>
              </w:r>
              <w:proofErr w:type="spellStart"/>
              <w:r w:rsidRPr="005464C3">
                <w:rPr>
                  <w:rFonts w:asciiTheme="minorHAnsi" w:hAnsiTheme="minorHAnsi" w:cstheme="minorHAnsi"/>
                  <w:color w:val="0000FF"/>
                  <w:sz w:val="18"/>
                  <w:szCs w:val="18"/>
                  <w:u w:val="single"/>
                </w:rPr>
                <w:t>Medr</w:t>
              </w:r>
              <w:proofErr w:type="spellEnd"/>
              <w:r w:rsidRPr="005464C3">
                <w:rPr>
                  <w:rFonts w:asciiTheme="minorHAnsi" w:hAnsiTheme="minorHAnsi" w:cstheme="minorHAnsi"/>
                  <w:color w:val="0000FF"/>
                  <w:sz w:val="18"/>
                  <w:szCs w:val="18"/>
                  <w:u w:val="single"/>
                </w:rPr>
                <w:t xml:space="preserve"> Renew Strategic Partnership to Strengthen Research and Innovation - TIAA</w:t>
              </w:r>
            </w:hyperlink>
          </w:p>
        </w:tc>
        <w:tc>
          <w:tcPr>
            <w:tcW w:w="2240" w:type="pct"/>
          </w:tcPr>
          <w:p w14:paraId="3C836AF0"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 xml:space="preserve">The Learned Society of Wales (LSW) and </w:t>
            </w:r>
            <w:proofErr w:type="spellStart"/>
            <w:r w:rsidRPr="005464C3">
              <w:rPr>
                <w:rFonts w:asciiTheme="minorHAnsi" w:hAnsiTheme="minorHAnsi" w:cstheme="minorHAnsi"/>
                <w:sz w:val="18"/>
                <w:szCs w:val="18"/>
              </w:rPr>
              <w:t>Medr</w:t>
            </w:r>
            <w:proofErr w:type="spellEnd"/>
            <w:r w:rsidRPr="005464C3">
              <w:rPr>
                <w:rFonts w:asciiTheme="minorHAnsi" w:hAnsiTheme="minorHAnsi" w:cstheme="minorHAnsi"/>
                <w:sz w:val="18"/>
                <w:szCs w:val="18"/>
              </w:rPr>
              <w:t xml:space="preserve">, the Commission for Tertiary Education and Research, have announced a renewed five-year partnership aimed at supporting research excellence, innovation, and collaboration across Wales. The agreement reflects a long-term commitment to strengthening </w:t>
            </w:r>
            <w:proofErr w:type="spellStart"/>
            <w:r w:rsidRPr="005464C3">
              <w:rPr>
                <w:rFonts w:asciiTheme="minorHAnsi" w:hAnsiTheme="minorHAnsi" w:cstheme="minorHAnsi"/>
                <w:sz w:val="18"/>
                <w:szCs w:val="18"/>
              </w:rPr>
              <w:t>Wales’</w:t>
            </w:r>
            <w:proofErr w:type="spellEnd"/>
            <w:r w:rsidRPr="005464C3">
              <w:rPr>
                <w:rFonts w:asciiTheme="minorHAnsi" w:hAnsiTheme="minorHAnsi" w:cstheme="minorHAnsi"/>
                <w:sz w:val="18"/>
                <w:szCs w:val="18"/>
              </w:rPr>
              <w:t xml:space="preserve"> research ecosystem and ensuring that research continues to contribute to social, economic, and cultural wellbeing</w:t>
            </w:r>
          </w:p>
        </w:tc>
      </w:tr>
      <w:tr w:rsidR="001C433B" w:rsidRPr="005464C3" w14:paraId="16C4410F" w14:textId="77777777" w:rsidTr="001C433B">
        <w:trPr>
          <w:cantSplit/>
          <w:trHeight w:val="1191"/>
        </w:trPr>
        <w:tc>
          <w:tcPr>
            <w:tcW w:w="407" w:type="pct"/>
            <w:vAlign w:val="center"/>
          </w:tcPr>
          <w:p w14:paraId="596283A9" w14:textId="77777777" w:rsidR="001C433B" w:rsidRPr="005464C3" w:rsidRDefault="001C433B" w:rsidP="001C433B">
            <w:pPr>
              <w:spacing w:before="60" w:after="60" w:line="271"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24 August 2026</w:t>
            </w:r>
          </w:p>
        </w:tc>
        <w:tc>
          <w:tcPr>
            <w:tcW w:w="447" w:type="pct"/>
            <w:vAlign w:val="center"/>
          </w:tcPr>
          <w:p w14:paraId="3361DF0F" w14:textId="77777777" w:rsidR="001C433B" w:rsidRPr="005464C3" w:rsidRDefault="001C433B" w:rsidP="001C433B">
            <w:pPr>
              <w:spacing w:before="60" w:after="60" w:line="271"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4CB7152B"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26B400D8"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Martyn’s Law: Why Organisations Should Start Preparing Now</w:t>
            </w:r>
          </w:p>
        </w:tc>
        <w:tc>
          <w:tcPr>
            <w:tcW w:w="810" w:type="pct"/>
            <w:vAlign w:val="center"/>
          </w:tcPr>
          <w:p w14:paraId="6291195C" w14:textId="77777777" w:rsidR="001C433B" w:rsidRPr="005464C3" w:rsidRDefault="001C433B" w:rsidP="001C433B">
            <w:pPr>
              <w:jc w:val="center"/>
              <w:rPr>
                <w:rFonts w:asciiTheme="minorHAnsi" w:eastAsia="Calibri" w:hAnsiTheme="minorHAnsi" w:cstheme="minorHAnsi"/>
                <w:sz w:val="18"/>
                <w:szCs w:val="18"/>
              </w:rPr>
            </w:pPr>
            <w:hyperlink r:id="rId25" w:history="1">
              <w:r w:rsidRPr="005464C3">
                <w:rPr>
                  <w:rFonts w:asciiTheme="minorHAnsi" w:hAnsiTheme="minorHAnsi" w:cstheme="minorHAnsi"/>
                  <w:color w:val="0000FF"/>
                  <w:sz w:val="18"/>
                  <w:szCs w:val="18"/>
                  <w:u w:val="single"/>
                </w:rPr>
                <w:t>Martyn's Law: Why Organisations Should Start Preparing Now - TIAA</w:t>
              </w:r>
            </w:hyperlink>
          </w:p>
        </w:tc>
        <w:tc>
          <w:tcPr>
            <w:tcW w:w="2240" w:type="pct"/>
          </w:tcPr>
          <w:p w14:paraId="7386D5C8"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The Security Industry Authority (SIA) is urging organisations to begin preparing for Martyn's Law ahead of its expected introduction next year. The legislation will require organisations responsible for publicly accessible locations to assess terrorism risks and implement appropriate safety measures. Early planning will help venue operators, event organisers, and businesses strengthen public safety and ensure compliance with future requirements.</w:t>
            </w:r>
          </w:p>
        </w:tc>
      </w:tr>
      <w:tr w:rsidR="001C433B" w:rsidRPr="005464C3" w14:paraId="1C29C2A3" w14:textId="77777777" w:rsidTr="001C433B">
        <w:trPr>
          <w:cantSplit/>
          <w:trHeight w:val="1191"/>
        </w:trPr>
        <w:tc>
          <w:tcPr>
            <w:tcW w:w="407" w:type="pct"/>
            <w:vAlign w:val="center"/>
          </w:tcPr>
          <w:p w14:paraId="0200A968" w14:textId="77777777" w:rsidR="001C433B" w:rsidRPr="005464C3" w:rsidRDefault="001C433B" w:rsidP="001C433B">
            <w:pPr>
              <w:jc w:val="center"/>
              <w:rPr>
                <w:rFonts w:asciiTheme="minorHAnsi" w:eastAsia="Calibri" w:hAnsiTheme="minorHAnsi" w:cstheme="minorHAnsi"/>
                <w:sz w:val="18"/>
                <w:szCs w:val="18"/>
              </w:rPr>
            </w:pPr>
            <w:r w:rsidRPr="005464C3">
              <w:rPr>
                <w:rFonts w:asciiTheme="minorHAnsi" w:hAnsiTheme="minorHAnsi" w:cstheme="minorHAnsi"/>
                <w:sz w:val="18"/>
                <w:szCs w:val="18"/>
              </w:rPr>
              <w:t>07 August 2026</w:t>
            </w:r>
          </w:p>
        </w:tc>
        <w:tc>
          <w:tcPr>
            <w:tcW w:w="447" w:type="pct"/>
            <w:vAlign w:val="center"/>
          </w:tcPr>
          <w:p w14:paraId="6E6F9CCC"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4ADF29C9"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6E52CF2C"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Safeguarding Responsibilities Cannot Be Outsourced: Lessons from the Portsmouth Ombudsman Investigation</w:t>
            </w:r>
          </w:p>
        </w:tc>
        <w:tc>
          <w:tcPr>
            <w:tcW w:w="810" w:type="pct"/>
            <w:vAlign w:val="center"/>
          </w:tcPr>
          <w:p w14:paraId="79E2ABF0"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26" w:history="1">
              <w:r w:rsidRPr="005464C3">
                <w:rPr>
                  <w:rFonts w:asciiTheme="minorHAnsi" w:hAnsiTheme="minorHAnsi" w:cstheme="minorHAnsi"/>
                  <w:color w:val="0000FF"/>
                  <w:sz w:val="18"/>
                  <w:szCs w:val="18"/>
                  <w:u w:val="single"/>
                </w:rPr>
                <w:t>Safeguarding Responsibilities Cannot Be Outsourced: Lessons from the Portsmouth Ombudsman Investigation - TIAA</w:t>
              </w:r>
            </w:hyperlink>
          </w:p>
        </w:tc>
        <w:tc>
          <w:tcPr>
            <w:tcW w:w="2240" w:type="pct"/>
          </w:tcPr>
          <w:p w14:paraId="07EB1831"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A Local Government and Social Care Ombudsman investigation into commissioned homecare services in Portsmouth has highlighted that safeguarding responsibilities cannot be outsourced. Despite services being delivered by a third-party provider, the commissioning council remained accountable for ensuring appropriate safeguarding oversight.</w:t>
            </w:r>
          </w:p>
          <w:p w14:paraId="610BC8F8"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The case found significant care failings and delays in safeguarding investigations, emphasising the importance of robust contract management, independent scrutiny, and ongoing assurance to ensure commissioned services are delivered safely and in line with statutory requirements.</w:t>
            </w:r>
          </w:p>
        </w:tc>
      </w:tr>
      <w:tr w:rsidR="001C433B" w:rsidRPr="005464C3" w14:paraId="5A5C8A79" w14:textId="77777777" w:rsidTr="001C433B">
        <w:trPr>
          <w:cantSplit/>
          <w:trHeight w:val="1191"/>
        </w:trPr>
        <w:tc>
          <w:tcPr>
            <w:tcW w:w="407" w:type="pct"/>
            <w:vAlign w:val="center"/>
          </w:tcPr>
          <w:p w14:paraId="091CBA50"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lastRenderedPageBreak/>
              <w:t>06 August 2026</w:t>
            </w:r>
          </w:p>
        </w:tc>
        <w:tc>
          <w:tcPr>
            <w:tcW w:w="447" w:type="pct"/>
            <w:vAlign w:val="center"/>
          </w:tcPr>
          <w:p w14:paraId="2E245366"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42A03CB5"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Security Alert</w:t>
            </w:r>
          </w:p>
        </w:tc>
        <w:tc>
          <w:tcPr>
            <w:tcW w:w="666" w:type="pct"/>
            <w:vAlign w:val="center"/>
          </w:tcPr>
          <w:p w14:paraId="1845BEA1"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Controlled Drugs and Prescription Medication Theft Risk</w:t>
            </w:r>
          </w:p>
        </w:tc>
        <w:tc>
          <w:tcPr>
            <w:tcW w:w="810" w:type="pct"/>
            <w:vAlign w:val="center"/>
          </w:tcPr>
          <w:p w14:paraId="46AED5EB"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27" w:history="1">
              <w:r w:rsidRPr="005464C3">
                <w:rPr>
                  <w:rFonts w:asciiTheme="minorHAnsi" w:hAnsiTheme="minorHAnsi" w:cstheme="minorHAnsi"/>
                  <w:color w:val="0000FF"/>
                  <w:sz w:val="18"/>
                  <w:szCs w:val="18"/>
                  <w:u w:val="single"/>
                </w:rPr>
                <w:t>Controlled Drugs and Prescription Medication Theft Risk - TIAA</w:t>
              </w:r>
            </w:hyperlink>
          </w:p>
        </w:tc>
        <w:tc>
          <w:tcPr>
            <w:tcW w:w="2240" w:type="pct"/>
          </w:tcPr>
          <w:p w14:paraId="3C517163"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TIAA has highlighted an ongoing West Yorkshire Police investigation into the alleged theft of controlled drugs and prescription medications from a Stericycle (SRCL) pharmaceutical waste disposal facility in Leeds. The medications had been submitted by NHS organisations and law enforcement agencies for secure destruction but are alleged to have been stolen by employees before disposal.</w:t>
            </w:r>
          </w:p>
          <w:p w14:paraId="1B77B4B7"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The case serves as an important reminder of the need for robust controls, oversight, and assurance throughout the pharmaceutical waste management process to protect controlled substances and ensure compliance with regulatory and safeguarding requirements.</w:t>
            </w:r>
          </w:p>
        </w:tc>
      </w:tr>
      <w:tr w:rsidR="001C433B" w:rsidRPr="005464C3" w14:paraId="0A135FD1" w14:textId="77777777" w:rsidTr="001C433B">
        <w:trPr>
          <w:cantSplit/>
          <w:trHeight w:val="1191"/>
        </w:trPr>
        <w:tc>
          <w:tcPr>
            <w:tcW w:w="407" w:type="pct"/>
            <w:vAlign w:val="center"/>
          </w:tcPr>
          <w:p w14:paraId="2B39346D" w14:textId="77777777" w:rsidR="001C433B" w:rsidRPr="005464C3" w:rsidRDefault="001C433B" w:rsidP="001C433B">
            <w:pPr>
              <w:spacing w:before="60" w:after="60" w:line="271"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04 August 2026</w:t>
            </w:r>
          </w:p>
        </w:tc>
        <w:tc>
          <w:tcPr>
            <w:tcW w:w="447" w:type="pct"/>
            <w:vAlign w:val="center"/>
          </w:tcPr>
          <w:p w14:paraId="4C9D05B9"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EF17907"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50BCCDD2"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Nearly 100 NHS Staff Left in Limbo Following Repeated Procurement Delays</w:t>
            </w:r>
          </w:p>
        </w:tc>
        <w:tc>
          <w:tcPr>
            <w:tcW w:w="810" w:type="pct"/>
            <w:vAlign w:val="center"/>
          </w:tcPr>
          <w:p w14:paraId="7630C7AE"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28" w:history="1">
              <w:r w:rsidRPr="005464C3">
                <w:rPr>
                  <w:rFonts w:asciiTheme="minorHAnsi" w:hAnsiTheme="minorHAnsi" w:cstheme="minorHAnsi"/>
                  <w:color w:val="0000FF"/>
                  <w:sz w:val="18"/>
                  <w:szCs w:val="18"/>
                  <w:u w:val="single"/>
                </w:rPr>
                <w:t>Nearly 100 NHS Staff Left in Limbo Following Repeated Procurement Delays - TIAA</w:t>
              </w:r>
            </w:hyperlink>
          </w:p>
        </w:tc>
        <w:tc>
          <w:tcPr>
            <w:tcW w:w="2240" w:type="pct"/>
          </w:tcPr>
          <w:p w14:paraId="4869489C"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Ongoing procurement challenges have left almost 100 NHS employees facing prolonged uncertainty, highlighting the significant workforce impact that can result when procurement processes fail to deliver timely outcomes.</w:t>
            </w:r>
          </w:p>
        </w:tc>
      </w:tr>
      <w:tr w:rsidR="001C433B" w:rsidRPr="005464C3" w14:paraId="4ED7CFF6" w14:textId="77777777" w:rsidTr="001C433B">
        <w:trPr>
          <w:cantSplit/>
          <w:trHeight w:val="1191"/>
        </w:trPr>
        <w:tc>
          <w:tcPr>
            <w:tcW w:w="407" w:type="pct"/>
            <w:vAlign w:val="center"/>
          </w:tcPr>
          <w:p w14:paraId="244F91E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04 August 2026</w:t>
            </w:r>
          </w:p>
        </w:tc>
        <w:tc>
          <w:tcPr>
            <w:tcW w:w="447" w:type="pct"/>
            <w:vAlign w:val="center"/>
          </w:tcPr>
          <w:p w14:paraId="1B9DB8A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0CC238DD"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Case Studies</w:t>
            </w:r>
          </w:p>
        </w:tc>
        <w:tc>
          <w:tcPr>
            <w:tcW w:w="666" w:type="pct"/>
            <w:vAlign w:val="center"/>
          </w:tcPr>
          <w:p w14:paraId="120C275E"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Case Study – Grievance HR Investigation – Private Sector</w:t>
            </w:r>
          </w:p>
        </w:tc>
        <w:tc>
          <w:tcPr>
            <w:tcW w:w="810" w:type="pct"/>
            <w:vAlign w:val="center"/>
          </w:tcPr>
          <w:p w14:paraId="774EF3A6"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29" w:history="1">
              <w:r w:rsidRPr="005464C3">
                <w:rPr>
                  <w:rFonts w:asciiTheme="minorHAnsi" w:hAnsiTheme="minorHAnsi" w:cstheme="minorHAnsi"/>
                  <w:color w:val="0000FF"/>
                  <w:sz w:val="18"/>
                  <w:szCs w:val="18"/>
                  <w:u w:val="single"/>
                </w:rPr>
                <w:t>Case Study – Grievance HR Investigation - Private Sector - TIAA</w:t>
              </w:r>
            </w:hyperlink>
          </w:p>
        </w:tc>
        <w:tc>
          <w:tcPr>
            <w:tcW w:w="2240" w:type="pct"/>
          </w:tcPr>
          <w:p w14:paraId="2AE6117B"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A major, private company and joint venture required independent support to review a multi-issue workplace grievance involving senior project personnel. The matter was sensitive because it sat within a complex operating model, where individuals worked on the project while remaining employed by different parent organisations.</w:t>
            </w:r>
          </w:p>
          <w:p w14:paraId="57395DFE"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The client required an objective assessment of events, a clear evidence-based conclusion on the issues raised, and practical insight into whether management processes could be strengthened.</w:t>
            </w:r>
          </w:p>
        </w:tc>
      </w:tr>
      <w:tr w:rsidR="001C433B" w:rsidRPr="005464C3" w14:paraId="2A5784DF" w14:textId="77777777" w:rsidTr="001C433B">
        <w:trPr>
          <w:cantSplit/>
          <w:trHeight w:val="1191"/>
        </w:trPr>
        <w:tc>
          <w:tcPr>
            <w:tcW w:w="407" w:type="pct"/>
            <w:vAlign w:val="center"/>
          </w:tcPr>
          <w:p w14:paraId="4851DF6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03 August 2026</w:t>
            </w:r>
          </w:p>
        </w:tc>
        <w:tc>
          <w:tcPr>
            <w:tcW w:w="447" w:type="pct"/>
            <w:vAlign w:val="center"/>
          </w:tcPr>
          <w:p w14:paraId="07F4D78D"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56FE013B"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Blog</w:t>
            </w:r>
          </w:p>
        </w:tc>
        <w:tc>
          <w:tcPr>
            <w:tcW w:w="666" w:type="pct"/>
            <w:vAlign w:val="center"/>
          </w:tcPr>
          <w:p w14:paraId="6982196F"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Security Matters – Social Engineering: The Security Threat Walking Through the Front Door</w:t>
            </w:r>
          </w:p>
        </w:tc>
        <w:tc>
          <w:tcPr>
            <w:tcW w:w="810" w:type="pct"/>
            <w:vAlign w:val="center"/>
          </w:tcPr>
          <w:p w14:paraId="3F16B1D5"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0" w:history="1">
              <w:r w:rsidRPr="005464C3">
                <w:rPr>
                  <w:rFonts w:asciiTheme="minorHAnsi" w:hAnsiTheme="minorHAnsi" w:cstheme="minorHAnsi"/>
                  <w:color w:val="0000FF"/>
                  <w:sz w:val="18"/>
                  <w:szCs w:val="18"/>
                  <w:u w:val="single"/>
                </w:rPr>
                <w:t>Security Matters - Social Engineering: The Security Threat Walking Through the Front Door - TIAA</w:t>
              </w:r>
            </w:hyperlink>
          </w:p>
        </w:tc>
        <w:tc>
          <w:tcPr>
            <w:tcW w:w="2240" w:type="pct"/>
          </w:tcPr>
          <w:p w14:paraId="64B1118B"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 xml:space="preserve">Security Matters Blog. </w:t>
            </w:r>
          </w:p>
          <w:p w14:paraId="77FAE12D" w14:textId="77777777" w:rsidR="001C433B" w:rsidRPr="005464C3" w:rsidRDefault="001C433B" w:rsidP="008E0B3C">
            <w:pPr>
              <w:rPr>
                <w:rFonts w:asciiTheme="minorHAnsi" w:hAnsiTheme="minorHAnsi" w:cstheme="minorHAnsi"/>
                <w:sz w:val="18"/>
                <w:szCs w:val="18"/>
              </w:rPr>
            </w:pPr>
          </w:p>
          <w:p w14:paraId="6E9D79D3"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Healthcare organisations invest heavily in protecting their people, facilities and assets. Access control systems, CCTV networks and security personnel all play an important role. Yet many security incidents do not begin with a breach of a physical barrier. They begin with a conversation.</w:t>
            </w:r>
          </w:p>
        </w:tc>
      </w:tr>
      <w:tr w:rsidR="001C433B" w:rsidRPr="005464C3" w14:paraId="3E5739A5" w14:textId="77777777" w:rsidTr="001C433B">
        <w:trPr>
          <w:cantSplit/>
          <w:trHeight w:val="1191"/>
        </w:trPr>
        <w:tc>
          <w:tcPr>
            <w:tcW w:w="407" w:type="pct"/>
            <w:vAlign w:val="center"/>
          </w:tcPr>
          <w:p w14:paraId="7A91242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31 July 2026</w:t>
            </w:r>
          </w:p>
        </w:tc>
        <w:tc>
          <w:tcPr>
            <w:tcW w:w="447" w:type="pct"/>
            <w:vAlign w:val="center"/>
          </w:tcPr>
          <w:p w14:paraId="2D257890"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118EF85E"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34DAEFA3"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Homes England Reports Strongest Delivery Performance in Five Years</w:t>
            </w:r>
          </w:p>
        </w:tc>
        <w:tc>
          <w:tcPr>
            <w:tcW w:w="810" w:type="pct"/>
            <w:vAlign w:val="center"/>
          </w:tcPr>
          <w:p w14:paraId="4E28109D"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1" w:history="1">
              <w:r w:rsidRPr="005464C3">
                <w:rPr>
                  <w:rStyle w:val="Hyperlink"/>
                  <w:rFonts w:asciiTheme="minorHAnsi" w:hAnsiTheme="minorHAnsi" w:cstheme="minorHAnsi"/>
                  <w:sz w:val="18"/>
                  <w:szCs w:val="18"/>
                </w:rPr>
                <w:t>Homes England Reports Strongest Delivery Performance in Five Years - TIAA</w:t>
              </w:r>
            </w:hyperlink>
          </w:p>
        </w:tc>
        <w:tc>
          <w:tcPr>
            <w:tcW w:w="2240" w:type="pct"/>
          </w:tcPr>
          <w:p w14:paraId="72122D0D"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Homes England has reported its strongest housing delivery performance in five years, with housing starts and completions reaching their highest levels since 2019/20. Despite ongoing economic pressures and challenges within the development sector, the achievement reflects the continued efforts of housing providers, local authorities, and development partners to increase the supply of new homes and support the government's housing objectives.</w:t>
            </w:r>
          </w:p>
        </w:tc>
      </w:tr>
      <w:tr w:rsidR="001C433B" w:rsidRPr="005464C3" w14:paraId="432B90D8" w14:textId="77777777" w:rsidTr="001C433B">
        <w:trPr>
          <w:cantSplit/>
          <w:trHeight w:val="1191"/>
        </w:trPr>
        <w:tc>
          <w:tcPr>
            <w:tcW w:w="407" w:type="pct"/>
            <w:vAlign w:val="center"/>
          </w:tcPr>
          <w:p w14:paraId="334B3467"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lastRenderedPageBreak/>
              <w:t>31 July 2026</w:t>
            </w:r>
          </w:p>
        </w:tc>
        <w:tc>
          <w:tcPr>
            <w:tcW w:w="447" w:type="pct"/>
            <w:vAlign w:val="center"/>
          </w:tcPr>
          <w:p w14:paraId="67261581"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B13D7A5"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0344B05C"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Department for Education Confirms Cyber Incident Affecting More Than 600,000 Records</w:t>
            </w:r>
          </w:p>
        </w:tc>
        <w:tc>
          <w:tcPr>
            <w:tcW w:w="810" w:type="pct"/>
            <w:vAlign w:val="center"/>
          </w:tcPr>
          <w:p w14:paraId="7D2E5D9C"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2" w:history="1">
              <w:r w:rsidRPr="005464C3">
                <w:rPr>
                  <w:rStyle w:val="Hyperlink"/>
                  <w:rFonts w:asciiTheme="minorHAnsi" w:hAnsiTheme="minorHAnsi" w:cstheme="minorHAnsi"/>
                  <w:sz w:val="18"/>
                  <w:szCs w:val="18"/>
                </w:rPr>
                <w:t>Department for Education Confirms Cyber Incident Affecting More Than 600,000 Records - TIAA</w:t>
              </w:r>
            </w:hyperlink>
          </w:p>
        </w:tc>
        <w:tc>
          <w:tcPr>
            <w:tcW w:w="2240" w:type="pct"/>
          </w:tcPr>
          <w:p w14:paraId="76CA1F9C"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 xml:space="preserve">The Department for Education (DfE) has confirmed that approximately 607,000 records were accessed during a recent </w:t>
            </w:r>
            <w:proofErr w:type="spellStart"/>
            <w:r w:rsidRPr="005464C3">
              <w:rPr>
                <w:rFonts w:asciiTheme="minorHAnsi" w:hAnsiTheme="minorHAnsi" w:cstheme="minorHAnsi"/>
                <w:sz w:val="18"/>
                <w:szCs w:val="18"/>
              </w:rPr>
              <w:t>cyber attack</w:t>
            </w:r>
            <w:proofErr w:type="spellEnd"/>
            <w:r w:rsidRPr="005464C3">
              <w:rPr>
                <w:rFonts w:asciiTheme="minorHAnsi" w:hAnsiTheme="minorHAnsi" w:cstheme="minorHAnsi"/>
                <w:sz w:val="18"/>
                <w:szCs w:val="18"/>
              </w:rPr>
              <w:t>, underlining the increasing threat posed by cyber criminals to public sector organisations.</w:t>
            </w:r>
          </w:p>
        </w:tc>
      </w:tr>
      <w:tr w:rsidR="001C433B" w:rsidRPr="005464C3" w14:paraId="022AC041" w14:textId="77777777" w:rsidTr="001C433B">
        <w:trPr>
          <w:cantSplit/>
          <w:trHeight w:val="1191"/>
        </w:trPr>
        <w:tc>
          <w:tcPr>
            <w:tcW w:w="407" w:type="pct"/>
            <w:vAlign w:val="center"/>
          </w:tcPr>
          <w:p w14:paraId="79607AF8"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24 July 2026</w:t>
            </w:r>
          </w:p>
        </w:tc>
        <w:tc>
          <w:tcPr>
            <w:tcW w:w="447" w:type="pct"/>
            <w:vAlign w:val="center"/>
          </w:tcPr>
          <w:p w14:paraId="055A6765"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783D455C"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619AD90D"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Martyn’s Law: SIA Publishes New Guidance for Organisations Preparing for Compliance</w:t>
            </w:r>
          </w:p>
        </w:tc>
        <w:tc>
          <w:tcPr>
            <w:tcW w:w="810" w:type="pct"/>
            <w:vAlign w:val="center"/>
          </w:tcPr>
          <w:p w14:paraId="0C85A0AA"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3" w:history="1">
              <w:r w:rsidRPr="005464C3">
                <w:rPr>
                  <w:rStyle w:val="Hyperlink"/>
                  <w:rFonts w:asciiTheme="minorHAnsi" w:hAnsiTheme="minorHAnsi" w:cstheme="minorHAnsi"/>
                  <w:sz w:val="18"/>
                  <w:szCs w:val="18"/>
                </w:rPr>
                <w:t>Martyn's Law: SIA Publishes New Guidance for Organisations Preparing for Compliance - TIAA</w:t>
              </w:r>
            </w:hyperlink>
          </w:p>
        </w:tc>
        <w:tc>
          <w:tcPr>
            <w:tcW w:w="2240" w:type="pct"/>
          </w:tcPr>
          <w:p w14:paraId="7D716488"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The Security Industry Authority (SIA) has issued new guidance to help organisations prepare for Martyn’s Law ahead of its expected introduction in Spring 2027. The guidance clarifies which premises and events will be covered, outlines the counter-terrorism responsibilities organisations will need to meet, and explains how compliance will be monitored through desk-based assessments and on-site inspections. Early preparation will help organisations understand their obligations and strengthen their security and emergency planning arrangements.</w:t>
            </w:r>
          </w:p>
        </w:tc>
      </w:tr>
      <w:tr w:rsidR="001C433B" w:rsidRPr="005464C3" w14:paraId="11DCF4F0" w14:textId="77777777" w:rsidTr="001C433B">
        <w:trPr>
          <w:cantSplit/>
          <w:trHeight w:val="1191"/>
        </w:trPr>
        <w:tc>
          <w:tcPr>
            <w:tcW w:w="407" w:type="pct"/>
            <w:vAlign w:val="center"/>
          </w:tcPr>
          <w:p w14:paraId="3D1E210E"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24 July 2026</w:t>
            </w:r>
          </w:p>
        </w:tc>
        <w:tc>
          <w:tcPr>
            <w:tcW w:w="447" w:type="pct"/>
            <w:vAlign w:val="center"/>
          </w:tcPr>
          <w:p w14:paraId="47E6ECB5"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0113A556"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69BA95F4"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Patient Data Privacy Under Scrutiny: Lessons in Governance and Accountability</w:t>
            </w:r>
          </w:p>
        </w:tc>
        <w:tc>
          <w:tcPr>
            <w:tcW w:w="810" w:type="pct"/>
            <w:vAlign w:val="center"/>
          </w:tcPr>
          <w:p w14:paraId="361796F2"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4" w:history="1">
              <w:r w:rsidRPr="005464C3">
                <w:rPr>
                  <w:rStyle w:val="Hyperlink"/>
                  <w:rFonts w:asciiTheme="minorHAnsi" w:hAnsiTheme="minorHAnsi" w:cstheme="minorHAnsi"/>
                  <w:sz w:val="18"/>
                  <w:szCs w:val="18"/>
                </w:rPr>
                <w:t>Patient Data Privacy Under Scrutiny: Lessons in Governance and Accountability - TIAA</w:t>
              </w:r>
            </w:hyperlink>
          </w:p>
        </w:tc>
        <w:tc>
          <w:tcPr>
            <w:tcW w:w="2240" w:type="pct"/>
          </w:tcPr>
          <w:p w14:paraId="42069708" w14:textId="77777777" w:rsidR="001C433B" w:rsidRPr="005464C3" w:rsidRDefault="001C433B" w:rsidP="008E0B3C">
            <w:pPr>
              <w:spacing w:line="276" w:lineRule="auto"/>
              <w:rPr>
                <w:rFonts w:asciiTheme="minorHAnsi" w:eastAsia="Calibri" w:hAnsiTheme="minorHAnsi" w:cstheme="minorHAnsi"/>
                <w:sz w:val="18"/>
                <w:szCs w:val="18"/>
              </w:rPr>
            </w:pPr>
            <w:r w:rsidRPr="005464C3">
              <w:rPr>
                <w:rFonts w:asciiTheme="minorHAnsi" w:hAnsiTheme="minorHAnsi" w:cstheme="minorHAnsi"/>
                <w:sz w:val="18"/>
                <w:szCs w:val="18"/>
              </w:rPr>
              <w:t>Recent reports of alleged inappropriate access to patient records within NHS organisations have once again highlighted the importance of strong information governance, data protection and organisational culture.</w:t>
            </w:r>
          </w:p>
        </w:tc>
      </w:tr>
      <w:tr w:rsidR="001C433B" w:rsidRPr="005464C3" w14:paraId="7C206D6D" w14:textId="77777777" w:rsidTr="001C433B">
        <w:trPr>
          <w:cantSplit/>
          <w:trHeight w:val="1191"/>
        </w:trPr>
        <w:tc>
          <w:tcPr>
            <w:tcW w:w="407" w:type="pct"/>
            <w:vAlign w:val="center"/>
          </w:tcPr>
          <w:p w14:paraId="64AD454C"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21 July 2026</w:t>
            </w:r>
          </w:p>
        </w:tc>
        <w:tc>
          <w:tcPr>
            <w:tcW w:w="447" w:type="pct"/>
            <w:vAlign w:val="center"/>
          </w:tcPr>
          <w:p w14:paraId="66485198"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7F6F1E04"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64DF6B93"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NHS Cyber Security Moves to the Top of the Risk Agenda</w:t>
            </w:r>
          </w:p>
        </w:tc>
        <w:tc>
          <w:tcPr>
            <w:tcW w:w="810" w:type="pct"/>
            <w:vAlign w:val="center"/>
          </w:tcPr>
          <w:p w14:paraId="6A2EC46F"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5" w:history="1">
              <w:r w:rsidRPr="005464C3">
                <w:rPr>
                  <w:rStyle w:val="Hyperlink"/>
                  <w:rFonts w:asciiTheme="minorHAnsi" w:hAnsiTheme="minorHAnsi" w:cstheme="minorHAnsi"/>
                  <w:sz w:val="18"/>
                  <w:szCs w:val="18"/>
                </w:rPr>
                <w:t>NHS Cyber Security Moves to the Top of the Risk Agenda - TIAA</w:t>
              </w:r>
            </w:hyperlink>
          </w:p>
        </w:tc>
        <w:tc>
          <w:tcPr>
            <w:tcW w:w="2240" w:type="pct"/>
          </w:tcPr>
          <w:p w14:paraId="1F32D4F5" w14:textId="77777777" w:rsidR="001C433B" w:rsidRPr="005464C3" w:rsidRDefault="001C433B" w:rsidP="008E0B3C">
            <w:pPr>
              <w:spacing w:line="276" w:lineRule="auto"/>
              <w:rPr>
                <w:rFonts w:asciiTheme="minorHAnsi" w:eastAsia="Calibri" w:hAnsiTheme="minorHAnsi" w:cstheme="minorHAnsi"/>
                <w:sz w:val="18"/>
                <w:szCs w:val="18"/>
              </w:rPr>
            </w:pPr>
            <w:r w:rsidRPr="005464C3">
              <w:rPr>
                <w:rFonts w:asciiTheme="minorHAnsi" w:hAnsiTheme="minorHAnsi" w:cstheme="minorHAnsi"/>
                <w:sz w:val="18"/>
                <w:szCs w:val="18"/>
              </w:rPr>
              <w:t xml:space="preserve">Cyber security has become a top strategic priority for the NHS as increasingly sophisticated threats, including AI-enabled </w:t>
            </w:r>
            <w:proofErr w:type="spellStart"/>
            <w:r w:rsidRPr="005464C3">
              <w:rPr>
                <w:rFonts w:asciiTheme="minorHAnsi" w:hAnsiTheme="minorHAnsi" w:cstheme="minorHAnsi"/>
                <w:sz w:val="18"/>
                <w:szCs w:val="18"/>
              </w:rPr>
              <w:t>cyber attacks</w:t>
            </w:r>
            <w:proofErr w:type="spellEnd"/>
            <w:r w:rsidRPr="005464C3">
              <w:rPr>
                <w:rFonts w:asciiTheme="minorHAnsi" w:hAnsiTheme="minorHAnsi" w:cstheme="minorHAnsi"/>
                <w:sz w:val="18"/>
                <w:szCs w:val="18"/>
              </w:rPr>
              <w:t xml:space="preserve"> and state-sponsored actors, continue to evolve. In response, cyber security has been elevated on the NHS risk agenda, with greater accountability, enhanced resilience measures, and increased investment in technology and security capabilities to protect critical healthcare services and patient data.</w:t>
            </w:r>
          </w:p>
        </w:tc>
      </w:tr>
      <w:tr w:rsidR="001C433B" w:rsidRPr="005464C3" w14:paraId="5B15FA3C" w14:textId="77777777" w:rsidTr="001C433B">
        <w:trPr>
          <w:cantSplit/>
          <w:trHeight w:val="1191"/>
        </w:trPr>
        <w:tc>
          <w:tcPr>
            <w:tcW w:w="407" w:type="pct"/>
            <w:vAlign w:val="center"/>
          </w:tcPr>
          <w:p w14:paraId="0312F82C"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20 July 2026</w:t>
            </w:r>
          </w:p>
        </w:tc>
        <w:tc>
          <w:tcPr>
            <w:tcW w:w="447" w:type="pct"/>
            <w:vAlign w:val="center"/>
          </w:tcPr>
          <w:p w14:paraId="09C74FF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E54192B"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Article</w:t>
            </w:r>
          </w:p>
        </w:tc>
        <w:tc>
          <w:tcPr>
            <w:tcW w:w="666" w:type="pct"/>
            <w:vAlign w:val="center"/>
          </w:tcPr>
          <w:p w14:paraId="3B564DF2"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How Audit Committees can provide confidence during post-election transition</w:t>
            </w:r>
          </w:p>
        </w:tc>
        <w:tc>
          <w:tcPr>
            <w:tcW w:w="810" w:type="pct"/>
            <w:vAlign w:val="center"/>
          </w:tcPr>
          <w:p w14:paraId="78F90478"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6" w:history="1">
              <w:r w:rsidRPr="005464C3">
                <w:rPr>
                  <w:rStyle w:val="Hyperlink"/>
                  <w:rFonts w:asciiTheme="minorHAnsi" w:hAnsiTheme="minorHAnsi" w:cstheme="minorHAnsi"/>
                  <w:sz w:val="18"/>
                  <w:szCs w:val="18"/>
                </w:rPr>
                <w:t>How Audit Committees can provide confidence during post-election transition - TIAA</w:t>
              </w:r>
            </w:hyperlink>
          </w:p>
        </w:tc>
        <w:tc>
          <w:tcPr>
            <w:tcW w:w="2240" w:type="pct"/>
          </w:tcPr>
          <w:p w14:paraId="042D5B58"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n periods of political and organisational transition, Audit Committees play a critical role in maintaining confidence in governance, risk management and control. Their value is not limited to receiving audit reports. At their best, they provide an independent and informed forum that helps those charged with governance understand whether assurance arrangements are robust enough for the challenges ahead.</w:t>
            </w:r>
          </w:p>
        </w:tc>
      </w:tr>
      <w:tr w:rsidR="001C433B" w:rsidRPr="005464C3" w14:paraId="1BD9A656" w14:textId="77777777" w:rsidTr="001C433B">
        <w:trPr>
          <w:cantSplit/>
          <w:trHeight w:val="1191"/>
        </w:trPr>
        <w:tc>
          <w:tcPr>
            <w:tcW w:w="407" w:type="pct"/>
            <w:vAlign w:val="center"/>
          </w:tcPr>
          <w:p w14:paraId="752DC3A2"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18 July 2026</w:t>
            </w:r>
          </w:p>
        </w:tc>
        <w:tc>
          <w:tcPr>
            <w:tcW w:w="447" w:type="pct"/>
            <w:vAlign w:val="center"/>
          </w:tcPr>
          <w:p w14:paraId="77B71702"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45FA9CFD"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Article</w:t>
            </w:r>
          </w:p>
        </w:tc>
        <w:tc>
          <w:tcPr>
            <w:tcW w:w="666" w:type="pct"/>
            <w:vAlign w:val="center"/>
          </w:tcPr>
          <w:p w14:paraId="3A657A17"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Independent HR Investigations: Getting It Right the First Time</w:t>
            </w:r>
          </w:p>
        </w:tc>
        <w:tc>
          <w:tcPr>
            <w:tcW w:w="810" w:type="pct"/>
            <w:vAlign w:val="center"/>
          </w:tcPr>
          <w:p w14:paraId="62099893"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7" w:history="1">
              <w:r w:rsidRPr="005464C3">
                <w:rPr>
                  <w:rStyle w:val="Hyperlink"/>
                  <w:rFonts w:asciiTheme="minorHAnsi" w:hAnsiTheme="minorHAnsi" w:cstheme="minorHAnsi"/>
                  <w:sz w:val="18"/>
                  <w:szCs w:val="18"/>
                </w:rPr>
                <w:t>Independent HR Investigations: Getting It Right the First Time - TIAA</w:t>
              </w:r>
            </w:hyperlink>
          </w:p>
        </w:tc>
        <w:tc>
          <w:tcPr>
            <w:tcW w:w="2240" w:type="pct"/>
          </w:tcPr>
          <w:p w14:paraId="252F1F8A"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When workplace issues such as grievances, whistleblowing concerns, or misconduct allegations arise, it is essential that they are managed through a fair, consistent, and robust process. Effective HR investigations help organisations address sensitive and complex matters objectively, ensuring decisions can withstand scrutiny while protecting employees, organisational integrity, and reputation.</w:t>
            </w:r>
          </w:p>
        </w:tc>
      </w:tr>
      <w:tr w:rsidR="001C433B" w:rsidRPr="005464C3" w14:paraId="54FF5B6F" w14:textId="77777777" w:rsidTr="001C433B">
        <w:trPr>
          <w:cantSplit/>
          <w:trHeight w:val="1191"/>
        </w:trPr>
        <w:tc>
          <w:tcPr>
            <w:tcW w:w="407" w:type="pct"/>
            <w:vAlign w:val="center"/>
          </w:tcPr>
          <w:p w14:paraId="07CEE35F"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lastRenderedPageBreak/>
              <w:t>17 July 2026</w:t>
            </w:r>
          </w:p>
        </w:tc>
        <w:tc>
          <w:tcPr>
            <w:tcW w:w="447" w:type="pct"/>
            <w:vAlign w:val="center"/>
          </w:tcPr>
          <w:p w14:paraId="26F57AD8"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2768750"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0831CF8C"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Construction Skills: Addressing the Workforce Challenge Behind the UK’s Building Ambitions</w:t>
            </w:r>
          </w:p>
        </w:tc>
        <w:tc>
          <w:tcPr>
            <w:tcW w:w="810" w:type="pct"/>
            <w:vAlign w:val="center"/>
          </w:tcPr>
          <w:p w14:paraId="79F3EC45"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8" w:history="1">
              <w:r w:rsidRPr="005464C3">
                <w:rPr>
                  <w:rStyle w:val="Hyperlink"/>
                  <w:rFonts w:asciiTheme="minorHAnsi" w:hAnsiTheme="minorHAnsi" w:cstheme="minorHAnsi"/>
                  <w:sz w:val="18"/>
                  <w:szCs w:val="18"/>
                </w:rPr>
                <w:t>Construction Skills: Addressing the Workforce Challenge Behind the UK's Building Ambitions - TIAA</w:t>
              </w:r>
            </w:hyperlink>
          </w:p>
        </w:tc>
        <w:tc>
          <w:tcPr>
            <w:tcW w:w="2240" w:type="pct"/>
          </w:tcPr>
          <w:p w14:paraId="1DBC1F09"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The UK construction sector faces a significant skills shortage that threatens the delivery of new homes, infrastructure, schools, and healthcare facilities. In response, the government has announced a £625 million investment package aimed at recruiting and training up to 60,000 additional skilled construction workers by 2029. The initiative highlights the need for a stronger workforce to support the UK's building ambitions and ensure the sector has the skills required to meet future demand.</w:t>
            </w:r>
          </w:p>
        </w:tc>
      </w:tr>
      <w:tr w:rsidR="001C433B" w:rsidRPr="005464C3" w14:paraId="508B0914" w14:textId="77777777" w:rsidTr="001C433B">
        <w:trPr>
          <w:cantSplit/>
          <w:trHeight w:val="1191"/>
        </w:trPr>
        <w:tc>
          <w:tcPr>
            <w:tcW w:w="407" w:type="pct"/>
            <w:vAlign w:val="center"/>
          </w:tcPr>
          <w:p w14:paraId="63638FE2"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17 July 2026</w:t>
            </w:r>
          </w:p>
        </w:tc>
        <w:tc>
          <w:tcPr>
            <w:tcW w:w="447" w:type="pct"/>
            <w:vAlign w:val="center"/>
          </w:tcPr>
          <w:p w14:paraId="7D93B3C7"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2664E1F7"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073D8033"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Workforce Planning: Lessons for Building a Resilient and Future-Ready Organisation</w:t>
            </w:r>
          </w:p>
        </w:tc>
        <w:tc>
          <w:tcPr>
            <w:tcW w:w="810" w:type="pct"/>
            <w:vAlign w:val="center"/>
          </w:tcPr>
          <w:p w14:paraId="5D6BD23B"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39" w:history="1">
              <w:r w:rsidRPr="005464C3">
                <w:rPr>
                  <w:rStyle w:val="Hyperlink"/>
                  <w:rFonts w:asciiTheme="minorHAnsi" w:hAnsiTheme="minorHAnsi" w:cstheme="minorHAnsi"/>
                  <w:sz w:val="18"/>
                  <w:szCs w:val="18"/>
                </w:rPr>
                <w:t>Workforce Planning: Lessons for Building a Resilient and Future-Ready Organisation - TIAA</w:t>
              </w:r>
            </w:hyperlink>
          </w:p>
        </w:tc>
        <w:tc>
          <w:tcPr>
            <w:tcW w:w="2240" w:type="pct"/>
          </w:tcPr>
          <w:p w14:paraId="0C6D19FF"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Effective workforce planning has never been more important. As organisations face increasing financial pressures, evolving service demands and rapid technological change, ensuring the right people, with the right skills, are in the right roles is critical to long-term success.</w:t>
            </w:r>
          </w:p>
        </w:tc>
      </w:tr>
      <w:tr w:rsidR="001C433B" w:rsidRPr="005464C3" w14:paraId="0551D396" w14:textId="77777777" w:rsidTr="001C433B">
        <w:trPr>
          <w:cantSplit/>
          <w:trHeight w:val="1191"/>
        </w:trPr>
        <w:tc>
          <w:tcPr>
            <w:tcW w:w="407" w:type="pct"/>
            <w:vAlign w:val="center"/>
          </w:tcPr>
          <w:p w14:paraId="00E81C03"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13 July 2026</w:t>
            </w:r>
          </w:p>
        </w:tc>
        <w:tc>
          <w:tcPr>
            <w:tcW w:w="447" w:type="pct"/>
            <w:vAlign w:val="center"/>
          </w:tcPr>
          <w:p w14:paraId="6387471A"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57BF8A22"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Article</w:t>
            </w:r>
          </w:p>
        </w:tc>
        <w:tc>
          <w:tcPr>
            <w:tcW w:w="666" w:type="pct"/>
            <w:vAlign w:val="center"/>
          </w:tcPr>
          <w:p w14:paraId="6A232FE9"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Are your delegations and committee arrangements fit for a new administration?</w:t>
            </w:r>
          </w:p>
        </w:tc>
        <w:tc>
          <w:tcPr>
            <w:tcW w:w="810" w:type="pct"/>
            <w:vAlign w:val="center"/>
          </w:tcPr>
          <w:p w14:paraId="62F1FD9F"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0" w:history="1">
              <w:r w:rsidRPr="005464C3">
                <w:rPr>
                  <w:rStyle w:val="Hyperlink"/>
                  <w:rFonts w:asciiTheme="minorHAnsi" w:hAnsiTheme="minorHAnsi" w:cstheme="minorHAnsi"/>
                  <w:sz w:val="18"/>
                  <w:szCs w:val="18"/>
                </w:rPr>
                <w:t>Are your delegations and committee arrangements fit for a new administration? - TIAA</w:t>
              </w:r>
            </w:hyperlink>
          </w:p>
        </w:tc>
        <w:tc>
          <w:tcPr>
            <w:tcW w:w="2240" w:type="pct"/>
          </w:tcPr>
          <w:p w14:paraId="789B9FE4"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After an election, councils often inherit governance arrangements that were designed for a different political context, different priorities or a different scale of challenge. Schemes of delegation, committee structures and decision-making routes may still be technically in place, but that does not mean they remain fit for purpose. A new administration needs governance arrangements that reflect how it intends to lead, scrutinise and make decisions.</w:t>
            </w:r>
          </w:p>
        </w:tc>
      </w:tr>
      <w:tr w:rsidR="001C433B" w:rsidRPr="005464C3" w14:paraId="0FFDFA24" w14:textId="77777777" w:rsidTr="001C433B">
        <w:trPr>
          <w:cantSplit/>
          <w:trHeight w:val="1191"/>
        </w:trPr>
        <w:tc>
          <w:tcPr>
            <w:tcW w:w="407" w:type="pct"/>
            <w:vAlign w:val="center"/>
          </w:tcPr>
          <w:p w14:paraId="30CA157E" w14:textId="77777777" w:rsidR="001C433B" w:rsidRPr="005464C3" w:rsidRDefault="001C433B" w:rsidP="001C433B">
            <w:pPr>
              <w:spacing w:before="60" w:after="60" w:line="268"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07 July 2026</w:t>
            </w:r>
          </w:p>
        </w:tc>
        <w:tc>
          <w:tcPr>
            <w:tcW w:w="447" w:type="pct"/>
            <w:vAlign w:val="center"/>
          </w:tcPr>
          <w:p w14:paraId="56CC8261" w14:textId="77777777" w:rsidR="001C433B" w:rsidRPr="005464C3" w:rsidRDefault="001C433B" w:rsidP="001C433B">
            <w:pPr>
              <w:spacing w:before="60" w:after="60" w:line="268"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7EB29F2C"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Anti-Crime Alert</w:t>
            </w:r>
          </w:p>
        </w:tc>
        <w:tc>
          <w:tcPr>
            <w:tcW w:w="666" w:type="pct"/>
            <w:vAlign w:val="center"/>
          </w:tcPr>
          <w:p w14:paraId="25915651"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Charity fraud on the increase</w:t>
            </w:r>
          </w:p>
        </w:tc>
        <w:tc>
          <w:tcPr>
            <w:tcW w:w="810" w:type="pct"/>
            <w:vAlign w:val="center"/>
          </w:tcPr>
          <w:p w14:paraId="53A93AAA"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1" w:history="1">
              <w:r w:rsidRPr="005464C3">
                <w:rPr>
                  <w:rStyle w:val="Hyperlink"/>
                  <w:rFonts w:asciiTheme="minorHAnsi" w:hAnsiTheme="minorHAnsi" w:cstheme="minorHAnsi"/>
                  <w:sz w:val="18"/>
                  <w:szCs w:val="18"/>
                </w:rPr>
                <w:t>Charity fraud on the increase - TIAA</w:t>
              </w:r>
            </w:hyperlink>
          </w:p>
        </w:tc>
        <w:tc>
          <w:tcPr>
            <w:tcW w:w="2240" w:type="pct"/>
          </w:tcPr>
          <w:p w14:paraId="1E3C7269"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Charity fraud remains a significant risk across the sector, with the Charity Commission investigating hundreds of fraud and cybercrime cases each year and warning that incidents are likely underreported. Common frauds include asset misappropriation, payment diversion scams, expenses fraud, and phishing attacks. Recent high-profile prosecutions involving a £700,000 Gift Aid scam and a £2 million fraud against a charity highlight the importance of strong financial controls, vigilance, and fraud prevention measures.</w:t>
            </w:r>
          </w:p>
        </w:tc>
      </w:tr>
      <w:tr w:rsidR="001C433B" w:rsidRPr="005464C3" w14:paraId="3E835664" w14:textId="77777777" w:rsidTr="001C433B">
        <w:trPr>
          <w:cantSplit/>
          <w:trHeight w:val="1191"/>
        </w:trPr>
        <w:tc>
          <w:tcPr>
            <w:tcW w:w="407" w:type="pct"/>
            <w:vAlign w:val="center"/>
          </w:tcPr>
          <w:p w14:paraId="39CF5243" w14:textId="77777777" w:rsidR="001C433B" w:rsidRPr="005464C3" w:rsidRDefault="001C433B" w:rsidP="001C433B">
            <w:pPr>
              <w:spacing w:before="60" w:after="60" w:line="268"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01 July 2026</w:t>
            </w:r>
          </w:p>
        </w:tc>
        <w:tc>
          <w:tcPr>
            <w:tcW w:w="447" w:type="pct"/>
            <w:vAlign w:val="center"/>
          </w:tcPr>
          <w:p w14:paraId="792F10A6" w14:textId="77777777" w:rsidR="001C433B" w:rsidRPr="005464C3" w:rsidRDefault="001C433B" w:rsidP="001C433B">
            <w:pPr>
              <w:spacing w:before="60" w:after="60" w:line="268"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69373BCE" w14:textId="77777777" w:rsidR="001C433B" w:rsidRPr="005464C3" w:rsidRDefault="001C433B" w:rsidP="001C433B">
            <w:pPr>
              <w:spacing w:before="60" w:after="60" w:line="268" w:lineRule="auto"/>
              <w:jc w:val="center"/>
              <w:rPr>
                <w:rFonts w:asciiTheme="minorHAnsi" w:hAnsiTheme="minorHAnsi" w:cstheme="minorHAnsi"/>
                <w:sz w:val="18"/>
                <w:szCs w:val="18"/>
              </w:rPr>
            </w:pPr>
            <w:r w:rsidRPr="005464C3">
              <w:rPr>
                <w:rFonts w:asciiTheme="minorHAnsi" w:hAnsiTheme="minorHAnsi" w:cstheme="minorHAnsi"/>
                <w:sz w:val="18"/>
                <w:szCs w:val="18"/>
              </w:rPr>
              <w:t>TIAA Blog</w:t>
            </w:r>
          </w:p>
        </w:tc>
        <w:tc>
          <w:tcPr>
            <w:tcW w:w="666" w:type="pct"/>
            <w:vAlign w:val="center"/>
          </w:tcPr>
          <w:p w14:paraId="06FE4114"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Security Matters – Chinese Espionage Threat Highlights Importance of Insider Risk Awareness</w:t>
            </w:r>
          </w:p>
        </w:tc>
        <w:tc>
          <w:tcPr>
            <w:tcW w:w="810" w:type="pct"/>
            <w:vAlign w:val="center"/>
          </w:tcPr>
          <w:p w14:paraId="63135DAD"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2" w:history="1">
              <w:r w:rsidRPr="005464C3">
                <w:rPr>
                  <w:rStyle w:val="Hyperlink"/>
                  <w:rFonts w:asciiTheme="minorHAnsi" w:hAnsiTheme="minorHAnsi" w:cstheme="minorHAnsi"/>
                  <w:sz w:val="18"/>
                  <w:szCs w:val="18"/>
                </w:rPr>
                <w:t>Security Matters - Chinese Espionage Threat Highlights Importance of Insider Risk Awareness - TIAA</w:t>
              </w:r>
            </w:hyperlink>
          </w:p>
        </w:tc>
        <w:tc>
          <w:tcPr>
            <w:tcW w:w="2240" w:type="pct"/>
          </w:tcPr>
          <w:p w14:paraId="78FDA5A3"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 xml:space="preserve">The ninth blog in the series. </w:t>
            </w:r>
          </w:p>
          <w:p w14:paraId="35C85EB8" w14:textId="77777777" w:rsidR="001C433B" w:rsidRPr="005464C3" w:rsidRDefault="001C433B" w:rsidP="008E0B3C">
            <w:pPr>
              <w:rPr>
                <w:rFonts w:asciiTheme="minorHAnsi" w:hAnsiTheme="minorHAnsi" w:cstheme="minorHAnsi"/>
                <w:sz w:val="18"/>
                <w:szCs w:val="18"/>
              </w:rPr>
            </w:pPr>
          </w:p>
          <w:p w14:paraId="3FCD3552" w14:textId="506DC4E5" w:rsidR="001C433B" w:rsidRPr="001C433B"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A recent Five Eyes intelligence warning highlights how Chinese intelligence services are reportedly using professional networking and recruitment platforms to identify and recruit individuals with access to sensitive information. Organisations should strengthen insider risk awareness, encourage staff to verify unsolicited approaches, and maintain robust reporting procedures for suspicious contact.</w:t>
            </w:r>
          </w:p>
        </w:tc>
      </w:tr>
      <w:tr w:rsidR="001C433B" w:rsidRPr="005464C3" w14:paraId="6AA2C639" w14:textId="77777777" w:rsidTr="001C433B">
        <w:trPr>
          <w:cantSplit/>
          <w:trHeight w:val="1191"/>
        </w:trPr>
        <w:tc>
          <w:tcPr>
            <w:tcW w:w="407" w:type="pct"/>
            <w:vAlign w:val="center"/>
          </w:tcPr>
          <w:p w14:paraId="4F961EB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30 June 2026</w:t>
            </w:r>
          </w:p>
        </w:tc>
        <w:tc>
          <w:tcPr>
            <w:tcW w:w="447" w:type="pct"/>
            <w:vAlign w:val="center"/>
          </w:tcPr>
          <w:p w14:paraId="4D25D50F"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F6B7438"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Industry News</w:t>
            </w:r>
          </w:p>
        </w:tc>
        <w:tc>
          <w:tcPr>
            <w:tcW w:w="666" w:type="pct"/>
            <w:vAlign w:val="center"/>
          </w:tcPr>
          <w:p w14:paraId="18566508"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NAO Insight: Using AI Effectively</w:t>
            </w:r>
          </w:p>
        </w:tc>
        <w:tc>
          <w:tcPr>
            <w:tcW w:w="810" w:type="pct"/>
            <w:vAlign w:val="center"/>
          </w:tcPr>
          <w:p w14:paraId="456EB1D5"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3" w:history="1">
              <w:r w:rsidRPr="005464C3">
                <w:rPr>
                  <w:rStyle w:val="Hyperlink"/>
                  <w:rFonts w:asciiTheme="minorHAnsi" w:hAnsiTheme="minorHAnsi" w:cstheme="minorHAnsi"/>
                  <w:sz w:val="18"/>
                  <w:szCs w:val="18"/>
                </w:rPr>
                <w:t>NAO Insight: Using AI Effectively - TIAA</w:t>
              </w:r>
            </w:hyperlink>
          </w:p>
        </w:tc>
        <w:tc>
          <w:tcPr>
            <w:tcW w:w="2240" w:type="pct"/>
          </w:tcPr>
          <w:p w14:paraId="42A90E9F"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The National Audit Office (NAO) has published new guidance to help organisations plan, deploy and scale AI safely and effectively. It highlights that success depends as much on governance, data and skills as on the technology itself.</w:t>
            </w:r>
          </w:p>
        </w:tc>
      </w:tr>
      <w:tr w:rsidR="001C433B" w:rsidRPr="005464C3" w14:paraId="7BA50F90" w14:textId="77777777" w:rsidTr="001C433B">
        <w:trPr>
          <w:cantSplit/>
          <w:trHeight w:val="1191"/>
        </w:trPr>
        <w:tc>
          <w:tcPr>
            <w:tcW w:w="407" w:type="pct"/>
            <w:vAlign w:val="center"/>
          </w:tcPr>
          <w:p w14:paraId="019B5818"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lastRenderedPageBreak/>
              <w:t>18 June 2026</w:t>
            </w:r>
          </w:p>
        </w:tc>
        <w:tc>
          <w:tcPr>
            <w:tcW w:w="447" w:type="pct"/>
            <w:vAlign w:val="center"/>
          </w:tcPr>
          <w:p w14:paraId="3F8F4CF6" w14:textId="5F2CB021"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778854B4"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Newsletter</w:t>
            </w:r>
          </w:p>
        </w:tc>
        <w:tc>
          <w:tcPr>
            <w:tcW w:w="666" w:type="pct"/>
            <w:vAlign w:val="center"/>
          </w:tcPr>
          <w:p w14:paraId="442672CE" w14:textId="77777777" w:rsidR="001C433B" w:rsidRPr="005464C3" w:rsidRDefault="001C433B" w:rsidP="001C433B">
            <w:pPr>
              <w:spacing w:before="60" w:after="60" w:line="271" w:lineRule="auto"/>
              <w:jc w:val="center"/>
              <w:rPr>
                <w:rFonts w:asciiTheme="minorHAnsi" w:hAnsiTheme="minorHAnsi" w:cstheme="minorHAnsi"/>
                <w:sz w:val="18"/>
                <w:szCs w:val="18"/>
              </w:rPr>
            </w:pPr>
            <w:r w:rsidRPr="005464C3">
              <w:rPr>
                <w:rFonts w:asciiTheme="minorHAnsi" w:hAnsiTheme="minorHAnsi" w:cstheme="minorHAnsi"/>
                <w:sz w:val="18"/>
                <w:szCs w:val="18"/>
              </w:rPr>
              <w:t>Fraud Stop All Sectors – Issue 9</w:t>
            </w:r>
          </w:p>
          <w:p w14:paraId="120F1497" w14:textId="77777777" w:rsidR="001C433B" w:rsidRPr="005464C3" w:rsidRDefault="001C433B" w:rsidP="001C433B">
            <w:pPr>
              <w:spacing w:before="60" w:after="60" w:line="271" w:lineRule="auto"/>
              <w:jc w:val="center"/>
              <w:rPr>
                <w:rFonts w:asciiTheme="minorHAnsi" w:hAnsiTheme="minorHAnsi" w:cstheme="minorHAnsi"/>
                <w:sz w:val="18"/>
                <w:szCs w:val="18"/>
              </w:rPr>
            </w:pPr>
          </w:p>
        </w:tc>
        <w:tc>
          <w:tcPr>
            <w:tcW w:w="810" w:type="pct"/>
            <w:vAlign w:val="center"/>
          </w:tcPr>
          <w:p w14:paraId="6795B0D5"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4" w:history="1">
              <w:r w:rsidRPr="005464C3">
                <w:rPr>
                  <w:rFonts w:asciiTheme="minorHAnsi" w:hAnsiTheme="minorHAnsi" w:cstheme="minorHAnsi"/>
                  <w:color w:val="0000FF"/>
                  <w:sz w:val="18"/>
                  <w:szCs w:val="18"/>
                  <w:u w:val="single"/>
                </w:rPr>
                <w:t>Fraud Stop All Sectors – Issue 9 - TIAA</w:t>
              </w:r>
            </w:hyperlink>
          </w:p>
        </w:tc>
        <w:tc>
          <w:tcPr>
            <w:tcW w:w="2240" w:type="pct"/>
          </w:tcPr>
          <w:p w14:paraId="74ADBC42"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The latest edition of our Fraud Stop All Sector publication is now available.</w:t>
            </w:r>
          </w:p>
          <w:p w14:paraId="481C2ADC"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Our Fraud Stop publication features emerging fraud trends identified at organisations, case studies that our specialists have been involved in and methods of fraud prevention.</w:t>
            </w:r>
          </w:p>
        </w:tc>
      </w:tr>
      <w:tr w:rsidR="001C433B" w:rsidRPr="005464C3" w14:paraId="1FB9156A" w14:textId="77777777" w:rsidTr="001C433B">
        <w:trPr>
          <w:cantSplit/>
          <w:trHeight w:val="1191"/>
        </w:trPr>
        <w:tc>
          <w:tcPr>
            <w:tcW w:w="407" w:type="pct"/>
            <w:vAlign w:val="center"/>
          </w:tcPr>
          <w:p w14:paraId="0652F8C2"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16 June 2026</w:t>
            </w:r>
          </w:p>
        </w:tc>
        <w:tc>
          <w:tcPr>
            <w:tcW w:w="447" w:type="pct"/>
            <w:vAlign w:val="center"/>
          </w:tcPr>
          <w:p w14:paraId="381DDE41"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6CE42ACB"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Anti – Crime Alert</w:t>
            </w:r>
          </w:p>
        </w:tc>
        <w:tc>
          <w:tcPr>
            <w:tcW w:w="666" w:type="pct"/>
            <w:vAlign w:val="center"/>
          </w:tcPr>
          <w:p w14:paraId="084A9D05"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Romance Fraud on the Rise: What You Need to Know</w:t>
            </w:r>
          </w:p>
        </w:tc>
        <w:tc>
          <w:tcPr>
            <w:tcW w:w="810" w:type="pct"/>
            <w:vAlign w:val="center"/>
          </w:tcPr>
          <w:p w14:paraId="31767241"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5" w:history="1">
              <w:r w:rsidRPr="005464C3">
                <w:rPr>
                  <w:rFonts w:asciiTheme="minorHAnsi" w:hAnsiTheme="minorHAnsi" w:cstheme="minorHAnsi"/>
                  <w:color w:val="0000FF"/>
                  <w:sz w:val="18"/>
                  <w:szCs w:val="18"/>
                  <w:u w:val="single"/>
                </w:rPr>
                <w:t>Romance Fraud on the Rise: What You Need to Know - TIAA</w:t>
              </w:r>
            </w:hyperlink>
          </w:p>
        </w:tc>
        <w:tc>
          <w:tcPr>
            <w:tcW w:w="2240" w:type="pct"/>
          </w:tcPr>
          <w:p w14:paraId="2809EC40"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The BBC reported on 15 June 2026 that cases of fraud in the UK have surged with criminals using AI to manipulate people and even marrying victims of romance scams to steal more money.</w:t>
            </w:r>
          </w:p>
        </w:tc>
      </w:tr>
      <w:tr w:rsidR="001C433B" w:rsidRPr="005464C3" w14:paraId="02DEDFC8" w14:textId="77777777" w:rsidTr="001C433B">
        <w:trPr>
          <w:cantSplit/>
          <w:trHeight w:val="1191"/>
        </w:trPr>
        <w:tc>
          <w:tcPr>
            <w:tcW w:w="407" w:type="pct"/>
            <w:vAlign w:val="center"/>
          </w:tcPr>
          <w:p w14:paraId="1A7745E6"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15 June 2026</w:t>
            </w:r>
          </w:p>
        </w:tc>
        <w:tc>
          <w:tcPr>
            <w:tcW w:w="447" w:type="pct"/>
            <w:vAlign w:val="center"/>
          </w:tcPr>
          <w:p w14:paraId="6CC1397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4BC714FA"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Anti – Crime Alert</w:t>
            </w:r>
          </w:p>
        </w:tc>
        <w:tc>
          <w:tcPr>
            <w:tcW w:w="666" w:type="pct"/>
            <w:vAlign w:val="center"/>
          </w:tcPr>
          <w:p w14:paraId="2F7C86E0"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World Cup Scams: How Criminals Target Football Fans and How to Stay Safe</w:t>
            </w:r>
          </w:p>
        </w:tc>
        <w:tc>
          <w:tcPr>
            <w:tcW w:w="810" w:type="pct"/>
            <w:vAlign w:val="center"/>
          </w:tcPr>
          <w:p w14:paraId="574F00DC"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6" w:history="1">
              <w:r w:rsidRPr="005464C3">
                <w:rPr>
                  <w:rFonts w:asciiTheme="minorHAnsi" w:hAnsiTheme="minorHAnsi" w:cstheme="minorHAnsi"/>
                  <w:color w:val="0000FF"/>
                  <w:sz w:val="18"/>
                  <w:szCs w:val="18"/>
                  <w:u w:val="single"/>
                </w:rPr>
                <w:t>World Cup Scams: How Criminals Target Football Fans and How to Stay Safe - TIAA</w:t>
              </w:r>
            </w:hyperlink>
          </w:p>
        </w:tc>
        <w:tc>
          <w:tcPr>
            <w:tcW w:w="2240" w:type="pct"/>
          </w:tcPr>
          <w:p w14:paraId="0CE0EEB0"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As excitement builds around the FIFA World Cup, millions of fans are booking trips, buying tickets, purchasing merchandise, and following their favourite teams online. Unfortunately, major sporting events also create opportunities for criminals looking to exploit the enthusiasm of supporters.</w:t>
            </w:r>
          </w:p>
          <w:p w14:paraId="2C318598"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Experts have warned that scams linked to the World Cup are likely to increase, with fraudsters using increasingly sophisticated tactics, including artificial intelligence (AI), fake websites, social media scams, and phishing attacks.</w:t>
            </w:r>
          </w:p>
        </w:tc>
      </w:tr>
      <w:tr w:rsidR="001C433B" w:rsidRPr="005464C3" w14:paraId="3CAA6EE2" w14:textId="77777777" w:rsidTr="001C433B">
        <w:trPr>
          <w:cantSplit/>
          <w:trHeight w:val="1191"/>
        </w:trPr>
        <w:tc>
          <w:tcPr>
            <w:tcW w:w="407" w:type="pct"/>
            <w:vAlign w:val="center"/>
          </w:tcPr>
          <w:p w14:paraId="3B3B9AAD"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08 June 2026</w:t>
            </w:r>
          </w:p>
        </w:tc>
        <w:tc>
          <w:tcPr>
            <w:tcW w:w="447" w:type="pct"/>
            <w:vAlign w:val="center"/>
          </w:tcPr>
          <w:p w14:paraId="78A9C054"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2344536C"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News</w:t>
            </w:r>
          </w:p>
        </w:tc>
        <w:tc>
          <w:tcPr>
            <w:tcW w:w="666" w:type="pct"/>
            <w:vAlign w:val="center"/>
          </w:tcPr>
          <w:p w14:paraId="0F412849"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Sponsors Military Miles 2026: Making a Difference Through Walking</w:t>
            </w:r>
          </w:p>
        </w:tc>
        <w:tc>
          <w:tcPr>
            <w:tcW w:w="810" w:type="pct"/>
            <w:vAlign w:val="center"/>
          </w:tcPr>
          <w:p w14:paraId="51B32806"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7" w:history="1">
              <w:r w:rsidRPr="005464C3">
                <w:rPr>
                  <w:rFonts w:asciiTheme="minorHAnsi" w:hAnsiTheme="minorHAnsi" w:cstheme="minorHAnsi"/>
                  <w:color w:val="0000FF"/>
                  <w:sz w:val="18"/>
                  <w:szCs w:val="18"/>
                  <w:u w:val="single"/>
                </w:rPr>
                <w:t>TIAA Sponsors Military Miles 2026: Making a Difference Through Walking - TIAA</w:t>
              </w:r>
            </w:hyperlink>
          </w:p>
        </w:tc>
        <w:tc>
          <w:tcPr>
            <w:tcW w:w="2240" w:type="pct"/>
          </w:tcPr>
          <w:p w14:paraId="61134E29"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TIAA is proud to announce our official sponsorship of Military Miles 2026, an inspiring fundraising challenge that brings together the military community, industry partners, and supporters to make a meaningful difference.</w:t>
            </w:r>
          </w:p>
        </w:tc>
      </w:tr>
      <w:tr w:rsidR="001C433B" w:rsidRPr="005464C3" w14:paraId="54175EC9" w14:textId="77777777" w:rsidTr="001C433B">
        <w:trPr>
          <w:cantSplit/>
          <w:trHeight w:val="1191"/>
        </w:trPr>
        <w:tc>
          <w:tcPr>
            <w:tcW w:w="407" w:type="pct"/>
            <w:vAlign w:val="center"/>
          </w:tcPr>
          <w:p w14:paraId="716CB4D5"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02 June 2026</w:t>
            </w:r>
          </w:p>
        </w:tc>
        <w:tc>
          <w:tcPr>
            <w:tcW w:w="447" w:type="pct"/>
            <w:vAlign w:val="center"/>
          </w:tcPr>
          <w:p w14:paraId="72623C52"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3DB11A30"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Anti – Crime Alert</w:t>
            </w:r>
          </w:p>
        </w:tc>
        <w:tc>
          <w:tcPr>
            <w:tcW w:w="666" w:type="pct"/>
            <w:vAlign w:val="center"/>
          </w:tcPr>
          <w:p w14:paraId="4E467BC7"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Phishing Emails Targeting Omnicell Customers</w:t>
            </w:r>
          </w:p>
        </w:tc>
        <w:tc>
          <w:tcPr>
            <w:tcW w:w="810" w:type="pct"/>
            <w:vAlign w:val="center"/>
          </w:tcPr>
          <w:p w14:paraId="13230ECF" w14:textId="77777777" w:rsidR="001C433B" w:rsidRPr="005464C3" w:rsidRDefault="001C433B" w:rsidP="001C433B">
            <w:pPr>
              <w:jc w:val="center"/>
              <w:rPr>
                <w:rFonts w:asciiTheme="minorHAnsi" w:eastAsia="Calibri" w:hAnsiTheme="minorHAnsi" w:cstheme="minorHAnsi"/>
                <w:sz w:val="18"/>
                <w:szCs w:val="18"/>
              </w:rPr>
            </w:pPr>
            <w:hyperlink r:id="rId48" w:history="1">
              <w:r w:rsidRPr="005464C3">
                <w:rPr>
                  <w:rFonts w:asciiTheme="minorHAnsi" w:hAnsiTheme="minorHAnsi" w:cstheme="minorHAnsi"/>
                  <w:color w:val="0000FF"/>
                  <w:sz w:val="18"/>
                  <w:szCs w:val="18"/>
                  <w:u w:val="single"/>
                </w:rPr>
                <w:t>Phishing Emails Targeting Omnicell Customers - TIAA</w:t>
              </w:r>
            </w:hyperlink>
          </w:p>
        </w:tc>
        <w:tc>
          <w:tcPr>
            <w:tcW w:w="2240" w:type="pct"/>
          </w:tcPr>
          <w:p w14:paraId="42FBE1EF" w14:textId="77777777" w:rsidR="001C433B" w:rsidRPr="005464C3" w:rsidRDefault="001C433B" w:rsidP="008E0B3C">
            <w:pPr>
              <w:spacing w:before="60" w:after="60" w:line="276" w:lineRule="auto"/>
              <w:rPr>
                <w:rFonts w:asciiTheme="minorHAnsi" w:eastAsia="Calibri" w:hAnsiTheme="minorHAnsi" w:cstheme="minorHAnsi"/>
                <w:sz w:val="18"/>
                <w:szCs w:val="18"/>
              </w:rPr>
            </w:pPr>
            <w:r w:rsidRPr="005464C3">
              <w:rPr>
                <w:rFonts w:asciiTheme="minorHAnsi" w:hAnsiTheme="minorHAnsi" w:cstheme="minorHAnsi"/>
                <w:sz w:val="18"/>
                <w:szCs w:val="18"/>
              </w:rPr>
              <w:t xml:space="preserve">We have recently been made aware of a phishing email campaign targeting Omnicell customers. An unauthorised third party is attempting to impersonate Omnicell Accounts Receivables and is fraudulently requesting changes to payment account details. </w:t>
            </w:r>
          </w:p>
        </w:tc>
      </w:tr>
      <w:tr w:rsidR="001C433B" w:rsidRPr="005464C3" w14:paraId="63D72F3F" w14:textId="77777777" w:rsidTr="001C433B">
        <w:trPr>
          <w:cantSplit/>
          <w:trHeight w:val="1191"/>
        </w:trPr>
        <w:tc>
          <w:tcPr>
            <w:tcW w:w="407" w:type="pct"/>
            <w:vAlign w:val="center"/>
          </w:tcPr>
          <w:p w14:paraId="1F9C15CB"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01 June 2026</w:t>
            </w:r>
          </w:p>
        </w:tc>
        <w:tc>
          <w:tcPr>
            <w:tcW w:w="447" w:type="pct"/>
            <w:vAlign w:val="center"/>
          </w:tcPr>
          <w:p w14:paraId="41FCDF3E" w14:textId="77777777" w:rsidR="001C433B" w:rsidRPr="005464C3" w:rsidRDefault="001C433B" w:rsidP="001C433B">
            <w:pPr>
              <w:spacing w:before="60" w:after="60" w:line="276" w:lineRule="auto"/>
              <w:jc w:val="center"/>
              <w:rPr>
                <w:rFonts w:asciiTheme="minorHAnsi" w:eastAsia="Calibri" w:hAnsiTheme="minorHAnsi" w:cstheme="minorHAnsi"/>
                <w:sz w:val="18"/>
                <w:szCs w:val="18"/>
              </w:rPr>
            </w:pPr>
            <w:r w:rsidRPr="005464C3">
              <w:rPr>
                <w:rFonts w:asciiTheme="minorHAnsi" w:hAnsiTheme="minorHAnsi" w:cstheme="minorHAnsi"/>
                <w:sz w:val="18"/>
                <w:szCs w:val="18"/>
              </w:rPr>
              <w:t>All</w:t>
            </w:r>
          </w:p>
        </w:tc>
        <w:tc>
          <w:tcPr>
            <w:tcW w:w="429" w:type="pct"/>
            <w:vAlign w:val="center"/>
          </w:tcPr>
          <w:p w14:paraId="1D0D26D7"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TIAA Blog</w:t>
            </w:r>
          </w:p>
        </w:tc>
        <w:tc>
          <w:tcPr>
            <w:tcW w:w="666" w:type="pct"/>
            <w:vAlign w:val="center"/>
          </w:tcPr>
          <w:p w14:paraId="1C97CD5D" w14:textId="77777777" w:rsidR="001C433B" w:rsidRPr="005464C3" w:rsidRDefault="001C433B" w:rsidP="001C433B">
            <w:pPr>
              <w:spacing w:before="60" w:after="60" w:line="276" w:lineRule="auto"/>
              <w:jc w:val="center"/>
              <w:rPr>
                <w:rFonts w:asciiTheme="minorHAnsi" w:hAnsiTheme="minorHAnsi" w:cstheme="minorHAnsi"/>
                <w:sz w:val="18"/>
                <w:szCs w:val="18"/>
              </w:rPr>
            </w:pPr>
            <w:r w:rsidRPr="005464C3">
              <w:rPr>
                <w:rFonts w:asciiTheme="minorHAnsi" w:hAnsiTheme="minorHAnsi" w:cstheme="minorHAnsi"/>
                <w:sz w:val="18"/>
                <w:szCs w:val="18"/>
              </w:rPr>
              <w:t>Martyn’s Law Is Coming. Is the Heritage Sector Ready for Enforcement?</w:t>
            </w:r>
          </w:p>
        </w:tc>
        <w:tc>
          <w:tcPr>
            <w:tcW w:w="810" w:type="pct"/>
            <w:vAlign w:val="center"/>
          </w:tcPr>
          <w:p w14:paraId="06AE38AA" w14:textId="77777777" w:rsidR="001C433B" w:rsidRPr="005464C3" w:rsidRDefault="001C433B" w:rsidP="001C433B">
            <w:pPr>
              <w:spacing w:line="276" w:lineRule="auto"/>
              <w:jc w:val="center"/>
              <w:rPr>
                <w:rFonts w:asciiTheme="minorHAnsi" w:eastAsia="Calibri" w:hAnsiTheme="minorHAnsi" w:cstheme="minorHAnsi"/>
                <w:sz w:val="18"/>
                <w:szCs w:val="18"/>
              </w:rPr>
            </w:pPr>
            <w:hyperlink r:id="rId49" w:history="1">
              <w:r w:rsidRPr="005464C3">
                <w:rPr>
                  <w:rFonts w:asciiTheme="minorHAnsi" w:hAnsiTheme="minorHAnsi" w:cstheme="minorHAnsi"/>
                  <w:color w:val="0000FF"/>
                  <w:sz w:val="18"/>
                  <w:szCs w:val="18"/>
                  <w:u w:val="single"/>
                </w:rPr>
                <w:t>Martyn’s Law Is Coming. Is the Heritage Sector Ready for Enforcement? - TIAA</w:t>
              </w:r>
            </w:hyperlink>
          </w:p>
        </w:tc>
        <w:tc>
          <w:tcPr>
            <w:tcW w:w="2240" w:type="pct"/>
          </w:tcPr>
          <w:p w14:paraId="64C076FF" w14:textId="77777777" w:rsidR="001C433B" w:rsidRPr="005464C3" w:rsidRDefault="001C433B" w:rsidP="008E0B3C">
            <w:pPr>
              <w:rPr>
                <w:rFonts w:asciiTheme="minorHAnsi" w:hAnsiTheme="minorHAnsi" w:cstheme="minorHAnsi"/>
                <w:sz w:val="18"/>
                <w:szCs w:val="18"/>
              </w:rPr>
            </w:pPr>
            <w:r w:rsidRPr="005464C3">
              <w:rPr>
                <w:rFonts w:asciiTheme="minorHAnsi" w:hAnsiTheme="minorHAnsi" w:cstheme="minorHAnsi"/>
                <w:sz w:val="18"/>
                <w:szCs w:val="18"/>
              </w:rPr>
              <w:t xml:space="preserve">The seventh blog in the series. </w:t>
            </w:r>
          </w:p>
          <w:p w14:paraId="46A1F90A" w14:textId="77777777" w:rsidR="001C433B" w:rsidRPr="005464C3" w:rsidRDefault="001C433B" w:rsidP="008E0B3C">
            <w:pPr>
              <w:rPr>
                <w:rFonts w:asciiTheme="minorHAnsi" w:hAnsiTheme="minorHAnsi" w:cstheme="minorHAnsi"/>
                <w:sz w:val="18"/>
                <w:szCs w:val="18"/>
              </w:rPr>
            </w:pPr>
          </w:p>
          <w:p w14:paraId="4EDBDDC2" w14:textId="77777777" w:rsidR="001C433B" w:rsidRPr="005464C3" w:rsidRDefault="001C433B" w:rsidP="008E0B3C">
            <w:pPr>
              <w:rPr>
                <w:rFonts w:asciiTheme="minorHAnsi" w:eastAsia="Calibri" w:hAnsiTheme="minorHAnsi" w:cstheme="minorHAnsi"/>
                <w:sz w:val="18"/>
                <w:szCs w:val="18"/>
              </w:rPr>
            </w:pPr>
            <w:r w:rsidRPr="005464C3">
              <w:rPr>
                <w:rFonts w:asciiTheme="minorHAnsi" w:hAnsiTheme="minorHAnsi" w:cstheme="minorHAnsi"/>
                <w:sz w:val="18"/>
                <w:szCs w:val="18"/>
              </w:rPr>
              <w:t>Martyn’s Law is no longer a future concept—it is on the statute book, with enforcement by the regulator (Security Industry Authority SIA) from April 2027. The question for the heritage sector is not </w:t>
            </w:r>
            <w:r w:rsidRPr="005464C3">
              <w:rPr>
                <w:rFonts w:asciiTheme="minorHAnsi" w:hAnsiTheme="minorHAnsi" w:cstheme="minorHAnsi"/>
                <w:i/>
                <w:iCs/>
                <w:sz w:val="18"/>
                <w:szCs w:val="18"/>
              </w:rPr>
              <w:t>what is it</w:t>
            </w:r>
            <w:r w:rsidRPr="005464C3">
              <w:rPr>
                <w:rFonts w:asciiTheme="minorHAnsi" w:hAnsiTheme="minorHAnsi" w:cstheme="minorHAnsi"/>
                <w:sz w:val="18"/>
                <w:szCs w:val="18"/>
              </w:rPr>
              <w:t>, but how prepared are you?</w:t>
            </w:r>
          </w:p>
        </w:tc>
      </w:tr>
    </w:tbl>
    <w:p w14:paraId="7396529A" w14:textId="77777777" w:rsidR="001C433B" w:rsidRDefault="001C433B" w:rsidP="00D069B9">
      <w:pPr>
        <w:pStyle w:val="TIAAHeadingOne"/>
        <w:spacing w:before="144" w:after="144"/>
        <w:jc w:val="left"/>
        <w:rPr>
          <w:rFonts w:cs="Calibri"/>
          <w:b w:val="0"/>
          <w:color w:val="163D82"/>
          <w:sz w:val="36"/>
          <w:szCs w:val="36"/>
          <w:lang w:eastAsia="en-GB"/>
        </w:rPr>
      </w:pPr>
    </w:p>
    <w:p w14:paraId="3B2C2FC2" w14:textId="77777777" w:rsidR="001C433B" w:rsidRDefault="001C433B" w:rsidP="00D069B9">
      <w:pPr>
        <w:pStyle w:val="TIAAHeadingOne"/>
        <w:spacing w:before="144" w:after="144"/>
        <w:jc w:val="left"/>
        <w:rPr>
          <w:rFonts w:cs="Calibri"/>
          <w:b w:val="0"/>
          <w:color w:val="163D82"/>
          <w:sz w:val="36"/>
          <w:szCs w:val="36"/>
          <w:lang w:eastAsia="en-GB"/>
        </w:rPr>
      </w:pPr>
    </w:p>
    <w:p w14:paraId="0527CEAC" w14:textId="4F50E0C2" w:rsidR="00061CD6" w:rsidRPr="001C433B" w:rsidRDefault="00061CD6" w:rsidP="001C433B">
      <w:pPr>
        <w:spacing w:before="120" w:after="120" w:line="271" w:lineRule="auto"/>
        <w:rPr>
          <w:rFonts w:asciiTheme="minorHAnsi" w:hAnsiTheme="minorHAnsi" w:cstheme="minorBidi"/>
          <w:b/>
          <w:bCs/>
          <w:color w:val="163D82"/>
          <w:sz w:val="2"/>
          <w:szCs w:val="2"/>
          <w:lang w:eastAsia="en-GB"/>
        </w:rPr>
      </w:pPr>
    </w:p>
    <w:sectPr w:rsidR="00061CD6" w:rsidRPr="001C433B" w:rsidSect="008E7C41">
      <w:pgSz w:w="16834" w:h="11909" w:orient="landscape" w:code="9"/>
      <w:pgMar w:top="851"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400C" w14:textId="77777777" w:rsidR="00DD468D" w:rsidRDefault="00DD468D">
      <w:r>
        <w:separator/>
      </w:r>
    </w:p>
  </w:endnote>
  <w:endnote w:type="continuationSeparator" w:id="0">
    <w:p w14:paraId="27948E3C" w14:textId="77777777" w:rsidR="00DD468D" w:rsidRDefault="00DD468D">
      <w:r>
        <w:continuationSeparator/>
      </w:r>
    </w:p>
  </w:endnote>
  <w:endnote w:type="continuationNotice" w:id="1">
    <w:p w14:paraId="625DF90D" w14:textId="77777777" w:rsidR="00DD468D" w:rsidRDefault="00DD46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Neue">
    <w:altName w:val="Corbel"/>
    <w:panose1 w:val="00000000000000000000"/>
    <w:charset w:val="00"/>
    <w:family w:val="modern"/>
    <w:notTrueType/>
    <w:pitch w:val="variable"/>
    <w:sig w:usb0="00000001" w:usb1="40000048" w:usb2="00000000" w:usb3="00000000" w:csb0="00000111" w:csb1="00000000"/>
  </w:font>
  <w:font w:name="Palatino Linotype">
    <w:panose1 w:val="02040502050505030304"/>
    <w:charset w:val="00"/>
    <w:family w:val="roman"/>
    <w:pitch w:val="variable"/>
    <w:sig w:usb0="E0000287" w:usb1="40000013" w:usb2="00000000" w:usb3="00000000" w:csb0="0000019F" w:csb1="00000000"/>
  </w:font>
  <w:font w:name="JNMPXT+HelveticaNeue-Light">
    <w:altName w:val="Calibri"/>
    <w:panose1 w:val="00000000000000000000"/>
    <w:charset w:val="00"/>
    <w:family w:val="swiss"/>
    <w:notTrueType/>
    <w:pitch w:val="default"/>
    <w:sig w:usb0="00000003" w:usb1="00000000" w:usb2="00000000" w:usb3="00000000" w:csb0="00000001" w:csb1="00000000"/>
  </w:font>
  <w:font w:name="Zapf 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518CFF7D" w14:paraId="08889274" w14:textId="77777777" w:rsidTr="518CFF7D">
      <w:trPr>
        <w:trHeight w:val="300"/>
      </w:trPr>
      <w:tc>
        <w:tcPr>
          <w:tcW w:w="4855" w:type="dxa"/>
        </w:tcPr>
        <w:p w14:paraId="70C82279" w14:textId="653C8C3B" w:rsidR="518CFF7D" w:rsidRDefault="518CFF7D" w:rsidP="518CFF7D">
          <w:pPr>
            <w:pStyle w:val="Header"/>
            <w:ind w:left="-115"/>
            <w:jc w:val="left"/>
          </w:pPr>
        </w:p>
      </w:tc>
      <w:tc>
        <w:tcPr>
          <w:tcW w:w="4855" w:type="dxa"/>
        </w:tcPr>
        <w:p w14:paraId="732DC17A" w14:textId="44FA0439" w:rsidR="518CFF7D" w:rsidRDefault="518CFF7D" w:rsidP="518CFF7D">
          <w:pPr>
            <w:pStyle w:val="Header"/>
            <w:jc w:val="center"/>
          </w:pPr>
        </w:p>
      </w:tc>
      <w:tc>
        <w:tcPr>
          <w:tcW w:w="4855" w:type="dxa"/>
        </w:tcPr>
        <w:p w14:paraId="203599D2" w14:textId="54DB9DF2" w:rsidR="518CFF7D" w:rsidRDefault="518CFF7D" w:rsidP="518CFF7D">
          <w:pPr>
            <w:pStyle w:val="Header"/>
            <w:ind w:right="-115"/>
            <w:jc w:val="right"/>
          </w:pPr>
        </w:p>
      </w:tc>
    </w:tr>
  </w:tbl>
  <w:p w14:paraId="07248690" w14:textId="767FD3CA" w:rsidR="518CFF7D" w:rsidRDefault="518CFF7D" w:rsidP="518CFF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460"/>
      <w:gridCol w:w="1460"/>
      <w:gridCol w:w="1460"/>
    </w:tblGrid>
    <w:tr w:rsidR="518CFF7D" w14:paraId="63AA90DE" w14:textId="77777777" w:rsidTr="518CFF7D">
      <w:trPr>
        <w:trHeight w:val="300"/>
      </w:trPr>
      <w:tc>
        <w:tcPr>
          <w:tcW w:w="1460" w:type="dxa"/>
        </w:tcPr>
        <w:p w14:paraId="7109F6D0" w14:textId="46326EA9" w:rsidR="518CFF7D" w:rsidRDefault="518CFF7D" w:rsidP="518CFF7D">
          <w:pPr>
            <w:pStyle w:val="Header"/>
            <w:ind w:left="-115"/>
            <w:jc w:val="left"/>
          </w:pPr>
        </w:p>
      </w:tc>
      <w:tc>
        <w:tcPr>
          <w:tcW w:w="1460" w:type="dxa"/>
        </w:tcPr>
        <w:p w14:paraId="4BDA7C61" w14:textId="3B5D7E9C" w:rsidR="518CFF7D" w:rsidRDefault="518CFF7D" w:rsidP="518CFF7D">
          <w:pPr>
            <w:pStyle w:val="Header"/>
            <w:jc w:val="center"/>
          </w:pPr>
        </w:p>
      </w:tc>
      <w:tc>
        <w:tcPr>
          <w:tcW w:w="1460" w:type="dxa"/>
        </w:tcPr>
        <w:p w14:paraId="67C3C702" w14:textId="48982FE5" w:rsidR="518CFF7D" w:rsidRDefault="518CFF7D" w:rsidP="518CFF7D">
          <w:pPr>
            <w:pStyle w:val="Header"/>
            <w:ind w:right="-115"/>
            <w:jc w:val="right"/>
          </w:pPr>
        </w:p>
      </w:tc>
    </w:tr>
  </w:tbl>
  <w:p w14:paraId="3758762E" w14:textId="7B2AAA49" w:rsidR="518CFF7D" w:rsidRDefault="518CFF7D" w:rsidP="518CFF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82" w:type="pct"/>
      <w:tblInd w:w="-426" w:type="dxa"/>
      <w:tblCellMar>
        <w:top w:w="72" w:type="dxa"/>
        <w:left w:w="115" w:type="dxa"/>
        <w:bottom w:w="72" w:type="dxa"/>
        <w:right w:w="115" w:type="dxa"/>
      </w:tblCellMar>
      <w:tblLook w:val="04A0" w:firstRow="1" w:lastRow="0" w:firstColumn="1" w:lastColumn="0" w:noHBand="0" w:noVBand="1"/>
    </w:tblPr>
    <w:tblGrid>
      <w:gridCol w:w="9682"/>
      <w:gridCol w:w="4922"/>
      <w:gridCol w:w="788"/>
    </w:tblGrid>
    <w:tr w:rsidR="00C0496C" w14:paraId="5ABCC32B" w14:textId="77777777" w:rsidTr="00DA052A">
      <w:trPr>
        <w:trHeight w:val="342"/>
      </w:trPr>
      <w:tc>
        <w:tcPr>
          <w:tcW w:w="3145" w:type="pct"/>
          <w:vAlign w:val="center"/>
          <w:hideMark/>
        </w:tcPr>
        <w:p w14:paraId="5958E651" w14:textId="77777777" w:rsidR="00C0496C" w:rsidRPr="00EB6B73" w:rsidRDefault="00C0496C" w:rsidP="00C0496C">
          <w:pPr>
            <w:pStyle w:val="Footer"/>
            <w:jc w:val="left"/>
            <w:rPr>
              <w:rFonts w:ascii="Calibri" w:hAnsi="Calibri" w:cs="Calibri"/>
              <w:b/>
              <w:bCs/>
              <w:color w:val="365F91"/>
              <w:szCs w:val="22"/>
              <w:lang w:val="en-GB"/>
            </w:rPr>
          </w:pPr>
          <w:r>
            <w:rPr>
              <w:rFonts w:cs="Arial"/>
              <w:b/>
              <w:bCs/>
              <w:noProof/>
              <w:color w:val="FFFFFF" w:themeColor="background1"/>
              <w:lang w:val="en-GB" w:eastAsia="en-GB"/>
            </w:rPr>
            <w:drawing>
              <wp:anchor distT="0" distB="0" distL="114300" distR="114300" simplePos="0" relativeHeight="251658243" behindDoc="0" locked="0" layoutInCell="1" allowOverlap="1" wp14:anchorId="169828FB" wp14:editId="6668EF49">
                <wp:simplePos x="0" y="0"/>
                <wp:positionH relativeFrom="column">
                  <wp:posOffset>-78740</wp:posOffset>
                </wp:positionH>
                <wp:positionV relativeFrom="paragraph">
                  <wp:posOffset>137795</wp:posOffset>
                </wp:positionV>
                <wp:extent cx="558165" cy="238125"/>
                <wp:effectExtent l="0" t="0" r="0" b="9525"/>
                <wp:wrapSquare wrapText="bothSides"/>
                <wp:docPr id="237726950" name="Picture 237726950"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26950" name="Picture 237726950" descr="A red and blu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 cy="238125"/>
                        </a:xfrm>
                        <a:prstGeom prst="rect">
                          <a:avLst/>
                        </a:prstGeom>
                      </pic:spPr>
                    </pic:pic>
                  </a:graphicData>
                </a:graphic>
                <wp14:sizeRelH relativeFrom="margin">
                  <wp14:pctWidth>0</wp14:pctWidth>
                </wp14:sizeRelH>
                <wp14:sizeRelV relativeFrom="margin">
                  <wp14:pctHeight>0</wp14:pctHeight>
                </wp14:sizeRelV>
              </wp:anchor>
            </w:drawing>
          </w:r>
        </w:p>
      </w:tc>
      <w:tc>
        <w:tcPr>
          <w:tcW w:w="1599" w:type="pct"/>
        </w:tcPr>
        <w:p w14:paraId="42888738" w14:textId="77777777" w:rsidR="00C0496C" w:rsidRPr="006A4D62" w:rsidRDefault="00C0496C" w:rsidP="00C0496C">
          <w:pPr>
            <w:pStyle w:val="Footer"/>
            <w:jc w:val="center"/>
            <w:rPr>
              <w:rFonts w:cs="Arial"/>
              <w:b/>
              <w:bCs/>
              <w:color w:val="FFFFFF" w:themeColor="background1"/>
            </w:rPr>
          </w:pPr>
        </w:p>
      </w:tc>
      <w:tc>
        <w:tcPr>
          <w:tcW w:w="256" w:type="pct"/>
          <w:shd w:val="clear" w:color="auto" w:fill="163D82"/>
          <w:vAlign w:val="center"/>
          <w:hideMark/>
        </w:tcPr>
        <w:p w14:paraId="0AB8485D" w14:textId="77777777" w:rsidR="00C0496C" w:rsidRPr="00445C8D" w:rsidRDefault="00C0496C" w:rsidP="00C0496C">
          <w:pPr>
            <w:pStyle w:val="Footer"/>
            <w:jc w:val="center"/>
            <w:rPr>
              <w:rFonts w:asciiTheme="minorHAnsi" w:hAnsiTheme="minorHAnsi" w:cstheme="minorHAnsi"/>
              <w:b/>
              <w:bCs/>
              <w:color w:val="FF0000"/>
            </w:rPr>
          </w:pPr>
          <w:r w:rsidRPr="00445C8D">
            <w:rPr>
              <w:rFonts w:asciiTheme="minorHAnsi" w:hAnsiTheme="minorHAnsi" w:cstheme="minorHAnsi"/>
              <w:b/>
              <w:bCs/>
              <w:color w:val="FFFFFF" w:themeColor="background1"/>
            </w:rPr>
            <w:fldChar w:fldCharType="begin"/>
          </w:r>
          <w:r w:rsidRPr="00445C8D">
            <w:rPr>
              <w:rFonts w:asciiTheme="minorHAnsi" w:hAnsiTheme="minorHAnsi" w:cstheme="minorHAnsi"/>
              <w:b/>
              <w:bCs/>
              <w:color w:val="FFFFFF" w:themeColor="background1"/>
            </w:rPr>
            <w:instrText xml:space="preserve"> PAGE   \* MERGEFORMAT </w:instrText>
          </w:r>
          <w:r w:rsidRPr="00445C8D">
            <w:rPr>
              <w:rFonts w:asciiTheme="minorHAnsi" w:hAnsiTheme="minorHAnsi" w:cstheme="minorHAnsi"/>
              <w:b/>
              <w:bCs/>
              <w:color w:val="FFFFFF" w:themeColor="background1"/>
            </w:rPr>
            <w:fldChar w:fldCharType="separate"/>
          </w:r>
          <w:r>
            <w:rPr>
              <w:rFonts w:asciiTheme="minorHAnsi" w:hAnsiTheme="minorHAnsi" w:cstheme="minorHAnsi"/>
              <w:b/>
              <w:bCs/>
              <w:noProof/>
              <w:color w:val="FFFFFF" w:themeColor="background1"/>
            </w:rPr>
            <w:t>2</w:t>
          </w:r>
          <w:r w:rsidRPr="00445C8D">
            <w:rPr>
              <w:rFonts w:asciiTheme="minorHAnsi" w:hAnsiTheme="minorHAnsi" w:cstheme="minorHAnsi"/>
              <w:b/>
              <w:bCs/>
              <w:color w:val="FFFFFF" w:themeColor="background1"/>
            </w:rPr>
            <w:fldChar w:fldCharType="end"/>
          </w:r>
        </w:p>
      </w:tc>
    </w:tr>
  </w:tbl>
  <w:p w14:paraId="003894AC" w14:textId="2D528E03" w:rsidR="00EB6B73" w:rsidRPr="00EB6B73" w:rsidRDefault="00EB6B73" w:rsidP="00D8645F">
    <w:pPr>
      <w:pStyle w:val="Footer"/>
      <w:rPr>
        <w:rFonts w:ascii="Calibri" w:hAnsi="Calibri" w:cs="Calibri"/>
        <w:b/>
        <w:bCs/>
        <w:color w:val="365F91"/>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82" w:type="pct"/>
      <w:tblInd w:w="-426" w:type="dxa"/>
      <w:tblCellMar>
        <w:top w:w="72" w:type="dxa"/>
        <w:left w:w="115" w:type="dxa"/>
        <w:bottom w:w="72" w:type="dxa"/>
        <w:right w:w="115" w:type="dxa"/>
      </w:tblCellMar>
      <w:tblLook w:val="04A0" w:firstRow="1" w:lastRow="0" w:firstColumn="1" w:lastColumn="0" w:noHBand="0" w:noVBand="1"/>
    </w:tblPr>
    <w:tblGrid>
      <w:gridCol w:w="9682"/>
      <w:gridCol w:w="4922"/>
      <w:gridCol w:w="788"/>
    </w:tblGrid>
    <w:tr w:rsidR="008E7C41" w14:paraId="4F7F9341" w14:textId="77777777" w:rsidTr="00DA052A">
      <w:trPr>
        <w:trHeight w:val="342"/>
      </w:trPr>
      <w:tc>
        <w:tcPr>
          <w:tcW w:w="3145" w:type="pct"/>
          <w:vAlign w:val="center"/>
          <w:hideMark/>
        </w:tcPr>
        <w:p w14:paraId="08E29EDB" w14:textId="77777777" w:rsidR="008E7C41" w:rsidRPr="00EB6B73" w:rsidRDefault="008E7C41" w:rsidP="00C0496C">
          <w:pPr>
            <w:pStyle w:val="Footer"/>
            <w:jc w:val="left"/>
            <w:rPr>
              <w:rFonts w:ascii="Calibri" w:hAnsi="Calibri" w:cs="Calibri"/>
              <w:b/>
              <w:bCs/>
              <w:color w:val="365F91"/>
              <w:szCs w:val="22"/>
              <w:lang w:val="en-GB"/>
            </w:rPr>
          </w:pPr>
          <w:r>
            <w:rPr>
              <w:rFonts w:cs="Arial"/>
              <w:b/>
              <w:bCs/>
              <w:noProof/>
              <w:color w:val="FFFFFF" w:themeColor="background1"/>
              <w:lang w:val="en-GB" w:eastAsia="en-GB"/>
            </w:rPr>
            <w:drawing>
              <wp:anchor distT="0" distB="0" distL="114300" distR="114300" simplePos="0" relativeHeight="251660291" behindDoc="0" locked="0" layoutInCell="1" allowOverlap="1" wp14:anchorId="1590CCC1" wp14:editId="6F0BC0FB">
                <wp:simplePos x="0" y="0"/>
                <wp:positionH relativeFrom="column">
                  <wp:posOffset>-78740</wp:posOffset>
                </wp:positionH>
                <wp:positionV relativeFrom="paragraph">
                  <wp:posOffset>137795</wp:posOffset>
                </wp:positionV>
                <wp:extent cx="558165" cy="238125"/>
                <wp:effectExtent l="0" t="0" r="0" b="9525"/>
                <wp:wrapSquare wrapText="bothSides"/>
                <wp:docPr id="731502523" name="Picture 731502523"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26950" name="Picture 237726950" descr="A red and blu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 cy="238125"/>
                        </a:xfrm>
                        <a:prstGeom prst="rect">
                          <a:avLst/>
                        </a:prstGeom>
                      </pic:spPr>
                    </pic:pic>
                  </a:graphicData>
                </a:graphic>
                <wp14:sizeRelH relativeFrom="margin">
                  <wp14:pctWidth>0</wp14:pctWidth>
                </wp14:sizeRelH>
                <wp14:sizeRelV relativeFrom="margin">
                  <wp14:pctHeight>0</wp14:pctHeight>
                </wp14:sizeRelV>
              </wp:anchor>
            </w:drawing>
          </w:r>
        </w:p>
      </w:tc>
      <w:tc>
        <w:tcPr>
          <w:tcW w:w="1599" w:type="pct"/>
        </w:tcPr>
        <w:p w14:paraId="78F4F526" w14:textId="77777777" w:rsidR="008E7C41" w:rsidRPr="006A4D62" w:rsidRDefault="008E7C41" w:rsidP="00C0496C">
          <w:pPr>
            <w:pStyle w:val="Footer"/>
            <w:jc w:val="center"/>
            <w:rPr>
              <w:rFonts w:cs="Arial"/>
              <w:b/>
              <w:bCs/>
              <w:color w:val="FFFFFF" w:themeColor="background1"/>
            </w:rPr>
          </w:pPr>
        </w:p>
      </w:tc>
      <w:tc>
        <w:tcPr>
          <w:tcW w:w="256" w:type="pct"/>
          <w:shd w:val="clear" w:color="auto" w:fill="163D82"/>
          <w:vAlign w:val="center"/>
          <w:hideMark/>
        </w:tcPr>
        <w:p w14:paraId="686D987B" w14:textId="77777777" w:rsidR="008E7C41" w:rsidRPr="00445C8D" w:rsidRDefault="008E7C41" w:rsidP="00C0496C">
          <w:pPr>
            <w:pStyle w:val="Footer"/>
            <w:jc w:val="center"/>
            <w:rPr>
              <w:rFonts w:asciiTheme="minorHAnsi" w:hAnsiTheme="minorHAnsi" w:cstheme="minorHAnsi"/>
              <w:b/>
              <w:bCs/>
              <w:color w:val="FF0000"/>
            </w:rPr>
          </w:pPr>
          <w:r w:rsidRPr="00445C8D">
            <w:rPr>
              <w:rFonts w:asciiTheme="minorHAnsi" w:hAnsiTheme="minorHAnsi" w:cstheme="minorHAnsi"/>
              <w:b/>
              <w:bCs/>
              <w:color w:val="FFFFFF" w:themeColor="background1"/>
            </w:rPr>
            <w:fldChar w:fldCharType="begin"/>
          </w:r>
          <w:r w:rsidRPr="00445C8D">
            <w:rPr>
              <w:rFonts w:asciiTheme="minorHAnsi" w:hAnsiTheme="minorHAnsi" w:cstheme="minorHAnsi"/>
              <w:b/>
              <w:bCs/>
              <w:color w:val="FFFFFF" w:themeColor="background1"/>
            </w:rPr>
            <w:instrText xml:space="preserve"> PAGE   \* MERGEFORMAT </w:instrText>
          </w:r>
          <w:r w:rsidRPr="00445C8D">
            <w:rPr>
              <w:rFonts w:asciiTheme="minorHAnsi" w:hAnsiTheme="minorHAnsi" w:cstheme="minorHAnsi"/>
              <w:b/>
              <w:bCs/>
              <w:color w:val="FFFFFF" w:themeColor="background1"/>
            </w:rPr>
            <w:fldChar w:fldCharType="separate"/>
          </w:r>
          <w:r>
            <w:rPr>
              <w:rFonts w:asciiTheme="minorHAnsi" w:hAnsiTheme="minorHAnsi" w:cstheme="minorHAnsi"/>
              <w:b/>
              <w:bCs/>
              <w:noProof/>
              <w:color w:val="FFFFFF" w:themeColor="background1"/>
            </w:rPr>
            <w:t>2</w:t>
          </w:r>
          <w:r w:rsidRPr="00445C8D">
            <w:rPr>
              <w:rFonts w:asciiTheme="minorHAnsi" w:hAnsiTheme="minorHAnsi" w:cstheme="minorHAnsi"/>
              <w:b/>
              <w:bCs/>
              <w:color w:val="FFFFFF" w:themeColor="background1"/>
            </w:rPr>
            <w:fldChar w:fldCharType="end"/>
          </w:r>
        </w:p>
      </w:tc>
    </w:tr>
  </w:tbl>
  <w:p w14:paraId="6C410605" w14:textId="77777777" w:rsidR="008E7C41" w:rsidRPr="00EB6B73" w:rsidRDefault="008E7C41" w:rsidP="00D8645F">
    <w:pPr>
      <w:pStyle w:val="Footer"/>
      <w:rPr>
        <w:rFonts w:ascii="Calibri" w:hAnsi="Calibri" w:cs="Calibri"/>
        <w:b/>
        <w:bCs/>
        <w:color w:val="365F91"/>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82" w:type="pct"/>
      <w:tblInd w:w="-426" w:type="dxa"/>
      <w:tblCellMar>
        <w:top w:w="72" w:type="dxa"/>
        <w:left w:w="115" w:type="dxa"/>
        <w:bottom w:w="72" w:type="dxa"/>
        <w:right w:w="115" w:type="dxa"/>
      </w:tblCellMar>
      <w:tblLook w:val="04A0" w:firstRow="1" w:lastRow="0" w:firstColumn="1" w:lastColumn="0" w:noHBand="0" w:noVBand="1"/>
    </w:tblPr>
    <w:tblGrid>
      <w:gridCol w:w="9682"/>
      <w:gridCol w:w="4922"/>
      <w:gridCol w:w="788"/>
    </w:tblGrid>
    <w:tr w:rsidR="008E7C41" w14:paraId="2FBC7B27" w14:textId="77777777" w:rsidTr="00DA052A">
      <w:trPr>
        <w:trHeight w:val="342"/>
      </w:trPr>
      <w:tc>
        <w:tcPr>
          <w:tcW w:w="3145" w:type="pct"/>
          <w:vAlign w:val="center"/>
          <w:hideMark/>
        </w:tcPr>
        <w:p w14:paraId="303BBC0C" w14:textId="77777777" w:rsidR="008E7C41" w:rsidRPr="00EB6B73" w:rsidRDefault="008E7C41" w:rsidP="00C0496C">
          <w:pPr>
            <w:pStyle w:val="Footer"/>
            <w:jc w:val="left"/>
            <w:rPr>
              <w:rFonts w:ascii="Calibri" w:hAnsi="Calibri" w:cs="Calibri"/>
              <w:b/>
              <w:bCs/>
              <w:color w:val="365F91"/>
              <w:szCs w:val="22"/>
              <w:lang w:val="en-GB"/>
            </w:rPr>
          </w:pPr>
          <w:r>
            <w:rPr>
              <w:rFonts w:cs="Arial"/>
              <w:b/>
              <w:bCs/>
              <w:noProof/>
              <w:color w:val="FFFFFF" w:themeColor="background1"/>
              <w:lang w:val="en-GB" w:eastAsia="en-GB"/>
            </w:rPr>
            <w:drawing>
              <wp:anchor distT="0" distB="0" distL="114300" distR="114300" simplePos="0" relativeHeight="251664387" behindDoc="0" locked="0" layoutInCell="1" allowOverlap="1" wp14:anchorId="1E9C3510" wp14:editId="69AC7629">
                <wp:simplePos x="0" y="0"/>
                <wp:positionH relativeFrom="column">
                  <wp:posOffset>-78740</wp:posOffset>
                </wp:positionH>
                <wp:positionV relativeFrom="paragraph">
                  <wp:posOffset>137795</wp:posOffset>
                </wp:positionV>
                <wp:extent cx="558165" cy="238125"/>
                <wp:effectExtent l="0" t="0" r="0" b="9525"/>
                <wp:wrapSquare wrapText="bothSides"/>
                <wp:docPr id="2132725162" name="Picture 2132725162"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26950" name="Picture 237726950" descr="A red and blu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 cy="238125"/>
                        </a:xfrm>
                        <a:prstGeom prst="rect">
                          <a:avLst/>
                        </a:prstGeom>
                      </pic:spPr>
                    </pic:pic>
                  </a:graphicData>
                </a:graphic>
                <wp14:sizeRelH relativeFrom="margin">
                  <wp14:pctWidth>0</wp14:pctWidth>
                </wp14:sizeRelH>
                <wp14:sizeRelV relativeFrom="margin">
                  <wp14:pctHeight>0</wp14:pctHeight>
                </wp14:sizeRelV>
              </wp:anchor>
            </w:drawing>
          </w:r>
        </w:p>
      </w:tc>
      <w:tc>
        <w:tcPr>
          <w:tcW w:w="1599" w:type="pct"/>
        </w:tcPr>
        <w:p w14:paraId="7EA9DCD7" w14:textId="77777777" w:rsidR="008E7C41" w:rsidRPr="006A4D62" w:rsidRDefault="008E7C41" w:rsidP="00C0496C">
          <w:pPr>
            <w:pStyle w:val="Footer"/>
            <w:jc w:val="center"/>
            <w:rPr>
              <w:rFonts w:cs="Arial"/>
              <w:b/>
              <w:bCs/>
              <w:color w:val="FFFFFF" w:themeColor="background1"/>
            </w:rPr>
          </w:pPr>
        </w:p>
      </w:tc>
      <w:tc>
        <w:tcPr>
          <w:tcW w:w="256" w:type="pct"/>
          <w:shd w:val="clear" w:color="auto" w:fill="163D82"/>
          <w:vAlign w:val="center"/>
          <w:hideMark/>
        </w:tcPr>
        <w:p w14:paraId="558A250E" w14:textId="77777777" w:rsidR="008E7C41" w:rsidRPr="00445C8D" w:rsidRDefault="008E7C41" w:rsidP="00C0496C">
          <w:pPr>
            <w:pStyle w:val="Footer"/>
            <w:jc w:val="center"/>
            <w:rPr>
              <w:rFonts w:asciiTheme="minorHAnsi" w:hAnsiTheme="minorHAnsi" w:cstheme="minorHAnsi"/>
              <w:b/>
              <w:bCs/>
              <w:color w:val="FF0000"/>
            </w:rPr>
          </w:pPr>
          <w:r w:rsidRPr="00445C8D">
            <w:rPr>
              <w:rFonts w:asciiTheme="minorHAnsi" w:hAnsiTheme="minorHAnsi" w:cstheme="minorHAnsi"/>
              <w:b/>
              <w:bCs/>
              <w:color w:val="FFFFFF" w:themeColor="background1"/>
            </w:rPr>
            <w:fldChar w:fldCharType="begin"/>
          </w:r>
          <w:r w:rsidRPr="00445C8D">
            <w:rPr>
              <w:rFonts w:asciiTheme="minorHAnsi" w:hAnsiTheme="minorHAnsi" w:cstheme="minorHAnsi"/>
              <w:b/>
              <w:bCs/>
              <w:color w:val="FFFFFF" w:themeColor="background1"/>
            </w:rPr>
            <w:instrText xml:space="preserve"> PAGE   \* MERGEFORMAT </w:instrText>
          </w:r>
          <w:r w:rsidRPr="00445C8D">
            <w:rPr>
              <w:rFonts w:asciiTheme="minorHAnsi" w:hAnsiTheme="minorHAnsi" w:cstheme="minorHAnsi"/>
              <w:b/>
              <w:bCs/>
              <w:color w:val="FFFFFF" w:themeColor="background1"/>
            </w:rPr>
            <w:fldChar w:fldCharType="separate"/>
          </w:r>
          <w:r>
            <w:rPr>
              <w:rFonts w:asciiTheme="minorHAnsi" w:hAnsiTheme="minorHAnsi" w:cstheme="minorHAnsi"/>
              <w:b/>
              <w:bCs/>
              <w:noProof/>
              <w:color w:val="FFFFFF" w:themeColor="background1"/>
            </w:rPr>
            <w:t>2</w:t>
          </w:r>
          <w:r w:rsidRPr="00445C8D">
            <w:rPr>
              <w:rFonts w:asciiTheme="minorHAnsi" w:hAnsiTheme="minorHAnsi" w:cstheme="minorHAnsi"/>
              <w:b/>
              <w:bCs/>
              <w:color w:val="FFFFFF" w:themeColor="background1"/>
            </w:rPr>
            <w:fldChar w:fldCharType="end"/>
          </w:r>
        </w:p>
      </w:tc>
    </w:tr>
  </w:tbl>
  <w:p w14:paraId="6CCD64AD" w14:textId="77777777" w:rsidR="008E7C41" w:rsidRPr="00EB6B73" w:rsidRDefault="008E7C41" w:rsidP="00D8645F">
    <w:pPr>
      <w:pStyle w:val="Footer"/>
      <w:rPr>
        <w:rFonts w:ascii="Calibri" w:hAnsi="Calibri" w:cs="Calibri"/>
        <w:b/>
        <w:bCs/>
        <w:color w:val="365F91"/>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82" w:type="pct"/>
      <w:tblInd w:w="-426" w:type="dxa"/>
      <w:tblCellMar>
        <w:top w:w="72" w:type="dxa"/>
        <w:left w:w="115" w:type="dxa"/>
        <w:bottom w:w="72" w:type="dxa"/>
        <w:right w:w="115" w:type="dxa"/>
      </w:tblCellMar>
      <w:tblLook w:val="04A0" w:firstRow="1" w:lastRow="0" w:firstColumn="1" w:lastColumn="0" w:noHBand="0" w:noVBand="1"/>
    </w:tblPr>
    <w:tblGrid>
      <w:gridCol w:w="9682"/>
      <w:gridCol w:w="4922"/>
      <w:gridCol w:w="788"/>
    </w:tblGrid>
    <w:tr w:rsidR="008E7C41" w14:paraId="109D85BD" w14:textId="77777777" w:rsidTr="00DA052A">
      <w:trPr>
        <w:trHeight w:val="342"/>
      </w:trPr>
      <w:tc>
        <w:tcPr>
          <w:tcW w:w="3145" w:type="pct"/>
          <w:vAlign w:val="center"/>
          <w:hideMark/>
        </w:tcPr>
        <w:p w14:paraId="0654B09A" w14:textId="77777777" w:rsidR="008E7C41" w:rsidRPr="00EB6B73" w:rsidRDefault="008E7C41" w:rsidP="00C0496C">
          <w:pPr>
            <w:pStyle w:val="Footer"/>
            <w:jc w:val="left"/>
            <w:rPr>
              <w:rFonts w:ascii="Calibri" w:hAnsi="Calibri" w:cs="Calibri"/>
              <w:b/>
              <w:bCs/>
              <w:color w:val="365F91"/>
              <w:szCs w:val="22"/>
              <w:lang w:val="en-GB"/>
            </w:rPr>
          </w:pPr>
          <w:r>
            <w:rPr>
              <w:rFonts w:cs="Arial"/>
              <w:b/>
              <w:bCs/>
              <w:noProof/>
              <w:color w:val="FFFFFF" w:themeColor="background1"/>
              <w:lang w:val="en-GB" w:eastAsia="en-GB"/>
            </w:rPr>
            <w:drawing>
              <wp:anchor distT="0" distB="0" distL="114300" distR="114300" simplePos="0" relativeHeight="251662339" behindDoc="0" locked="0" layoutInCell="1" allowOverlap="1" wp14:anchorId="21F808AC" wp14:editId="43717E0F">
                <wp:simplePos x="0" y="0"/>
                <wp:positionH relativeFrom="column">
                  <wp:posOffset>-78740</wp:posOffset>
                </wp:positionH>
                <wp:positionV relativeFrom="paragraph">
                  <wp:posOffset>137795</wp:posOffset>
                </wp:positionV>
                <wp:extent cx="558165" cy="238125"/>
                <wp:effectExtent l="0" t="0" r="0" b="9525"/>
                <wp:wrapSquare wrapText="bothSides"/>
                <wp:docPr id="688039842" name="Picture 688039842"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26950" name="Picture 237726950" descr="A red and blu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65" cy="238125"/>
                        </a:xfrm>
                        <a:prstGeom prst="rect">
                          <a:avLst/>
                        </a:prstGeom>
                      </pic:spPr>
                    </pic:pic>
                  </a:graphicData>
                </a:graphic>
                <wp14:sizeRelH relativeFrom="margin">
                  <wp14:pctWidth>0</wp14:pctWidth>
                </wp14:sizeRelH>
                <wp14:sizeRelV relativeFrom="margin">
                  <wp14:pctHeight>0</wp14:pctHeight>
                </wp14:sizeRelV>
              </wp:anchor>
            </w:drawing>
          </w:r>
        </w:p>
      </w:tc>
      <w:tc>
        <w:tcPr>
          <w:tcW w:w="1599" w:type="pct"/>
        </w:tcPr>
        <w:p w14:paraId="7A07C056" w14:textId="77777777" w:rsidR="008E7C41" w:rsidRPr="006A4D62" w:rsidRDefault="008E7C41" w:rsidP="00C0496C">
          <w:pPr>
            <w:pStyle w:val="Footer"/>
            <w:jc w:val="center"/>
            <w:rPr>
              <w:rFonts w:cs="Arial"/>
              <w:b/>
              <w:bCs/>
              <w:color w:val="FFFFFF" w:themeColor="background1"/>
            </w:rPr>
          </w:pPr>
        </w:p>
      </w:tc>
      <w:tc>
        <w:tcPr>
          <w:tcW w:w="256" w:type="pct"/>
          <w:shd w:val="clear" w:color="auto" w:fill="163D82"/>
          <w:vAlign w:val="center"/>
          <w:hideMark/>
        </w:tcPr>
        <w:p w14:paraId="166A8C85" w14:textId="77777777" w:rsidR="008E7C41" w:rsidRPr="00445C8D" w:rsidRDefault="008E7C41" w:rsidP="00C0496C">
          <w:pPr>
            <w:pStyle w:val="Footer"/>
            <w:jc w:val="center"/>
            <w:rPr>
              <w:rFonts w:asciiTheme="minorHAnsi" w:hAnsiTheme="minorHAnsi" w:cstheme="minorHAnsi"/>
              <w:b/>
              <w:bCs/>
              <w:color w:val="FF0000"/>
            </w:rPr>
          </w:pPr>
          <w:r w:rsidRPr="00445C8D">
            <w:rPr>
              <w:rFonts w:asciiTheme="minorHAnsi" w:hAnsiTheme="minorHAnsi" w:cstheme="minorHAnsi"/>
              <w:b/>
              <w:bCs/>
              <w:color w:val="FFFFFF" w:themeColor="background1"/>
            </w:rPr>
            <w:fldChar w:fldCharType="begin"/>
          </w:r>
          <w:r w:rsidRPr="00445C8D">
            <w:rPr>
              <w:rFonts w:asciiTheme="minorHAnsi" w:hAnsiTheme="minorHAnsi" w:cstheme="minorHAnsi"/>
              <w:b/>
              <w:bCs/>
              <w:color w:val="FFFFFF" w:themeColor="background1"/>
            </w:rPr>
            <w:instrText xml:space="preserve"> PAGE   \* MERGEFORMAT </w:instrText>
          </w:r>
          <w:r w:rsidRPr="00445C8D">
            <w:rPr>
              <w:rFonts w:asciiTheme="minorHAnsi" w:hAnsiTheme="minorHAnsi" w:cstheme="minorHAnsi"/>
              <w:b/>
              <w:bCs/>
              <w:color w:val="FFFFFF" w:themeColor="background1"/>
            </w:rPr>
            <w:fldChar w:fldCharType="separate"/>
          </w:r>
          <w:r>
            <w:rPr>
              <w:rFonts w:asciiTheme="minorHAnsi" w:hAnsiTheme="minorHAnsi" w:cstheme="minorHAnsi"/>
              <w:b/>
              <w:bCs/>
              <w:noProof/>
              <w:color w:val="FFFFFF" w:themeColor="background1"/>
            </w:rPr>
            <w:t>2</w:t>
          </w:r>
          <w:r w:rsidRPr="00445C8D">
            <w:rPr>
              <w:rFonts w:asciiTheme="minorHAnsi" w:hAnsiTheme="minorHAnsi" w:cstheme="minorHAnsi"/>
              <w:b/>
              <w:bCs/>
              <w:color w:val="FFFFFF" w:themeColor="background1"/>
            </w:rPr>
            <w:fldChar w:fldCharType="end"/>
          </w:r>
        </w:p>
      </w:tc>
    </w:tr>
  </w:tbl>
  <w:p w14:paraId="062058B7" w14:textId="77777777" w:rsidR="008E7C41" w:rsidRPr="00EB6B73" w:rsidRDefault="008E7C41" w:rsidP="00D8645F">
    <w:pPr>
      <w:pStyle w:val="Footer"/>
      <w:rPr>
        <w:rFonts w:ascii="Calibri" w:hAnsi="Calibri" w:cs="Calibri"/>
        <w:b/>
        <w:bCs/>
        <w:color w:val="365F91"/>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72293" w14:textId="77777777" w:rsidR="00DD468D" w:rsidRDefault="00DD468D">
      <w:r>
        <w:separator/>
      </w:r>
    </w:p>
  </w:footnote>
  <w:footnote w:type="continuationSeparator" w:id="0">
    <w:p w14:paraId="5CC5BAE6" w14:textId="77777777" w:rsidR="00DD468D" w:rsidRDefault="00DD468D">
      <w:r>
        <w:continuationSeparator/>
      </w:r>
    </w:p>
  </w:footnote>
  <w:footnote w:type="continuationNotice" w:id="1">
    <w:p w14:paraId="1B7E645D" w14:textId="77777777" w:rsidR="00DD468D" w:rsidRDefault="00DD46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02BC4" w14:textId="27A0D47B" w:rsidR="00EB6B73" w:rsidRDefault="00EB6B73" w:rsidP="00C7599F">
    <w:pPr>
      <w:pStyle w:val="Header"/>
      <w:jc w:val="left"/>
    </w:pPr>
    <w:r w:rsidRPr="00A073B4">
      <w:rPr>
        <w:noProof/>
        <w:color w:val="FFFFFF" w:themeColor="background1"/>
        <w:sz w:val="16"/>
        <w:szCs w:val="14"/>
      </w:rPr>
      <mc:AlternateContent>
        <mc:Choice Requires="wps">
          <w:drawing>
            <wp:anchor distT="0" distB="0" distL="114300" distR="114300" simplePos="0" relativeHeight="251658241" behindDoc="0" locked="0" layoutInCell="1" allowOverlap="1" wp14:anchorId="200BD26D" wp14:editId="16C5597D">
              <wp:simplePos x="0" y="0"/>
              <wp:positionH relativeFrom="page">
                <wp:align>right</wp:align>
              </wp:positionH>
              <wp:positionV relativeFrom="paragraph">
                <wp:posOffset>-452755</wp:posOffset>
              </wp:positionV>
              <wp:extent cx="3444240" cy="9824085"/>
              <wp:effectExtent l="0" t="0" r="3810" b="5715"/>
              <wp:wrapNone/>
              <wp:docPr id="990992190" name="Triangle"/>
              <wp:cNvGraphicFramePr/>
              <a:graphic xmlns:a="http://schemas.openxmlformats.org/drawingml/2006/main">
                <a:graphicData uri="http://schemas.microsoft.com/office/word/2010/wordprocessingShape">
                  <wps:wsp>
                    <wps:cNvSpPr/>
                    <wps:spPr>
                      <a:xfrm flipH="1">
                        <a:off x="0" y="0"/>
                        <a:ext cx="3444240" cy="9824085"/>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rgbClr val="50B9A9"/>
                      </a:solidFill>
                      <a:ln w="12700">
                        <a:miter lim="400000"/>
                      </a:ln>
                    </wps:spPr>
                    <wps:bodyPr lIns="38100" tIns="38100" rIns="38100" bIns="3810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9D4E6F" id="Triangle" o:spid="_x0000_s1026" style="position:absolute;margin-left:220pt;margin-top:-35.65pt;width:271.2pt;height:773.55pt;flip:x;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" path="m,21600l21600,10802,,,,21600xe" fillcolor="#50b9a9" stroked="f" strokeweight="1pt">
              <v:stroke miterlimit="4" joinstyle="miter"/>
              <v:path arrowok="t" o:extrusionok="f" o:connecttype="custom" o:connectlocs="1722120,4912043;1722120,4912043;1722120,4912043;1722120,4912043" o:connectangles="0,90,180,270"/>
              <w10:wrap anchorx="page"/>
            </v:shape>
          </w:pict>
        </mc:Fallback>
      </mc:AlternateContent>
    </w:r>
    <w:r w:rsidRPr="00A073B4">
      <w:rPr>
        <w:noProof/>
        <w:color w:val="FFFFFF" w:themeColor="background1"/>
        <w:sz w:val="16"/>
        <w:szCs w:val="14"/>
      </w:rPr>
      <mc:AlternateContent>
        <mc:Choice Requires="wps">
          <w:drawing>
            <wp:anchor distT="0" distB="0" distL="114300" distR="114300" simplePos="0" relativeHeight="251657215" behindDoc="0" locked="0" layoutInCell="1" allowOverlap="1" wp14:anchorId="2BAD0F78" wp14:editId="285D0E14">
              <wp:simplePos x="0" y="0"/>
              <wp:positionH relativeFrom="page">
                <wp:posOffset>7251065</wp:posOffset>
              </wp:positionH>
              <wp:positionV relativeFrom="paragraph">
                <wp:posOffset>-552450</wp:posOffset>
              </wp:positionV>
              <wp:extent cx="3668203" cy="10332011"/>
              <wp:effectExtent l="0" t="0" r="8890" b="0"/>
              <wp:wrapNone/>
              <wp:docPr id="32944910" name="Shape"/>
              <wp:cNvGraphicFramePr/>
              <a:graphic xmlns:a="http://schemas.openxmlformats.org/drawingml/2006/main">
                <a:graphicData uri="http://schemas.microsoft.com/office/word/2010/wordprocessingShape">
                  <wps:wsp>
                    <wps:cNvSpPr/>
                    <wps:spPr>
                      <a:xfrm flipH="1">
                        <a:off x="0" y="0"/>
                        <a:ext cx="3668203" cy="1033201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rgbClr val="163D82"/>
                      </a:solidFill>
                      <a:ln w="12700">
                        <a:miter lim="400000"/>
                      </a:ln>
                    </wps:spPr>
                    <wps:bodyPr lIns="38100" tIns="38100" rIns="38100" bIns="38100" anchor="ctr"/>
                  </wps:wsp>
                </a:graphicData>
              </a:graphic>
              <wp14:sizeRelH relativeFrom="margin">
                <wp14:pctWidth>0</wp14:pctWidth>
              </wp14:sizeRelH>
              <wp14:sizeRelV relativeFrom="margin">
                <wp14:pctHeight>0</wp14:pctHeight>
              </wp14:sizeRelV>
            </wp:anchor>
          </w:drawing>
        </mc:Choice>
        <mc:Fallback>
          <w:pict>
            <v:shape w14:anchorId="2CD21F99" id="Shape" o:spid="_x0000_s1026" style="position:absolute;margin-left:570.95pt;margin-top:-43.5pt;width:288.85pt;height:813.55pt;flip:x;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" path="m,14678r,6922l21600,3032,21600,,17075,,,14678xe" fillcolor="#163d82" stroked="f" strokeweight="1pt">
              <v:stroke miterlimit="4" joinstyle="miter"/>
              <v:path arrowok="t" o:extrusionok="f" o:connecttype="custom" o:connectlocs="1834102,5166006;1834102,5166006;1834102,5166006;1834102,5166006" o:connectangles="0,90,180,270"/>
              <w10:wrap anchorx="page"/>
            </v:shape>
          </w:pict>
        </mc:Fallback>
      </mc:AlternateContent>
    </w:r>
    <w:r w:rsidRPr="00A073B4">
      <w:rPr>
        <w:noProof/>
        <w:color w:val="FFFFFF" w:themeColor="background1"/>
        <w:sz w:val="16"/>
        <w:szCs w:val="14"/>
      </w:rPr>
      <mc:AlternateContent>
        <mc:Choice Requires="wps">
          <w:drawing>
            <wp:anchor distT="0" distB="0" distL="114300" distR="114300" simplePos="0" relativeHeight="251656190" behindDoc="0" locked="0" layoutInCell="1" allowOverlap="1" wp14:anchorId="563546B6" wp14:editId="1EED81D0">
              <wp:simplePos x="0" y="0"/>
              <wp:positionH relativeFrom="margin">
                <wp:posOffset>6297118</wp:posOffset>
              </wp:positionH>
              <wp:positionV relativeFrom="paragraph">
                <wp:posOffset>-358598</wp:posOffset>
              </wp:positionV>
              <wp:extent cx="3019425" cy="8783086"/>
              <wp:effectExtent l="0" t="0" r="9525" b="0"/>
              <wp:wrapNone/>
              <wp:docPr id="465266391" name="Shape"/>
              <wp:cNvGraphicFramePr/>
              <a:graphic xmlns:a="http://schemas.openxmlformats.org/drawingml/2006/main">
                <a:graphicData uri="http://schemas.microsoft.com/office/word/2010/wordprocessingShape">
                  <wps:wsp>
                    <wps:cNvSpPr/>
                    <wps:spPr>
                      <a:xfrm flipH="1">
                        <a:off x="0" y="0"/>
                        <a:ext cx="3019425" cy="8783086"/>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rgbClr val="F2F2F2"/>
                      </a:solidFill>
                      <a:ln w="12700">
                        <a:miter lim="400000"/>
                      </a:ln>
                    </wps:spPr>
                    <wps:bodyPr lIns="38100" tIns="38100" rIns="38100" bIns="38100" anchor="ctr"/>
                  </wps:wsp>
                </a:graphicData>
              </a:graphic>
              <wp14:sizeRelH relativeFrom="margin">
                <wp14:pctWidth>0</wp14:pctWidth>
              </wp14:sizeRelH>
              <wp14:sizeRelV relativeFrom="margin">
                <wp14:pctHeight>0</wp14:pctHeight>
              </wp14:sizeRelV>
            </wp:anchor>
          </w:drawing>
        </mc:Choice>
        <mc:Fallback>
          <w:pict>
            <v:shape w14:anchorId="5E01AACD" id="Shape" o:spid="_x0000_s1026" style="position:absolute;margin-left:495.85pt;margin-top:-28.25pt;width:237.75pt;height:691.6pt;flip:x;z-index:2516561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" path="m,10687l,21600r1769,l21600,6148,13712,,,10687xe" fillcolor="#f2f2f2" stroked="f" strokeweight="1pt">
              <v:stroke miterlimit="4" joinstyle="miter"/>
              <v:path arrowok="t" o:extrusionok="f" o:connecttype="custom" o:connectlocs="1509713,4391543;1509713,4391543;1509713,4391543;1509713,4391543" o:connectangles="0,90,180,270"/>
              <w10:wrap anchorx="margin"/>
            </v:shape>
          </w:pict>
        </mc:Fallback>
      </mc:AlternateContent>
    </w:r>
    <w:r w:rsidR="00C7599F" w:rsidRPr="00A073B4">
      <w:rPr>
        <w:color w:val="FFFFFF" w:themeColor="background1"/>
        <w:sz w:val="16"/>
        <w:szCs w:val="14"/>
      </w:rPr>
      <w:t>ID108 Version 1 20/11/2023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97233" w14:textId="77777777" w:rsidR="00847FAC" w:rsidRDefault="00847FAC" w:rsidP="00A13E6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2BE4" w14:textId="77777777" w:rsidR="008E7C41" w:rsidRDefault="008E7C41" w:rsidP="00A13E6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E5E4" w14:textId="77777777" w:rsidR="008E7C41" w:rsidRDefault="008E7C41" w:rsidP="00A13E6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CB90" w14:textId="3C7434ED" w:rsidR="00767333" w:rsidRDefault="00767333" w:rsidP="00A1425E">
    <w:pPr>
      <w:tabs>
        <w:tab w:val="center" w:pos="4513"/>
        <w:tab w:val="right" w:pos="9026"/>
      </w:tabs>
      <w:spacing w:after="120"/>
      <w:jc w:val="right"/>
      <w:rPr>
        <w:rFonts w:ascii="Times New Roman" w:hAnsi="Times New Roman"/>
        <w:sz w:val="6"/>
        <w:szCs w:val="6"/>
      </w:rPr>
    </w:pPr>
  </w:p>
</w:hdr>
</file>

<file path=word/intelligence2.xml><?xml version="1.0" encoding="utf-8"?>
<int2:intelligence xmlns:int2="http://schemas.microsoft.com/office/intelligence/2020/intelligence" xmlns:oel="http://schemas.microsoft.com/office/2019/extlst">
  <int2:observations>
    <int2:textHash int2:hashCode="XwR/0/h9Nft00x" int2:id="Qirhj9U8">
      <int2:state int2:value="Rejected" int2:type="AugLoop_Text_Critique"/>
    </int2:textHash>
    <int2:textHash int2:hashCode="y5p8PivpRIUkte" int2:id="whoqCZtS">
      <int2:state int2:value="Rejected" int2:type="AugLoop_Text_Critique"/>
    </int2:textHash>
    <int2:bookmark int2:bookmarkName="_Int_H8VJK0ze" int2:invalidationBookmarkName="" int2:hashCode="J+kN+lfDWKz69H" int2:id="fWeBKfpX">
      <int2:state int2:value="Rejected" int2:type="AugLoop_Text_Critique"/>
    </int2:bookmark>
    <int2:bookmark int2:bookmarkName="_Int_ap96KShX" int2:invalidationBookmarkName="" int2:hashCode="0lXQ0GySJQ8tJA" int2:id="g5PnIU3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9227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0E8D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1AB8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D842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164C4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C8F0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F00B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0E77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9AD9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B5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pStyle w:val="Legal1"/>
      <w:lvlText w:val="%1"/>
      <w:lvlJc w:val="left"/>
      <w:pPr>
        <w:tabs>
          <w:tab w:val="num" w:pos="720"/>
        </w:tabs>
        <w:ind w:left="720" w:hanging="720"/>
      </w:pPr>
    </w:lvl>
    <w:lvl w:ilvl="1">
      <w:start w:val="1"/>
      <w:numFmt w:val="decimal"/>
      <w:pStyle w:val="Legal2"/>
      <w:lvlText w:val="%1.%2"/>
      <w:lvlJc w:val="left"/>
      <w:pPr>
        <w:tabs>
          <w:tab w:val="num" w:pos="720"/>
        </w:tabs>
        <w:ind w:left="72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220348D"/>
    <w:multiLevelType w:val="hybridMultilevel"/>
    <w:tmpl w:val="3DC4F3A2"/>
    <w:lvl w:ilvl="0" w:tplc="6FE2A7B0">
      <w:start w:val="1"/>
      <w:numFmt w:val="lowerLetter"/>
      <w:pStyle w:val="abcd"/>
      <w:lvlText w:val="%1."/>
      <w:lvlJc w:val="left"/>
      <w:pPr>
        <w:tabs>
          <w:tab w:val="num" w:pos="1437"/>
        </w:tabs>
        <w:ind w:left="1418" w:hanging="341"/>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0244217A"/>
    <w:multiLevelType w:val="hybridMultilevel"/>
    <w:tmpl w:val="39C213CC"/>
    <w:lvl w:ilvl="0" w:tplc="CFC40ED2">
      <w:start w:val="1"/>
      <w:numFmt w:val="bullet"/>
      <w:lvlText w:val=""/>
      <w:lvlJc w:val="left"/>
      <w:pPr>
        <w:ind w:left="1080" w:hanging="360"/>
      </w:pPr>
      <w:rPr>
        <w:rFonts w:ascii="Symbol" w:hAnsi="Symbol" w:hint="default"/>
        <w:color w:val="C0000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09F2369F"/>
    <w:multiLevelType w:val="singleLevel"/>
    <w:tmpl w:val="6C2C3DEC"/>
    <w:lvl w:ilvl="0">
      <w:start w:val="1"/>
      <w:numFmt w:val="bullet"/>
      <w:pStyle w:val="TenderBulletList"/>
      <w:lvlText w:val=""/>
      <w:lvlJc w:val="left"/>
      <w:pPr>
        <w:tabs>
          <w:tab w:val="num" w:pos="425"/>
        </w:tabs>
        <w:ind w:left="425" w:hanging="425"/>
      </w:pPr>
      <w:rPr>
        <w:rFonts w:ascii="Wingdings" w:hAnsi="Wingdings" w:hint="default"/>
        <w:color w:val="000080"/>
      </w:rPr>
    </w:lvl>
  </w:abstractNum>
  <w:abstractNum w:abstractNumId="14" w15:restartNumberingAfterBreak="0">
    <w:nsid w:val="11CD0A5F"/>
    <w:multiLevelType w:val="hybridMultilevel"/>
    <w:tmpl w:val="D3329BB4"/>
    <w:lvl w:ilvl="0" w:tplc="F6165616">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944334"/>
    <w:multiLevelType w:val="hybridMultilevel"/>
    <w:tmpl w:val="AEE8A2A6"/>
    <w:lvl w:ilvl="0" w:tplc="8ECA6140">
      <w:start w:val="9"/>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7CA6324"/>
    <w:multiLevelType w:val="hybridMultilevel"/>
    <w:tmpl w:val="15FA6270"/>
    <w:lvl w:ilvl="0" w:tplc="785A9CDE">
      <w:start w:val="1"/>
      <w:numFmt w:val="decimal"/>
      <w:pStyle w:val="ESHeading1"/>
      <w:lvlText w:val="%1."/>
      <w:lvlJc w:val="left"/>
      <w:pPr>
        <w:tabs>
          <w:tab w:val="num" w:pos="360"/>
        </w:tabs>
        <w:ind w:left="0" w:firstLine="0"/>
      </w:pPr>
      <w:rPr>
        <w:rFonts w:hint="default"/>
      </w:rPr>
    </w:lvl>
    <w:lvl w:ilvl="1" w:tplc="8EF244CE" w:tentative="1">
      <w:start w:val="1"/>
      <w:numFmt w:val="lowerLetter"/>
      <w:lvlText w:val="%2."/>
      <w:lvlJc w:val="left"/>
      <w:pPr>
        <w:tabs>
          <w:tab w:val="num" w:pos="1440"/>
        </w:tabs>
        <w:ind w:left="1440" w:hanging="360"/>
      </w:pPr>
    </w:lvl>
    <w:lvl w:ilvl="2" w:tplc="EB84AC6C" w:tentative="1">
      <w:start w:val="1"/>
      <w:numFmt w:val="lowerRoman"/>
      <w:lvlText w:val="%3."/>
      <w:lvlJc w:val="right"/>
      <w:pPr>
        <w:tabs>
          <w:tab w:val="num" w:pos="2160"/>
        </w:tabs>
        <w:ind w:left="2160" w:hanging="180"/>
      </w:pPr>
    </w:lvl>
    <w:lvl w:ilvl="3" w:tplc="29FE7F2A" w:tentative="1">
      <w:start w:val="1"/>
      <w:numFmt w:val="decimal"/>
      <w:lvlText w:val="%4."/>
      <w:lvlJc w:val="left"/>
      <w:pPr>
        <w:tabs>
          <w:tab w:val="num" w:pos="2880"/>
        </w:tabs>
        <w:ind w:left="2880" w:hanging="360"/>
      </w:pPr>
    </w:lvl>
    <w:lvl w:ilvl="4" w:tplc="EEE2EAFA" w:tentative="1">
      <w:start w:val="1"/>
      <w:numFmt w:val="lowerLetter"/>
      <w:lvlText w:val="%5."/>
      <w:lvlJc w:val="left"/>
      <w:pPr>
        <w:tabs>
          <w:tab w:val="num" w:pos="3600"/>
        </w:tabs>
        <w:ind w:left="3600" w:hanging="360"/>
      </w:pPr>
    </w:lvl>
    <w:lvl w:ilvl="5" w:tplc="41F25294" w:tentative="1">
      <w:start w:val="1"/>
      <w:numFmt w:val="lowerRoman"/>
      <w:lvlText w:val="%6."/>
      <w:lvlJc w:val="right"/>
      <w:pPr>
        <w:tabs>
          <w:tab w:val="num" w:pos="4320"/>
        </w:tabs>
        <w:ind w:left="4320" w:hanging="180"/>
      </w:pPr>
    </w:lvl>
    <w:lvl w:ilvl="6" w:tplc="8F16E35E" w:tentative="1">
      <w:start w:val="1"/>
      <w:numFmt w:val="decimal"/>
      <w:lvlText w:val="%7."/>
      <w:lvlJc w:val="left"/>
      <w:pPr>
        <w:tabs>
          <w:tab w:val="num" w:pos="5040"/>
        </w:tabs>
        <w:ind w:left="5040" w:hanging="360"/>
      </w:pPr>
    </w:lvl>
    <w:lvl w:ilvl="7" w:tplc="3422511C" w:tentative="1">
      <w:start w:val="1"/>
      <w:numFmt w:val="lowerLetter"/>
      <w:lvlText w:val="%8."/>
      <w:lvlJc w:val="left"/>
      <w:pPr>
        <w:tabs>
          <w:tab w:val="num" w:pos="5760"/>
        </w:tabs>
        <w:ind w:left="5760" w:hanging="360"/>
      </w:pPr>
    </w:lvl>
    <w:lvl w:ilvl="8" w:tplc="F35490BE" w:tentative="1">
      <w:start w:val="1"/>
      <w:numFmt w:val="lowerRoman"/>
      <w:lvlText w:val="%9."/>
      <w:lvlJc w:val="right"/>
      <w:pPr>
        <w:tabs>
          <w:tab w:val="num" w:pos="6480"/>
        </w:tabs>
        <w:ind w:left="6480" w:hanging="180"/>
      </w:pPr>
    </w:lvl>
  </w:abstractNum>
  <w:abstractNum w:abstractNumId="17" w15:restartNumberingAfterBreak="0">
    <w:nsid w:val="1F95415F"/>
    <w:multiLevelType w:val="hybridMultilevel"/>
    <w:tmpl w:val="A34AC8E0"/>
    <w:lvl w:ilvl="0" w:tplc="D32CC860">
      <w:start w:val="1"/>
      <w:numFmt w:val="decimal"/>
      <w:lvlText w:val="%1."/>
      <w:lvlJc w:val="left"/>
      <w:pPr>
        <w:tabs>
          <w:tab w:val="num" w:pos="720"/>
        </w:tabs>
        <w:ind w:left="720" w:hanging="360"/>
      </w:pPr>
    </w:lvl>
    <w:lvl w:ilvl="1" w:tplc="04090019">
      <w:start w:val="3"/>
      <w:numFmt w:val="decimal"/>
      <w:lvlText w:val="%2"/>
      <w:lvlJc w:val="left"/>
      <w:pPr>
        <w:tabs>
          <w:tab w:val="num" w:pos="1440"/>
        </w:tabs>
        <w:ind w:left="1440" w:hanging="360"/>
      </w:pPr>
      <w:rPr>
        <w:rFonts w:hint="default"/>
      </w:rPr>
    </w:lvl>
    <w:lvl w:ilvl="2" w:tplc="0409001B">
      <w:start w:val="1"/>
      <w:numFmt w:val="bullet"/>
      <w:pStyle w:val="Bullet"/>
      <w:lvlText w:val="■"/>
      <w:lvlJc w:val="left"/>
      <w:pPr>
        <w:tabs>
          <w:tab w:val="num" w:pos="2547"/>
        </w:tabs>
        <w:ind w:left="2547" w:hanging="567"/>
      </w:pPr>
      <w:rPr>
        <w:rFonts w:hint="default"/>
        <w:color w:val="FF9900"/>
        <w:sz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A81573E"/>
    <w:multiLevelType w:val="hybridMultilevel"/>
    <w:tmpl w:val="17DA83B4"/>
    <w:lvl w:ilvl="0" w:tplc="4456137A">
      <w:start w:val="1"/>
      <w:numFmt w:val="bullet"/>
      <w:pStyle w:val="ESBullet"/>
      <w:lvlText w:val="■"/>
      <w:lvlJc w:val="left"/>
      <w:pPr>
        <w:tabs>
          <w:tab w:val="num" w:pos="567"/>
        </w:tabs>
        <w:ind w:left="567" w:hanging="567"/>
      </w:pPr>
      <w:rPr>
        <w:rFonts w:hint="default"/>
        <w:color w:val="FF99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AA104B"/>
    <w:multiLevelType w:val="multilevel"/>
    <w:tmpl w:val="0ED44A7A"/>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DE90745"/>
    <w:multiLevelType w:val="multilevel"/>
    <w:tmpl w:val="67849530"/>
    <w:lvl w:ilvl="0">
      <w:start w:val="1"/>
      <w:numFmt w:val="decimal"/>
      <w:lvlText w:val="%1."/>
      <w:lvlJc w:val="left"/>
      <w:pPr>
        <w:tabs>
          <w:tab w:val="num" w:pos="851"/>
        </w:tabs>
        <w:ind w:left="851" w:hanging="851"/>
      </w:pPr>
      <w:rPr>
        <w:rFonts w:hint="default"/>
      </w:rPr>
    </w:lvl>
    <w:lvl w:ilvl="1">
      <w:start w:val="1"/>
      <w:numFmt w:val="decimal"/>
      <w:pStyle w:val="TribalHeading2"/>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03816F1"/>
    <w:multiLevelType w:val="singleLevel"/>
    <w:tmpl w:val="3FB80A68"/>
    <w:lvl w:ilvl="0">
      <w:start w:val="1"/>
      <w:numFmt w:val="bullet"/>
      <w:pStyle w:val="Bullet1"/>
      <w:lvlText w:val=""/>
      <w:lvlJc w:val="left"/>
      <w:pPr>
        <w:tabs>
          <w:tab w:val="num" w:pos="1418"/>
        </w:tabs>
        <w:ind w:left="1418" w:hanging="567"/>
      </w:pPr>
      <w:rPr>
        <w:rFonts w:ascii="Wingdings" w:hAnsi="Wingdings" w:hint="default"/>
        <w:color w:val="003798"/>
        <w:sz w:val="18"/>
        <w:szCs w:val="18"/>
      </w:rPr>
    </w:lvl>
  </w:abstractNum>
  <w:abstractNum w:abstractNumId="22" w15:restartNumberingAfterBreak="0">
    <w:nsid w:val="6F916288"/>
    <w:multiLevelType w:val="hybridMultilevel"/>
    <w:tmpl w:val="00D43D2C"/>
    <w:lvl w:ilvl="0" w:tplc="61F8E6F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71C200E6"/>
    <w:multiLevelType w:val="hybridMultilevel"/>
    <w:tmpl w:val="07DAA11A"/>
    <w:lvl w:ilvl="0" w:tplc="43E628B8">
      <w:start w:val="8"/>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FB0133"/>
    <w:multiLevelType w:val="multilevel"/>
    <w:tmpl w:val="7F22A824"/>
    <w:lvl w:ilvl="0">
      <w:start w:val="1"/>
      <w:numFmt w:val="decimal"/>
      <w:pStyle w:val="Heading2"/>
      <w:lvlText w:val="%1."/>
      <w:lvlJc w:val="left"/>
      <w:pPr>
        <w:tabs>
          <w:tab w:val="num" w:pos="1077"/>
        </w:tabs>
        <w:ind w:left="1077" w:hanging="1077"/>
      </w:pPr>
      <w:rPr>
        <w:rFonts w:ascii="Arial" w:hAnsi="Arial" w:hint="default"/>
        <w:b/>
        <w:i w:val="0"/>
        <w:color w:val="003366"/>
        <w:sz w:val="28"/>
      </w:rPr>
    </w:lvl>
    <w:lvl w:ilvl="1">
      <w:start w:val="1"/>
      <w:numFmt w:val="decimal"/>
      <w:pStyle w:val="Heading4"/>
      <w:lvlText w:val="%1.%2"/>
      <w:lvlJc w:val="left"/>
      <w:pPr>
        <w:tabs>
          <w:tab w:val="num" w:pos="1077"/>
        </w:tabs>
        <w:ind w:left="1077" w:hanging="1077"/>
      </w:pPr>
      <w:rPr>
        <w:rFonts w:ascii="Arial" w:hAnsi="Arial" w:hint="default"/>
        <w:b/>
        <w:i w:val="0"/>
        <w:color w:val="003366"/>
        <w:sz w:val="22"/>
      </w:rPr>
    </w:lvl>
    <w:lvl w:ilvl="2">
      <w:start w:val="1"/>
      <w:numFmt w:val="decimal"/>
      <w:pStyle w:val="BodyText"/>
      <w:lvlText w:val="%1.%2.%3"/>
      <w:lvlJc w:val="left"/>
      <w:pPr>
        <w:tabs>
          <w:tab w:val="num" w:pos="1077"/>
        </w:tabs>
        <w:ind w:left="1077" w:hanging="1077"/>
      </w:pPr>
      <w:rPr>
        <w:rFonts w:ascii="Arial" w:hAnsi="Arial" w:hint="default"/>
        <w:b w:val="0"/>
        <w:i w:val="0"/>
        <w:color w:val="000000"/>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440"/>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80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num w:numId="1" w16cid:durableId="1409838163">
    <w:abstractNumId w:val="24"/>
  </w:num>
  <w:num w:numId="2" w16cid:durableId="727342921">
    <w:abstractNumId w:val="21"/>
  </w:num>
  <w:num w:numId="3" w16cid:durableId="8678070">
    <w:abstractNumId w:val="13"/>
  </w:num>
  <w:num w:numId="4" w16cid:durableId="571283196">
    <w:abstractNumId w:val="17"/>
  </w:num>
  <w:num w:numId="5" w16cid:durableId="818110875">
    <w:abstractNumId w:val="9"/>
  </w:num>
  <w:num w:numId="6" w16cid:durableId="1790707902">
    <w:abstractNumId w:val="7"/>
  </w:num>
  <w:num w:numId="7" w16cid:durableId="211314267">
    <w:abstractNumId w:val="6"/>
  </w:num>
  <w:num w:numId="8" w16cid:durableId="835996903">
    <w:abstractNumId w:val="5"/>
  </w:num>
  <w:num w:numId="9" w16cid:durableId="1843274792">
    <w:abstractNumId w:val="4"/>
  </w:num>
  <w:num w:numId="10" w16cid:durableId="554970492">
    <w:abstractNumId w:val="8"/>
  </w:num>
  <w:num w:numId="11" w16cid:durableId="164783927">
    <w:abstractNumId w:val="3"/>
  </w:num>
  <w:num w:numId="12" w16cid:durableId="1749691196">
    <w:abstractNumId w:val="2"/>
  </w:num>
  <w:num w:numId="13" w16cid:durableId="784159627">
    <w:abstractNumId w:val="1"/>
  </w:num>
  <w:num w:numId="14" w16cid:durableId="1863662416">
    <w:abstractNumId w:val="0"/>
  </w:num>
  <w:num w:numId="15" w16cid:durableId="1986624585">
    <w:abstractNumId w:val="16"/>
  </w:num>
  <w:num w:numId="16" w16cid:durableId="456679206">
    <w:abstractNumId w:val="11"/>
  </w:num>
  <w:num w:numId="17" w16cid:durableId="1883054147">
    <w:abstractNumId w:val="10"/>
    <w:lvlOverride w:ilvl="0">
      <w:startOverride w:val="1"/>
      <w:lvl w:ilvl="0">
        <w:start w:val="1"/>
        <w:numFmt w:val="decimal"/>
        <w:pStyle w:val="Legal1"/>
        <w:lvlText w:val="%1"/>
        <w:lvlJc w:val="left"/>
      </w:lvl>
    </w:lvlOverride>
    <w:lvlOverride w:ilvl="1">
      <w:startOverride w:val="1"/>
      <w:lvl w:ilvl="1">
        <w:start w:val="1"/>
        <w:numFmt w:val="decimal"/>
        <w:pStyle w:val="Legal2"/>
        <w:lvlText w:val="%1.%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8" w16cid:durableId="629632170">
    <w:abstractNumId w:val="18"/>
  </w:num>
  <w:num w:numId="19" w16cid:durableId="1075517475">
    <w:abstractNumId w:val="20"/>
  </w:num>
  <w:num w:numId="20" w16cid:durableId="9381449">
    <w:abstractNumId w:val="19"/>
  </w:num>
  <w:num w:numId="21" w16cid:durableId="100031579">
    <w:abstractNumId w:val="14"/>
  </w:num>
  <w:num w:numId="22" w16cid:durableId="637497305">
    <w:abstractNumId w:val="22"/>
  </w:num>
  <w:num w:numId="23" w16cid:durableId="1786845972">
    <w:abstractNumId w:val="15"/>
  </w:num>
  <w:num w:numId="24" w16cid:durableId="1322200870">
    <w:abstractNumId w:val="23"/>
  </w:num>
  <w:num w:numId="25" w16cid:durableId="50806242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eqrwXOGNWeRLCecboAHd4qJwObGIB3pUyk7iCKUzpM07SrRfx4ayGz1oo/GU1HZKXg3PO/mqLytmmKxpsZ3Ew==" w:salt="n0Mcoelu/o0aXFsdQsPTkA=="/>
  <w:defaultTabStop w:val="720"/>
  <w:drawingGridHorizontalSpacing w:val="110"/>
  <w:displayHorizontalDrawingGridEvery w:val="2"/>
  <w:noPunctuationKerning/>
  <w:characterSpacingControl w:val="doNotCompress"/>
  <w:hdrShapeDefaults>
    <o:shapedefaults v:ext="edit" spidmax="2050" style="mso-position-horizontal-relative:page;mso-position-vertical-relative:page" fill="f" fillcolor="white" stroke="f">
      <v:fill color="white" on="f"/>
      <v:stroke insetpen="t" on="f"/>
      <v:shadow color="#ccc"/>
      <v:textbox style="mso-column-margin:2mm" inset="2.88pt,2.88pt,2.88pt,2.88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0B"/>
    <w:rsid w:val="00001213"/>
    <w:rsid w:val="000019E0"/>
    <w:rsid w:val="00001F34"/>
    <w:rsid w:val="000039CE"/>
    <w:rsid w:val="00007CCD"/>
    <w:rsid w:val="000108E3"/>
    <w:rsid w:val="000136FB"/>
    <w:rsid w:val="0001495E"/>
    <w:rsid w:val="00016180"/>
    <w:rsid w:val="00017DA1"/>
    <w:rsid w:val="00022C78"/>
    <w:rsid w:val="00027234"/>
    <w:rsid w:val="00027825"/>
    <w:rsid w:val="0003251A"/>
    <w:rsid w:val="00034856"/>
    <w:rsid w:val="00035110"/>
    <w:rsid w:val="00036296"/>
    <w:rsid w:val="000377A5"/>
    <w:rsid w:val="00040412"/>
    <w:rsid w:val="000404BC"/>
    <w:rsid w:val="000408AF"/>
    <w:rsid w:val="000412FA"/>
    <w:rsid w:val="0004263A"/>
    <w:rsid w:val="00042677"/>
    <w:rsid w:val="00044747"/>
    <w:rsid w:val="00045DEA"/>
    <w:rsid w:val="0004641F"/>
    <w:rsid w:val="00046DD6"/>
    <w:rsid w:val="00053D2E"/>
    <w:rsid w:val="000561B6"/>
    <w:rsid w:val="00057349"/>
    <w:rsid w:val="00057611"/>
    <w:rsid w:val="00060999"/>
    <w:rsid w:val="00060C23"/>
    <w:rsid w:val="00061CD6"/>
    <w:rsid w:val="000620F0"/>
    <w:rsid w:val="00063A65"/>
    <w:rsid w:val="0006401D"/>
    <w:rsid w:val="000641A7"/>
    <w:rsid w:val="00064D3B"/>
    <w:rsid w:val="00066AFD"/>
    <w:rsid w:val="0007118D"/>
    <w:rsid w:val="000717FC"/>
    <w:rsid w:val="00072574"/>
    <w:rsid w:val="00072D55"/>
    <w:rsid w:val="00072E76"/>
    <w:rsid w:val="0007769C"/>
    <w:rsid w:val="0008119C"/>
    <w:rsid w:val="00081F31"/>
    <w:rsid w:val="00082039"/>
    <w:rsid w:val="000837E7"/>
    <w:rsid w:val="00091779"/>
    <w:rsid w:val="00094A34"/>
    <w:rsid w:val="000963B5"/>
    <w:rsid w:val="00097A78"/>
    <w:rsid w:val="00097CCC"/>
    <w:rsid w:val="00097FBE"/>
    <w:rsid w:val="000A0BBC"/>
    <w:rsid w:val="000A32EB"/>
    <w:rsid w:val="000A4ADD"/>
    <w:rsid w:val="000A542C"/>
    <w:rsid w:val="000A7B2D"/>
    <w:rsid w:val="000A7CEC"/>
    <w:rsid w:val="000B1FB2"/>
    <w:rsid w:val="000B2C25"/>
    <w:rsid w:val="000B2FD8"/>
    <w:rsid w:val="000B369A"/>
    <w:rsid w:val="000B43CC"/>
    <w:rsid w:val="000B5C39"/>
    <w:rsid w:val="000C29ED"/>
    <w:rsid w:val="000C303E"/>
    <w:rsid w:val="000C4779"/>
    <w:rsid w:val="000C59F5"/>
    <w:rsid w:val="000C5ECB"/>
    <w:rsid w:val="000C6F61"/>
    <w:rsid w:val="000C7CF9"/>
    <w:rsid w:val="000D21EA"/>
    <w:rsid w:val="000D299B"/>
    <w:rsid w:val="000D6E92"/>
    <w:rsid w:val="000E0E37"/>
    <w:rsid w:val="000E2CAE"/>
    <w:rsid w:val="000E4400"/>
    <w:rsid w:val="000E4A1D"/>
    <w:rsid w:val="000F04C1"/>
    <w:rsid w:val="000F58C9"/>
    <w:rsid w:val="0010170B"/>
    <w:rsid w:val="0010214A"/>
    <w:rsid w:val="00106A5F"/>
    <w:rsid w:val="00106BE6"/>
    <w:rsid w:val="00113A87"/>
    <w:rsid w:val="00117D71"/>
    <w:rsid w:val="001202BA"/>
    <w:rsid w:val="00121401"/>
    <w:rsid w:val="0012170A"/>
    <w:rsid w:val="001225DC"/>
    <w:rsid w:val="00122C29"/>
    <w:rsid w:val="0012558A"/>
    <w:rsid w:val="001256D7"/>
    <w:rsid w:val="001261DB"/>
    <w:rsid w:val="00127F25"/>
    <w:rsid w:val="00132529"/>
    <w:rsid w:val="00132A0A"/>
    <w:rsid w:val="001354D7"/>
    <w:rsid w:val="00140C02"/>
    <w:rsid w:val="00140FA6"/>
    <w:rsid w:val="00142337"/>
    <w:rsid w:val="00142B6B"/>
    <w:rsid w:val="0014429D"/>
    <w:rsid w:val="00146C4D"/>
    <w:rsid w:val="00150C1C"/>
    <w:rsid w:val="0015799F"/>
    <w:rsid w:val="0016093E"/>
    <w:rsid w:val="00160BC6"/>
    <w:rsid w:val="001649AF"/>
    <w:rsid w:val="00170582"/>
    <w:rsid w:val="001717A2"/>
    <w:rsid w:val="00172CF2"/>
    <w:rsid w:val="001746BD"/>
    <w:rsid w:val="00174F45"/>
    <w:rsid w:val="00176326"/>
    <w:rsid w:val="00176A99"/>
    <w:rsid w:val="00176D8B"/>
    <w:rsid w:val="001774DA"/>
    <w:rsid w:val="00182D34"/>
    <w:rsid w:val="00183548"/>
    <w:rsid w:val="00184279"/>
    <w:rsid w:val="001849E1"/>
    <w:rsid w:val="00185E39"/>
    <w:rsid w:val="00186807"/>
    <w:rsid w:val="001875D1"/>
    <w:rsid w:val="001912D2"/>
    <w:rsid w:val="00191A05"/>
    <w:rsid w:val="00192C0D"/>
    <w:rsid w:val="001934D7"/>
    <w:rsid w:val="0019372B"/>
    <w:rsid w:val="00193CD5"/>
    <w:rsid w:val="00194992"/>
    <w:rsid w:val="00195055"/>
    <w:rsid w:val="00197A62"/>
    <w:rsid w:val="00197A85"/>
    <w:rsid w:val="001A28FD"/>
    <w:rsid w:val="001A2F6A"/>
    <w:rsid w:val="001B3069"/>
    <w:rsid w:val="001B43EC"/>
    <w:rsid w:val="001B578E"/>
    <w:rsid w:val="001B6AC7"/>
    <w:rsid w:val="001B710B"/>
    <w:rsid w:val="001B7E53"/>
    <w:rsid w:val="001C4126"/>
    <w:rsid w:val="001C433B"/>
    <w:rsid w:val="001C7CA4"/>
    <w:rsid w:val="001D4125"/>
    <w:rsid w:val="001D74EB"/>
    <w:rsid w:val="001E076E"/>
    <w:rsid w:val="001E1799"/>
    <w:rsid w:val="001E29ED"/>
    <w:rsid w:val="001F0292"/>
    <w:rsid w:val="001F0F6E"/>
    <w:rsid w:val="001F1517"/>
    <w:rsid w:val="001F1842"/>
    <w:rsid w:val="001F4975"/>
    <w:rsid w:val="001F51B7"/>
    <w:rsid w:val="001F6F22"/>
    <w:rsid w:val="002019CD"/>
    <w:rsid w:val="00202346"/>
    <w:rsid w:val="002029D2"/>
    <w:rsid w:val="00203BF4"/>
    <w:rsid w:val="002040D3"/>
    <w:rsid w:val="00205B23"/>
    <w:rsid w:val="00210330"/>
    <w:rsid w:val="00210EBF"/>
    <w:rsid w:val="00211C36"/>
    <w:rsid w:val="00212313"/>
    <w:rsid w:val="00212488"/>
    <w:rsid w:val="002141A1"/>
    <w:rsid w:val="00217284"/>
    <w:rsid w:val="002179A1"/>
    <w:rsid w:val="00220CCD"/>
    <w:rsid w:val="00221321"/>
    <w:rsid w:val="00222809"/>
    <w:rsid w:val="00226AA8"/>
    <w:rsid w:val="0022706B"/>
    <w:rsid w:val="002304A8"/>
    <w:rsid w:val="00230508"/>
    <w:rsid w:val="00230BA8"/>
    <w:rsid w:val="002323A7"/>
    <w:rsid w:val="00232758"/>
    <w:rsid w:val="00232CD8"/>
    <w:rsid w:val="00236895"/>
    <w:rsid w:val="00237541"/>
    <w:rsid w:val="00237C46"/>
    <w:rsid w:val="00240215"/>
    <w:rsid w:val="00240D19"/>
    <w:rsid w:val="00241052"/>
    <w:rsid w:val="002414A7"/>
    <w:rsid w:val="00241FA3"/>
    <w:rsid w:val="002432D4"/>
    <w:rsid w:val="00243699"/>
    <w:rsid w:val="00245474"/>
    <w:rsid w:val="00246270"/>
    <w:rsid w:val="0025186E"/>
    <w:rsid w:val="00252742"/>
    <w:rsid w:val="002558B2"/>
    <w:rsid w:val="00256E29"/>
    <w:rsid w:val="00257021"/>
    <w:rsid w:val="00257772"/>
    <w:rsid w:val="00264226"/>
    <w:rsid w:val="00264987"/>
    <w:rsid w:val="00264C96"/>
    <w:rsid w:val="00266422"/>
    <w:rsid w:val="0026711F"/>
    <w:rsid w:val="0027061F"/>
    <w:rsid w:val="002729E5"/>
    <w:rsid w:val="0027345B"/>
    <w:rsid w:val="0027547C"/>
    <w:rsid w:val="00275BB7"/>
    <w:rsid w:val="00277EC9"/>
    <w:rsid w:val="00280FC7"/>
    <w:rsid w:val="002817F3"/>
    <w:rsid w:val="00283ED0"/>
    <w:rsid w:val="002853B4"/>
    <w:rsid w:val="00286521"/>
    <w:rsid w:val="002866D7"/>
    <w:rsid w:val="00287E64"/>
    <w:rsid w:val="002906DD"/>
    <w:rsid w:val="002923ED"/>
    <w:rsid w:val="00294804"/>
    <w:rsid w:val="002974C9"/>
    <w:rsid w:val="002A179A"/>
    <w:rsid w:val="002A2AD0"/>
    <w:rsid w:val="002A5315"/>
    <w:rsid w:val="002A5920"/>
    <w:rsid w:val="002A5F61"/>
    <w:rsid w:val="002A6E20"/>
    <w:rsid w:val="002A74CB"/>
    <w:rsid w:val="002A7D25"/>
    <w:rsid w:val="002B2A40"/>
    <w:rsid w:val="002B69E7"/>
    <w:rsid w:val="002C0A12"/>
    <w:rsid w:val="002C0EF5"/>
    <w:rsid w:val="002C230B"/>
    <w:rsid w:val="002C555D"/>
    <w:rsid w:val="002C64ED"/>
    <w:rsid w:val="002C6A1D"/>
    <w:rsid w:val="002D4F0F"/>
    <w:rsid w:val="002D56DB"/>
    <w:rsid w:val="002E32B8"/>
    <w:rsid w:val="002E36C9"/>
    <w:rsid w:val="002E3A30"/>
    <w:rsid w:val="002E66EE"/>
    <w:rsid w:val="002F165F"/>
    <w:rsid w:val="002F1DD7"/>
    <w:rsid w:val="002F2732"/>
    <w:rsid w:val="002F4657"/>
    <w:rsid w:val="002F571C"/>
    <w:rsid w:val="002F6A87"/>
    <w:rsid w:val="002F6F4D"/>
    <w:rsid w:val="00300441"/>
    <w:rsid w:val="00301A34"/>
    <w:rsid w:val="00301BDC"/>
    <w:rsid w:val="003027A6"/>
    <w:rsid w:val="00304890"/>
    <w:rsid w:val="00305926"/>
    <w:rsid w:val="00306620"/>
    <w:rsid w:val="00307294"/>
    <w:rsid w:val="003124D3"/>
    <w:rsid w:val="00315439"/>
    <w:rsid w:val="00317693"/>
    <w:rsid w:val="003209BF"/>
    <w:rsid w:val="00321022"/>
    <w:rsid w:val="0032177A"/>
    <w:rsid w:val="00323C0E"/>
    <w:rsid w:val="00325DEC"/>
    <w:rsid w:val="003262F8"/>
    <w:rsid w:val="003268F0"/>
    <w:rsid w:val="00327463"/>
    <w:rsid w:val="00330E8D"/>
    <w:rsid w:val="00331CBC"/>
    <w:rsid w:val="003344C8"/>
    <w:rsid w:val="00334E35"/>
    <w:rsid w:val="00337116"/>
    <w:rsid w:val="003446CA"/>
    <w:rsid w:val="003447D8"/>
    <w:rsid w:val="00347284"/>
    <w:rsid w:val="003473A3"/>
    <w:rsid w:val="00350858"/>
    <w:rsid w:val="00351065"/>
    <w:rsid w:val="0035107B"/>
    <w:rsid w:val="003517CE"/>
    <w:rsid w:val="0035187F"/>
    <w:rsid w:val="003519D5"/>
    <w:rsid w:val="00351C5A"/>
    <w:rsid w:val="00354084"/>
    <w:rsid w:val="0035556F"/>
    <w:rsid w:val="00357277"/>
    <w:rsid w:val="0036047C"/>
    <w:rsid w:val="00364428"/>
    <w:rsid w:val="00364F30"/>
    <w:rsid w:val="00364F85"/>
    <w:rsid w:val="0036509D"/>
    <w:rsid w:val="00365319"/>
    <w:rsid w:val="00366BB2"/>
    <w:rsid w:val="0037068D"/>
    <w:rsid w:val="00372200"/>
    <w:rsid w:val="003725B2"/>
    <w:rsid w:val="00372CE3"/>
    <w:rsid w:val="00377851"/>
    <w:rsid w:val="0037793A"/>
    <w:rsid w:val="00377DDF"/>
    <w:rsid w:val="00380F72"/>
    <w:rsid w:val="0038208D"/>
    <w:rsid w:val="003821AF"/>
    <w:rsid w:val="003872FA"/>
    <w:rsid w:val="003873A9"/>
    <w:rsid w:val="00387949"/>
    <w:rsid w:val="00391AD8"/>
    <w:rsid w:val="00391F68"/>
    <w:rsid w:val="0039210C"/>
    <w:rsid w:val="00393924"/>
    <w:rsid w:val="00393F98"/>
    <w:rsid w:val="00394528"/>
    <w:rsid w:val="00395652"/>
    <w:rsid w:val="003A13C0"/>
    <w:rsid w:val="003A2ADA"/>
    <w:rsid w:val="003A45C0"/>
    <w:rsid w:val="003A5AB2"/>
    <w:rsid w:val="003A60A4"/>
    <w:rsid w:val="003A799C"/>
    <w:rsid w:val="003B06E0"/>
    <w:rsid w:val="003B2348"/>
    <w:rsid w:val="003B2EB4"/>
    <w:rsid w:val="003B37C2"/>
    <w:rsid w:val="003B45B6"/>
    <w:rsid w:val="003B5477"/>
    <w:rsid w:val="003B7B32"/>
    <w:rsid w:val="003C2B25"/>
    <w:rsid w:val="003C2BCD"/>
    <w:rsid w:val="003D0578"/>
    <w:rsid w:val="003D2184"/>
    <w:rsid w:val="003D41C1"/>
    <w:rsid w:val="003E0B3B"/>
    <w:rsid w:val="003E2C80"/>
    <w:rsid w:val="003E3F38"/>
    <w:rsid w:val="003E4AAD"/>
    <w:rsid w:val="003E5466"/>
    <w:rsid w:val="003F120C"/>
    <w:rsid w:val="003F15D4"/>
    <w:rsid w:val="003F1A05"/>
    <w:rsid w:val="003F3150"/>
    <w:rsid w:val="003F411A"/>
    <w:rsid w:val="003F64BD"/>
    <w:rsid w:val="003F7C71"/>
    <w:rsid w:val="0040090F"/>
    <w:rsid w:val="00400E64"/>
    <w:rsid w:val="00406F13"/>
    <w:rsid w:val="00407280"/>
    <w:rsid w:val="0041060D"/>
    <w:rsid w:val="00415346"/>
    <w:rsid w:val="004229CF"/>
    <w:rsid w:val="0042564E"/>
    <w:rsid w:val="00425A52"/>
    <w:rsid w:val="00425FC2"/>
    <w:rsid w:val="004276BE"/>
    <w:rsid w:val="00430650"/>
    <w:rsid w:val="00432049"/>
    <w:rsid w:val="004324DD"/>
    <w:rsid w:val="00433705"/>
    <w:rsid w:val="004366C0"/>
    <w:rsid w:val="00440723"/>
    <w:rsid w:val="00440DE2"/>
    <w:rsid w:val="004439B7"/>
    <w:rsid w:val="00443AC6"/>
    <w:rsid w:val="00443B16"/>
    <w:rsid w:val="00445C8D"/>
    <w:rsid w:val="004470A8"/>
    <w:rsid w:val="00455072"/>
    <w:rsid w:val="00455F7C"/>
    <w:rsid w:val="00461788"/>
    <w:rsid w:val="00465EF5"/>
    <w:rsid w:val="00466315"/>
    <w:rsid w:val="004670CB"/>
    <w:rsid w:val="004707B4"/>
    <w:rsid w:val="004709E8"/>
    <w:rsid w:val="004734F3"/>
    <w:rsid w:val="00473FF0"/>
    <w:rsid w:val="004741E5"/>
    <w:rsid w:val="00474FE7"/>
    <w:rsid w:val="004752A3"/>
    <w:rsid w:val="004755E3"/>
    <w:rsid w:val="004763E6"/>
    <w:rsid w:val="00477B10"/>
    <w:rsid w:val="004821BA"/>
    <w:rsid w:val="004831D7"/>
    <w:rsid w:val="00485805"/>
    <w:rsid w:val="00487039"/>
    <w:rsid w:val="00490709"/>
    <w:rsid w:val="00490F81"/>
    <w:rsid w:val="004929D1"/>
    <w:rsid w:val="00494226"/>
    <w:rsid w:val="0049433D"/>
    <w:rsid w:val="004952A7"/>
    <w:rsid w:val="004964A7"/>
    <w:rsid w:val="0049711C"/>
    <w:rsid w:val="004971C6"/>
    <w:rsid w:val="004A0946"/>
    <w:rsid w:val="004A10F6"/>
    <w:rsid w:val="004A1316"/>
    <w:rsid w:val="004A1560"/>
    <w:rsid w:val="004A2277"/>
    <w:rsid w:val="004A27D2"/>
    <w:rsid w:val="004A28CF"/>
    <w:rsid w:val="004A4702"/>
    <w:rsid w:val="004A5A83"/>
    <w:rsid w:val="004A6340"/>
    <w:rsid w:val="004B0BB2"/>
    <w:rsid w:val="004B11C7"/>
    <w:rsid w:val="004B2588"/>
    <w:rsid w:val="004B681E"/>
    <w:rsid w:val="004C1F60"/>
    <w:rsid w:val="004C4450"/>
    <w:rsid w:val="004C4517"/>
    <w:rsid w:val="004C551B"/>
    <w:rsid w:val="004C67C0"/>
    <w:rsid w:val="004D28D0"/>
    <w:rsid w:val="004D4768"/>
    <w:rsid w:val="004D7374"/>
    <w:rsid w:val="004E0DED"/>
    <w:rsid w:val="004E12F8"/>
    <w:rsid w:val="004E1F4F"/>
    <w:rsid w:val="004F0BFF"/>
    <w:rsid w:val="004F18DC"/>
    <w:rsid w:val="004F2A90"/>
    <w:rsid w:val="004F2A99"/>
    <w:rsid w:val="004F6ED2"/>
    <w:rsid w:val="0050060D"/>
    <w:rsid w:val="00502BEA"/>
    <w:rsid w:val="005076B3"/>
    <w:rsid w:val="00510B1C"/>
    <w:rsid w:val="00511E0B"/>
    <w:rsid w:val="00512D8D"/>
    <w:rsid w:val="00513358"/>
    <w:rsid w:val="00515649"/>
    <w:rsid w:val="00517A0D"/>
    <w:rsid w:val="005212CA"/>
    <w:rsid w:val="005242A3"/>
    <w:rsid w:val="005251B5"/>
    <w:rsid w:val="00532531"/>
    <w:rsid w:val="00533090"/>
    <w:rsid w:val="00533178"/>
    <w:rsid w:val="00533709"/>
    <w:rsid w:val="00533BCB"/>
    <w:rsid w:val="00534F52"/>
    <w:rsid w:val="00541FA2"/>
    <w:rsid w:val="005421A0"/>
    <w:rsid w:val="00542B97"/>
    <w:rsid w:val="00543465"/>
    <w:rsid w:val="005436B3"/>
    <w:rsid w:val="005464C3"/>
    <w:rsid w:val="005518F8"/>
    <w:rsid w:val="00552075"/>
    <w:rsid w:val="00552ED7"/>
    <w:rsid w:val="0055640A"/>
    <w:rsid w:val="00557DC7"/>
    <w:rsid w:val="005612EA"/>
    <w:rsid w:val="00561469"/>
    <w:rsid w:val="00561AE4"/>
    <w:rsid w:val="00562CDB"/>
    <w:rsid w:val="00563EB1"/>
    <w:rsid w:val="00564F7C"/>
    <w:rsid w:val="00566F7C"/>
    <w:rsid w:val="0057143D"/>
    <w:rsid w:val="00574929"/>
    <w:rsid w:val="00575456"/>
    <w:rsid w:val="00575EA5"/>
    <w:rsid w:val="00575FD7"/>
    <w:rsid w:val="005771FE"/>
    <w:rsid w:val="00577AA0"/>
    <w:rsid w:val="00583145"/>
    <w:rsid w:val="0058413C"/>
    <w:rsid w:val="005850A4"/>
    <w:rsid w:val="00591AFB"/>
    <w:rsid w:val="00593079"/>
    <w:rsid w:val="0059664E"/>
    <w:rsid w:val="00596767"/>
    <w:rsid w:val="00596945"/>
    <w:rsid w:val="005A1B09"/>
    <w:rsid w:val="005A1E49"/>
    <w:rsid w:val="005A1F91"/>
    <w:rsid w:val="005B251D"/>
    <w:rsid w:val="005B2C57"/>
    <w:rsid w:val="005B39DF"/>
    <w:rsid w:val="005B40C7"/>
    <w:rsid w:val="005B444C"/>
    <w:rsid w:val="005B5FDE"/>
    <w:rsid w:val="005B6012"/>
    <w:rsid w:val="005B6BBF"/>
    <w:rsid w:val="005B6F0E"/>
    <w:rsid w:val="005B70A0"/>
    <w:rsid w:val="005C2874"/>
    <w:rsid w:val="005C2909"/>
    <w:rsid w:val="005C5CAB"/>
    <w:rsid w:val="005C6217"/>
    <w:rsid w:val="005C6686"/>
    <w:rsid w:val="005C6D66"/>
    <w:rsid w:val="005C783D"/>
    <w:rsid w:val="005D2FB5"/>
    <w:rsid w:val="005D317E"/>
    <w:rsid w:val="005E4157"/>
    <w:rsid w:val="005E6645"/>
    <w:rsid w:val="005F2A61"/>
    <w:rsid w:val="005F4DC1"/>
    <w:rsid w:val="005F4E6D"/>
    <w:rsid w:val="005F6BE4"/>
    <w:rsid w:val="005F74C1"/>
    <w:rsid w:val="006005AA"/>
    <w:rsid w:val="00600916"/>
    <w:rsid w:val="00600AC1"/>
    <w:rsid w:val="00601040"/>
    <w:rsid w:val="00602BBC"/>
    <w:rsid w:val="00602E68"/>
    <w:rsid w:val="00605166"/>
    <w:rsid w:val="00605844"/>
    <w:rsid w:val="0060765F"/>
    <w:rsid w:val="00611150"/>
    <w:rsid w:val="00611359"/>
    <w:rsid w:val="006113CD"/>
    <w:rsid w:val="00611581"/>
    <w:rsid w:val="00611FBD"/>
    <w:rsid w:val="006130BE"/>
    <w:rsid w:val="0061452A"/>
    <w:rsid w:val="006146DD"/>
    <w:rsid w:val="00615616"/>
    <w:rsid w:val="006158D3"/>
    <w:rsid w:val="0061767C"/>
    <w:rsid w:val="00617932"/>
    <w:rsid w:val="00625BAA"/>
    <w:rsid w:val="00626213"/>
    <w:rsid w:val="00627ABE"/>
    <w:rsid w:val="0062DB24"/>
    <w:rsid w:val="0063209B"/>
    <w:rsid w:val="0063316C"/>
    <w:rsid w:val="00637BA8"/>
    <w:rsid w:val="00642CFB"/>
    <w:rsid w:val="00643DAC"/>
    <w:rsid w:val="00644B57"/>
    <w:rsid w:val="00646113"/>
    <w:rsid w:val="006463EB"/>
    <w:rsid w:val="00647C8E"/>
    <w:rsid w:val="00647D68"/>
    <w:rsid w:val="006534BB"/>
    <w:rsid w:val="0065787B"/>
    <w:rsid w:val="00660592"/>
    <w:rsid w:val="0066157F"/>
    <w:rsid w:val="006623A7"/>
    <w:rsid w:val="00665665"/>
    <w:rsid w:val="00666BCA"/>
    <w:rsid w:val="00673A02"/>
    <w:rsid w:val="00673F0B"/>
    <w:rsid w:val="006752F9"/>
    <w:rsid w:val="00676572"/>
    <w:rsid w:val="006765EA"/>
    <w:rsid w:val="00676D04"/>
    <w:rsid w:val="00677163"/>
    <w:rsid w:val="006808AE"/>
    <w:rsid w:val="00681BD5"/>
    <w:rsid w:val="00682766"/>
    <w:rsid w:val="00683E83"/>
    <w:rsid w:val="00684059"/>
    <w:rsid w:val="00684791"/>
    <w:rsid w:val="00684EA0"/>
    <w:rsid w:val="0068629E"/>
    <w:rsid w:val="00687662"/>
    <w:rsid w:val="0069099E"/>
    <w:rsid w:val="00694B29"/>
    <w:rsid w:val="0069667A"/>
    <w:rsid w:val="006A0AF1"/>
    <w:rsid w:val="006A4D62"/>
    <w:rsid w:val="006A5E9A"/>
    <w:rsid w:val="006A6B5F"/>
    <w:rsid w:val="006B1451"/>
    <w:rsid w:val="006B2FE2"/>
    <w:rsid w:val="006B36FB"/>
    <w:rsid w:val="006B494B"/>
    <w:rsid w:val="006B5BBF"/>
    <w:rsid w:val="006B65D2"/>
    <w:rsid w:val="006C031B"/>
    <w:rsid w:val="006C15E5"/>
    <w:rsid w:val="006C4AB8"/>
    <w:rsid w:val="006C55C2"/>
    <w:rsid w:val="006C5B30"/>
    <w:rsid w:val="006D39EB"/>
    <w:rsid w:val="006D494C"/>
    <w:rsid w:val="006D539B"/>
    <w:rsid w:val="006D59C4"/>
    <w:rsid w:val="006E2C4F"/>
    <w:rsid w:val="006E4566"/>
    <w:rsid w:val="006E6802"/>
    <w:rsid w:val="006F12EF"/>
    <w:rsid w:val="006F1F36"/>
    <w:rsid w:val="006F2AC0"/>
    <w:rsid w:val="006F4025"/>
    <w:rsid w:val="006F4AAF"/>
    <w:rsid w:val="006F5CDD"/>
    <w:rsid w:val="006F73C0"/>
    <w:rsid w:val="006F74AB"/>
    <w:rsid w:val="006F7C99"/>
    <w:rsid w:val="007029B0"/>
    <w:rsid w:val="00703350"/>
    <w:rsid w:val="00705D31"/>
    <w:rsid w:val="00706785"/>
    <w:rsid w:val="00707B33"/>
    <w:rsid w:val="00707FB7"/>
    <w:rsid w:val="00710A18"/>
    <w:rsid w:val="007111E3"/>
    <w:rsid w:val="007124E3"/>
    <w:rsid w:val="00712F99"/>
    <w:rsid w:val="00723BD4"/>
    <w:rsid w:val="00724319"/>
    <w:rsid w:val="00724D05"/>
    <w:rsid w:val="00725A0F"/>
    <w:rsid w:val="00727759"/>
    <w:rsid w:val="0073123B"/>
    <w:rsid w:val="00731B79"/>
    <w:rsid w:val="00732203"/>
    <w:rsid w:val="00732581"/>
    <w:rsid w:val="0073574E"/>
    <w:rsid w:val="007417FE"/>
    <w:rsid w:val="0074339E"/>
    <w:rsid w:val="00743C07"/>
    <w:rsid w:val="00744CC6"/>
    <w:rsid w:val="00746760"/>
    <w:rsid w:val="00754CBD"/>
    <w:rsid w:val="00755D2F"/>
    <w:rsid w:val="00756375"/>
    <w:rsid w:val="00756C89"/>
    <w:rsid w:val="00762D35"/>
    <w:rsid w:val="00764CD2"/>
    <w:rsid w:val="00765973"/>
    <w:rsid w:val="00766509"/>
    <w:rsid w:val="00766BBC"/>
    <w:rsid w:val="00767333"/>
    <w:rsid w:val="00770698"/>
    <w:rsid w:val="00770BA9"/>
    <w:rsid w:val="00770BEC"/>
    <w:rsid w:val="007717E9"/>
    <w:rsid w:val="00771D90"/>
    <w:rsid w:val="00773C30"/>
    <w:rsid w:val="007748F3"/>
    <w:rsid w:val="00775CFC"/>
    <w:rsid w:val="007763F1"/>
    <w:rsid w:val="00780432"/>
    <w:rsid w:val="00780C02"/>
    <w:rsid w:val="007818EC"/>
    <w:rsid w:val="00785DC8"/>
    <w:rsid w:val="00786BB3"/>
    <w:rsid w:val="00787228"/>
    <w:rsid w:val="00787519"/>
    <w:rsid w:val="00792D1B"/>
    <w:rsid w:val="00795573"/>
    <w:rsid w:val="00797169"/>
    <w:rsid w:val="00797AF4"/>
    <w:rsid w:val="007A0926"/>
    <w:rsid w:val="007A428B"/>
    <w:rsid w:val="007A5D95"/>
    <w:rsid w:val="007A627D"/>
    <w:rsid w:val="007B0A2E"/>
    <w:rsid w:val="007B12C4"/>
    <w:rsid w:val="007B4CF2"/>
    <w:rsid w:val="007C246C"/>
    <w:rsid w:val="007C2605"/>
    <w:rsid w:val="007C4A4E"/>
    <w:rsid w:val="007C5807"/>
    <w:rsid w:val="007C6376"/>
    <w:rsid w:val="007C6B43"/>
    <w:rsid w:val="007C778A"/>
    <w:rsid w:val="007D02A3"/>
    <w:rsid w:val="007D046B"/>
    <w:rsid w:val="007D2F9D"/>
    <w:rsid w:val="007D3662"/>
    <w:rsid w:val="007D3B42"/>
    <w:rsid w:val="007D5C54"/>
    <w:rsid w:val="007E17F7"/>
    <w:rsid w:val="007E1EEB"/>
    <w:rsid w:val="007E441C"/>
    <w:rsid w:val="007E4F5D"/>
    <w:rsid w:val="007E70C9"/>
    <w:rsid w:val="007E7377"/>
    <w:rsid w:val="007F0052"/>
    <w:rsid w:val="007F249A"/>
    <w:rsid w:val="007F543D"/>
    <w:rsid w:val="007F5658"/>
    <w:rsid w:val="007F6DFF"/>
    <w:rsid w:val="00800ADC"/>
    <w:rsid w:val="00801B39"/>
    <w:rsid w:val="00803C67"/>
    <w:rsid w:val="0080490E"/>
    <w:rsid w:val="00805056"/>
    <w:rsid w:val="00811193"/>
    <w:rsid w:val="0081126D"/>
    <w:rsid w:val="0081171C"/>
    <w:rsid w:val="00813772"/>
    <w:rsid w:val="008164F9"/>
    <w:rsid w:val="008173BD"/>
    <w:rsid w:val="00821EB2"/>
    <w:rsid w:val="008230D6"/>
    <w:rsid w:val="00823600"/>
    <w:rsid w:val="0082372D"/>
    <w:rsid w:val="00823811"/>
    <w:rsid w:val="008241C7"/>
    <w:rsid w:val="00824F73"/>
    <w:rsid w:val="00826917"/>
    <w:rsid w:val="008305C1"/>
    <w:rsid w:val="008314B6"/>
    <w:rsid w:val="00833969"/>
    <w:rsid w:val="008352E0"/>
    <w:rsid w:val="0083643F"/>
    <w:rsid w:val="00840219"/>
    <w:rsid w:val="0084343F"/>
    <w:rsid w:val="00843532"/>
    <w:rsid w:val="00847766"/>
    <w:rsid w:val="00847FAC"/>
    <w:rsid w:val="008512EC"/>
    <w:rsid w:val="00851880"/>
    <w:rsid w:val="00852EE8"/>
    <w:rsid w:val="0086341D"/>
    <w:rsid w:val="00870234"/>
    <w:rsid w:val="00870AAA"/>
    <w:rsid w:val="00871517"/>
    <w:rsid w:val="00873238"/>
    <w:rsid w:val="008733A9"/>
    <w:rsid w:val="00873F4D"/>
    <w:rsid w:val="008740AA"/>
    <w:rsid w:val="00875157"/>
    <w:rsid w:val="00882C9B"/>
    <w:rsid w:val="0088334A"/>
    <w:rsid w:val="00883557"/>
    <w:rsid w:val="00885041"/>
    <w:rsid w:val="008864E2"/>
    <w:rsid w:val="00887A24"/>
    <w:rsid w:val="008909D1"/>
    <w:rsid w:val="00894812"/>
    <w:rsid w:val="00896D45"/>
    <w:rsid w:val="008974F4"/>
    <w:rsid w:val="00897711"/>
    <w:rsid w:val="00897D32"/>
    <w:rsid w:val="008A263D"/>
    <w:rsid w:val="008A2768"/>
    <w:rsid w:val="008A4A8E"/>
    <w:rsid w:val="008A4B10"/>
    <w:rsid w:val="008A50B6"/>
    <w:rsid w:val="008A681F"/>
    <w:rsid w:val="008A7233"/>
    <w:rsid w:val="008B283B"/>
    <w:rsid w:val="008B40AF"/>
    <w:rsid w:val="008B51D4"/>
    <w:rsid w:val="008B6C92"/>
    <w:rsid w:val="008C1F54"/>
    <w:rsid w:val="008C2A86"/>
    <w:rsid w:val="008C458E"/>
    <w:rsid w:val="008C7F19"/>
    <w:rsid w:val="008D5FE6"/>
    <w:rsid w:val="008D7D3D"/>
    <w:rsid w:val="008E082A"/>
    <w:rsid w:val="008E0B9A"/>
    <w:rsid w:val="008E2A06"/>
    <w:rsid w:val="008E2CC9"/>
    <w:rsid w:val="008E4264"/>
    <w:rsid w:val="008E643B"/>
    <w:rsid w:val="008E7C41"/>
    <w:rsid w:val="008E7E05"/>
    <w:rsid w:val="008F0D0F"/>
    <w:rsid w:val="008F2284"/>
    <w:rsid w:val="008F30F2"/>
    <w:rsid w:val="008F5027"/>
    <w:rsid w:val="008F51BC"/>
    <w:rsid w:val="008F5503"/>
    <w:rsid w:val="008F5856"/>
    <w:rsid w:val="008F5D19"/>
    <w:rsid w:val="008F6F28"/>
    <w:rsid w:val="008F7848"/>
    <w:rsid w:val="0090132F"/>
    <w:rsid w:val="00902177"/>
    <w:rsid w:val="00902C11"/>
    <w:rsid w:val="00903CDE"/>
    <w:rsid w:val="00904B2B"/>
    <w:rsid w:val="0090645E"/>
    <w:rsid w:val="00906C17"/>
    <w:rsid w:val="00912950"/>
    <w:rsid w:val="0091487D"/>
    <w:rsid w:val="0091597C"/>
    <w:rsid w:val="00916AC4"/>
    <w:rsid w:val="0092019E"/>
    <w:rsid w:val="009206BC"/>
    <w:rsid w:val="00921CF5"/>
    <w:rsid w:val="0092247C"/>
    <w:rsid w:val="009249FD"/>
    <w:rsid w:val="00925F3B"/>
    <w:rsid w:val="0093033F"/>
    <w:rsid w:val="00932D41"/>
    <w:rsid w:val="00933295"/>
    <w:rsid w:val="00934282"/>
    <w:rsid w:val="0093460D"/>
    <w:rsid w:val="00935947"/>
    <w:rsid w:val="00937B32"/>
    <w:rsid w:val="00942B20"/>
    <w:rsid w:val="00942BEE"/>
    <w:rsid w:val="00944D0F"/>
    <w:rsid w:val="00945D4A"/>
    <w:rsid w:val="009505DF"/>
    <w:rsid w:val="00951095"/>
    <w:rsid w:val="00952A98"/>
    <w:rsid w:val="00953AE4"/>
    <w:rsid w:val="009564AD"/>
    <w:rsid w:val="009577FA"/>
    <w:rsid w:val="00960221"/>
    <w:rsid w:val="00962877"/>
    <w:rsid w:val="009643A2"/>
    <w:rsid w:val="00964770"/>
    <w:rsid w:val="009649B7"/>
    <w:rsid w:val="00966A62"/>
    <w:rsid w:val="00967589"/>
    <w:rsid w:val="0097066E"/>
    <w:rsid w:val="00974537"/>
    <w:rsid w:val="00974D90"/>
    <w:rsid w:val="0097599D"/>
    <w:rsid w:val="00976034"/>
    <w:rsid w:val="00976485"/>
    <w:rsid w:val="00980A72"/>
    <w:rsid w:val="00981186"/>
    <w:rsid w:val="00981820"/>
    <w:rsid w:val="009819AB"/>
    <w:rsid w:val="00982946"/>
    <w:rsid w:val="00985DDD"/>
    <w:rsid w:val="00987E2D"/>
    <w:rsid w:val="00990DAD"/>
    <w:rsid w:val="009913DA"/>
    <w:rsid w:val="00992E4D"/>
    <w:rsid w:val="00992FFF"/>
    <w:rsid w:val="00993BBF"/>
    <w:rsid w:val="00994A22"/>
    <w:rsid w:val="0099547F"/>
    <w:rsid w:val="00997286"/>
    <w:rsid w:val="00997D7A"/>
    <w:rsid w:val="009A14FF"/>
    <w:rsid w:val="009A16A3"/>
    <w:rsid w:val="009A43EE"/>
    <w:rsid w:val="009A5231"/>
    <w:rsid w:val="009A6839"/>
    <w:rsid w:val="009B0093"/>
    <w:rsid w:val="009B2343"/>
    <w:rsid w:val="009B2637"/>
    <w:rsid w:val="009B459A"/>
    <w:rsid w:val="009B7CDB"/>
    <w:rsid w:val="009C1744"/>
    <w:rsid w:val="009C3313"/>
    <w:rsid w:val="009C625D"/>
    <w:rsid w:val="009D05B8"/>
    <w:rsid w:val="009D0952"/>
    <w:rsid w:val="009D1A72"/>
    <w:rsid w:val="009D2EA2"/>
    <w:rsid w:val="009D428E"/>
    <w:rsid w:val="009D4F86"/>
    <w:rsid w:val="009D6B2D"/>
    <w:rsid w:val="009D6DD0"/>
    <w:rsid w:val="009E02DD"/>
    <w:rsid w:val="009E45C6"/>
    <w:rsid w:val="009E4CE2"/>
    <w:rsid w:val="009E50C7"/>
    <w:rsid w:val="009E7D37"/>
    <w:rsid w:val="009F0893"/>
    <w:rsid w:val="009F3D90"/>
    <w:rsid w:val="00A00F38"/>
    <w:rsid w:val="00A0249F"/>
    <w:rsid w:val="00A02E36"/>
    <w:rsid w:val="00A04A1F"/>
    <w:rsid w:val="00A069A9"/>
    <w:rsid w:val="00A073B4"/>
    <w:rsid w:val="00A079E7"/>
    <w:rsid w:val="00A07EDE"/>
    <w:rsid w:val="00A11342"/>
    <w:rsid w:val="00A12840"/>
    <w:rsid w:val="00A13868"/>
    <w:rsid w:val="00A13E6E"/>
    <w:rsid w:val="00A13E9A"/>
    <w:rsid w:val="00A16850"/>
    <w:rsid w:val="00A169B5"/>
    <w:rsid w:val="00A16D33"/>
    <w:rsid w:val="00A16D5F"/>
    <w:rsid w:val="00A2008E"/>
    <w:rsid w:val="00A21055"/>
    <w:rsid w:val="00A31AD3"/>
    <w:rsid w:val="00A31D2F"/>
    <w:rsid w:val="00A31F99"/>
    <w:rsid w:val="00A32903"/>
    <w:rsid w:val="00A365E2"/>
    <w:rsid w:val="00A36E08"/>
    <w:rsid w:val="00A40020"/>
    <w:rsid w:val="00A40606"/>
    <w:rsid w:val="00A40FFD"/>
    <w:rsid w:val="00A41B10"/>
    <w:rsid w:val="00A44812"/>
    <w:rsid w:val="00A45007"/>
    <w:rsid w:val="00A45B8F"/>
    <w:rsid w:val="00A46C0C"/>
    <w:rsid w:val="00A501E8"/>
    <w:rsid w:val="00A503C7"/>
    <w:rsid w:val="00A50775"/>
    <w:rsid w:val="00A50E1C"/>
    <w:rsid w:val="00A5305A"/>
    <w:rsid w:val="00A5543F"/>
    <w:rsid w:val="00A55761"/>
    <w:rsid w:val="00A62598"/>
    <w:rsid w:val="00A6401E"/>
    <w:rsid w:val="00A64462"/>
    <w:rsid w:val="00A64A36"/>
    <w:rsid w:val="00A668E1"/>
    <w:rsid w:val="00A700E9"/>
    <w:rsid w:val="00A7022B"/>
    <w:rsid w:val="00A707B1"/>
    <w:rsid w:val="00A738EA"/>
    <w:rsid w:val="00A77AAF"/>
    <w:rsid w:val="00A81BC4"/>
    <w:rsid w:val="00A81C09"/>
    <w:rsid w:val="00A841DA"/>
    <w:rsid w:val="00A87A31"/>
    <w:rsid w:val="00A90F11"/>
    <w:rsid w:val="00A926FD"/>
    <w:rsid w:val="00A92F7D"/>
    <w:rsid w:val="00A94502"/>
    <w:rsid w:val="00A95E41"/>
    <w:rsid w:val="00A97434"/>
    <w:rsid w:val="00AA40F5"/>
    <w:rsid w:val="00AA4A0B"/>
    <w:rsid w:val="00AA4EE6"/>
    <w:rsid w:val="00AA69EA"/>
    <w:rsid w:val="00AA7F69"/>
    <w:rsid w:val="00AB0136"/>
    <w:rsid w:val="00AB0B39"/>
    <w:rsid w:val="00AB0F98"/>
    <w:rsid w:val="00AB1F72"/>
    <w:rsid w:val="00AB3912"/>
    <w:rsid w:val="00AB402C"/>
    <w:rsid w:val="00AB47AB"/>
    <w:rsid w:val="00AB57A8"/>
    <w:rsid w:val="00AB619A"/>
    <w:rsid w:val="00AB70BC"/>
    <w:rsid w:val="00AC228C"/>
    <w:rsid w:val="00AC32E7"/>
    <w:rsid w:val="00AC3F92"/>
    <w:rsid w:val="00AC7AAE"/>
    <w:rsid w:val="00AD01A5"/>
    <w:rsid w:val="00AD362A"/>
    <w:rsid w:val="00AD395C"/>
    <w:rsid w:val="00AD5EC6"/>
    <w:rsid w:val="00AD7027"/>
    <w:rsid w:val="00AD7510"/>
    <w:rsid w:val="00AE091D"/>
    <w:rsid w:val="00AE1BDD"/>
    <w:rsid w:val="00AE4245"/>
    <w:rsid w:val="00AE5B3F"/>
    <w:rsid w:val="00AF0060"/>
    <w:rsid w:val="00AF149C"/>
    <w:rsid w:val="00AF1A19"/>
    <w:rsid w:val="00AF3DE5"/>
    <w:rsid w:val="00AF6BC8"/>
    <w:rsid w:val="00AF7D8E"/>
    <w:rsid w:val="00B03ED7"/>
    <w:rsid w:val="00B0427D"/>
    <w:rsid w:val="00B0530F"/>
    <w:rsid w:val="00B05AC8"/>
    <w:rsid w:val="00B05C75"/>
    <w:rsid w:val="00B05C9E"/>
    <w:rsid w:val="00B06F3B"/>
    <w:rsid w:val="00B10738"/>
    <w:rsid w:val="00B143CE"/>
    <w:rsid w:val="00B157C7"/>
    <w:rsid w:val="00B16229"/>
    <w:rsid w:val="00B20743"/>
    <w:rsid w:val="00B22F7D"/>
    <w:rsid w:val="00B234E4"/>
    <w:rsid w:val="00B25507"/>
    <w:rsid w:val="00B30DCE"/>
    <w:rsid w:val="00B332AD"/>
    <w:rsid w:val="00B35706"/>
    <w:rsid w:val="00B36260"/>
    <w:rsid w:val="00B40C1C"/>
    <w:rsid w:val="00B41BDB"/>
    <w:rsid w:val="00B430A2"/>
    <w:rsid w:val="00B44070"/>
    <w:rsid w:val="00B4531D"/>
    <w:rsid w:val="00B4623F"/>
    <w:rsid w:val="00B46960"/>
    <w:rsid w:val="00B504EA"/>
    <w:rsid w:val="00B533BB"/>
    <w:rsid w:val="00B53A68"/>
    <w:rsid w:val="00B53A97"/>
    <w:rsid w:val="00B54895"/>
    <w:rsid w:val="00B56377"/>
    <w:rsid w:val="00B566AA"/>
    <w:rsid w:val="00B56DCC"/>
    <w:rsid w:val="00B57BBD"/>
    <w:rsid w:val="00B57CAB"/>
    <w:rsid w:val="00B60477"/>
    <w:rsid w:val="00B62EC8"/>
    <w:rsid w:val="00B659CA"/>
    <w:rsid w:val="00B67AB0"/>
    <w:rsid w:val="00B71BEF"/>
    <w:rsid w:val="00B72A51"/>
    <w:rsid w:val="00B73B65"/>
    <w:rsid w:val="00B73EDB"/>
    <w:rsid w:val="00B751E5"/>
    <w:rsid w:val="00B76AA7"/>
    <w:rsid w:val="00B77A54"/>
    <w:rsid w:val="00B80755"/>
    <w:rsid w:val="00B81FCB"/>
    <w:rsid w:val="00B82861"/>
    <w:rsid w:val="00B837FD"/>
    <w:rsid w:val="00B838A9"/>
    <w:rsid w:val="00B86132"/>
    <w:rsid w:val="00B87F1D"/>
    <w:rsid w:val="00B903A1"/>
    <w:rsid w:val="00B92B2B"/>
    <w:rsid w:val="00B96C85"/>
    <w:rsid w:val="00B97C86"/>
    <w:rsid w:val="00BA063B"/>
    <w:rsid w:val="00BA1284"/>
    <w:rsid w:val="00BA1CD9"/>
    <w:rsid w:val="00BA20CA"/>
    <w:rsid w:val="00BA61CD"/>
    <w:rsid w:val="00BA62D8"/>
    <w:rsid w:val="00BA7B93"/>
    <w:rsid w:val="00BB10A7"/>
    <w:rsid w:val="00BB1442"/>
    <w:rsid w:val="00BB2B82"/>
    <w:rsid w:val="00BB4524"/>
    <w:rsid w:val="00BB4724"/>
    <w:rsid w:val="00BB4E93"/>
    <w:rsid w:val="00BB4F7A"/>
    <w:rsid w:val="00BB75D8"/>
    <w:rsid w:val="00BC24D1"/>
    <w:rsid w:val="00BC2B0E"/>
    <w:rsid w:val="00BC328B"/>
    <w:rsid w:val="00BC3980"/>
    <w:rsid w:val="00BC523B"/>
    <w:rsid w:val="00BC549A"/>
    <w:rsid w:val="00BC6BFB"/>
    <w:rsid w:val="00BC7350"/>
    <w:rsid w:val="00BC7BA6"/>
    <w:rsid w:val="00BD07BD"/>
    <w:rsid w:val="00BD10C1"/>
    <w:rsid w:val="00BD53B0"/>
    <w:rsid w:val="00BE07A8"/>
    <w:rsid w:val="00BE0ADC"/>
    <w:rsid w:val="00BE0EFD"/>
    <w:rsid w:val="00BE4742"/>
    <w:rsid w:val="00BE60B5"/>
    <w:rsid w:val="00BE7994"/>
    <w:rsid w:val="00BF213E"/>
    <w:rsid w:val="00BF6452"/>
    <w:rsid w:val="00C00631"/>
    <w:rsid w:val="00C01F8C"/>
    <w:rsid w:val="00C03F4B"/>
    <w:rsid w:val="00C0430A"/>
    <w:rsid w:val="00C0488E"/>
    <w:rsid w:val="00C0496C"/>
    <w:rsid w:val="00C0598A"/>
    <w:rsid w:val="00C10CCB"/>
    <w:rsid w:val="00C125A0"/>
    <w:rsid w:val="00C16030"/>
    <w:rsid w:val="00C166DE"/>
    <w:rsid w:val="00C16CEF"/>
    <w:rsid w:val="00C20770"/>
    <w:rsid w:val="00C20911"/>
    <w:rsid w:val="00C2398B"/>
    <w:rsid w:val="00C24221"/>
    <w:rsid w:val="00C250E8"/>
    <w:rsid w:val="00C25722"/>
    <w:rsid w:val="00C258C4"/>
    <w:rsid w:val="00C27C0E"/>
    <w:rsid w:val="00C35709"/>
    <w:rsid w:val="00C361D9"/>
    <w:rsid w:val="00C36B80"/>
    <w:rsid w:val="00C415A7"/>
    <w:rsid w:val="00C41961"/>
    <w:rsid w:val="00C42FC4"/>
    <w:rsid w:val="00C45B2E"/>
    <w:rsid w:val="00C468ED"/>
    <w:rsid w:val="00C47445"/>
    <w:rsid w:val="00C474DE"/>
    <w:rsid w:val="00C50889"/>
    <w:rsid w:val="00C52982"/>
    <w:rsid w:val="00C555B0"/>
    <w:rsid w:val="00C567A6"/>
    <w:rsid w:val="00C56812"/>
    <w:rsid w:val="00C60D69"/>
    <w:rsid w:val="00C6131B"/>
    <w:rsid w:val="00C61638"/>
    <w:rsid w:val="00C627CD"/>
    <w:rsid w:val="00C62FC5"/>
    <w:rsid w:val="00C630A0"/>
    <w:rsid w:val="00C64B7C"/>
    <w:rsid w:val="00C6517F"/>
    <w:rsid w:val="00C7076B"/>
    <w:rsid w:val="00C7144A"/>
    <w:rsid w:val="00C7187B"/>
    <w:rsid w:val="00C71B5D"/>
    <w:rsid w:val="00C71F51"/>
    <w:rsid w:val="00C725DD"/>
    <w:rsid w:val="00C72733"/>
    <w:rsid w:val="00C744DF"/>
    <w:rsid w:val="00C749AB"/>
    <w:rsid w:val="00C7599F"/>
    <w:rsid w:val="00C7612E"/>
    <w:rsid w:val="00C771C0"/>
    <w:rsid w:val="00C801C0"/>
    <w:rsid w:val="00C80F6B"/>
    <w:rsid w:val="00C81121"/>
    <w:rsid w:val="00C854C0"/>
    <w:rsid w:val="00C91149"/>
    <w:rsid w:val="00C91C8C"/>
    <w:rsid w:val="00C973D9"/>
    <w:rsid w:val="00CA10E0"/>
    <w:rsid w:val="00CA14D3"/>
    <w:rsid w:val="00CA25D8"/>
    <w:rsid w:val="00CB0251"/>
    <w:rsid w:val="00CB1EB4"/>
    <w:rsid w:val="00CB4C11"/>
    <w:rsid w:val="00CB7841"/>
    <w:rsid w:val="00CC1284"/>
    <w:rsid w:val="00CC14FE"/>
    <w:rsid w:val="00CC25F8"/>
    <w:rsid w:val="00CC2C40"/>
    <w:rsid w:val="00CC4153"/>
    <w:rsid w:val="00CC578B"/>
    <w:rsid w:val="00CC68F8"/>
    <w:rsid w:val="00CD32A7"/>
    <w:rsid w:val="00CD32FB"/>
    <w:rsid w:val="00CD4F63"/>
    <w:rsid w:val="00CD5168"/>
    <w:rsid w:val="00CD5550"/>
    <w:rsid w:val="00CD6410"/>
    <w:rsid w:val="00CD75DD"/>
    <w:rsid w:val="00CE089D"/>
    <w:rsid w:val="00CE08A5"/>
    <w:rsid w:val="00CE0E7F"/>
    <w:rsid w:val="00CE73E6"/>
    <w:rsid w:val="00CF094D"/>
    <w:rsid w:val="00CF3212"/>
    <w:rsid w:val="00CF3715"/>
    <w:rsid w:val="00CF4E13"/>
    <w:rsid w:val="00CF55C8"/>
    <w:rsid w:val="00CF683F"/>
    <w:rsid w:val="00CF6B11"/>
    <w:rsid w:val="00D01A0E"/>
    <w:rsid w:val="00D0323C"/>
    <w:rsid w:val="00D04D60"/>
    <w:rsid w:val="00D069B9"/>
    <w:rsid w:val="00D06DEB"/>
    <w:rsid w:val="00D13EAC"/>
    <w:rsid w:val="00D157EE"/>
    <w:rsid w:val="00D15B8B"/>
    <w:rsid w:val="00D15FAA"/>
    <w:rsid w:val="00D17987"/>
    <w:rsid w:val="00D2078E"/>
    <w:rsid w:val="00D247F9"/>
    <w:rsid w:val="00D267F9"/>
    <w:rsid w:val="00D26EC8"/>
    <w:rsid w:val="00D30536"/>
    <w:rsid w:val="00D313C1"/>
    <w:rsid w:val="00D32019"/>
    <w:rsid w:val="00D3509A"/>
    <w:rsid w:val="00D356F3"/>
    <w:rsid w:val="00D360AD"/>
    <w:rsid w:val="00D362A8"/>
    <w:rsid w:val="00D37D68"/>
    <w:rsid w:val="00D40A31"/>
    <w:rsid w:val="00D42048"/>
    <w:rsid w:val="00D4221D"/>
    <w:rsid w:val="00D42A45"/>
    <w:rsid w:val="00D42AE3"/>
    <w:rsid w:val="00D42EB2"/>
    <w:rsid w:val="00D434CC"/>
    <w:rsid w:val="00D45977"/>
    <w:rsid w:val="00D46802"/>
    <w:rsid w:val="00D46FC1"/>
    <w:rsid w:val="00D478C4"/>
    <w:rsid w:val="00D47A73"/>
    <w:rsid w:val="00D51FBD"/>
    <w:rsid w:val="00D5523B"/>
    <w:rsid w:val="00D555EE"/>
    <w:rsid w:val="00D6255E"/>
    <w:rsid w:val="00D62C18"/>
    <w:rsid w:val="00D635C8"/>
    <w:rsid w:val="00D63D64"/>
    <w:rsid w:val="00D64F63"/>
    <w:rsid w:val="00D65BFD"/>
    <w:rsid w:val="00D67D7C"/>
    <w:rsid w:val="00D7015A"/>
    <w:rsid w:val="00D71E6A"/>
    <w:rsid w:val="00D7391A"/>
    <w:rsid w:val="00D7510C"/>
    <w:rsid w:val="00D75BEC"/>
    <w:rsid w:val="00D77E6F"/>
    <w:rsid w:val="00D839B5"/>
    <w:rsid w:val="00D83D68"/>
    <w:rsid w:val="00D83DA2"/>
    <w:rsid w:val="00D8645F"/>
    <w:rsid w:val="00D86AD2"/>
    <w:rsid w:val="00D875CA"/>
    <w:rsid w:val="00D901CD"/>
    <w:rsid w:val="00D91F47"/>
    <w:rsid w:val="00D92A54"/>
    <w:rsid w:val="00D953EA"/>
    <w:rsid w:val="00DA13B9"/>
    <w:rsid w:val="00DA144C"/>
    <w:rsid w:val="00DA17F5"/>
    <w:rsid w:val="00DA3119"/>
    <w:rsid w:val="00DA3362"/>
    <w:rsid w:val="00DA54E2"/>
    <w:rsid w:val="00DA5F16"/>
    <w:rsid w:val="00DA6753"/>
    <w:rsid w:val="00DB19EA"/>
    <w:rsid w:val="00DB2A73"/>
    <w:rsid w:val="00DB39C1"/>
    <w:rsid w:val="00DB58BA"/>
    <w:rsid w:val="00DB7C15"/>
    <w:rsid w:val="00DC0C1E"/>
    <w:rsid w:val="00DC1042"/>
    <w:rsid w:val="00DC169D"/>
    <w:rsid w:val="00DC16E7"/>
    <w:rsid w:val="00DC1809"/>
    <w:rsid w:val="00DC3784"/>
    <w:rsid w:val="00DC44D4"/>
    <w:rsid w:val="00DC68EA"/>
    <w:rsid w:val="00DD2445"/>
    <w:rsid w:val="00DD2703"/>
    <w:rsid w:val="00DD2E23"/>
    <w:rsid w:val="00DD468D"/>
    <w:rsid w:val="00DD70D8"/>
    <w:rsid w:val="00DD7AEC"/>
    <w:rsid w:val="00DE35C3"/>
    <w:rsid w:val="00DE38FD"/>
    <w:rsid w:val="00DE3ADB"/>
    <w:rsid w:val="00DE45FD"/>
    <w:rsid w:val="00DE5BDF"/>
    <w:rsid w:val="00DE5DE9"/>
    <w:rsid w:val="00DE69AC"/>
    <w:rsid w:val="00DF0424"/>
    <w:rsid w:val="00DF210D"/>
    <w:rsid w:val="00DF5A6A"/>
    <w:rsid w:val="00DF6896"/>
    <w:rsid w:val="00DF71A2"/>
    <w:rsid w:val="00E00488"/>
    <w:rsid w:val="00E00D09"/>
    <w:rsid w:val="00E04395"/>
    <w:rsid w:val="00E045E8"/>
    <w:rsid w:val="00E05834"/>
    <w:rsid w:val="00E10202"/>
    <w:rsid w:val="00E127BE"/>
    <w:rsid w:val="00E12B2C"/>
    <w:rsid w:val="00E136E2"/>
    <w:rsid w:val="00E14991"/>
    <w:rsid w:val="00E16099"/>
    <w:rsid w:val="00E16917"/>
    <w:rsid w:val="00E16A19"/>
    <w:rsid w:val="00E1771F"/>
    <w:rsid w:val="00E17AF8"/>
    <w:rsid w:val="00E17C90"/>
    <w:rsid w:val="00E21974"/>
    <w:rsid w:val="00E256FE"/>
    <w:rsid w:val="00E258A1"/>
    <w:rsid w:val="00E27EF8"/>
    <w:rsid w:val="00E300FB"/>
    <w:rsid w:val="00E317CD"/>
    <w:rsid w:val="00E325FA"/>
    <w:rsid w:val="00E340F8"/>
    <w:rsid w:val="00E34718"/>
    <w:rsid w:val="00E350FF"/>
    <w:rsid w:val="00E35197"/>
    <w:rsid w:val="00E36C31"/>
    <w:rsid w:val="00E404E3"/>
    <w:rsid w:val="00E4190D"/>
    <w:rsid w:val="00E41F12"/>
    <w:rsid w:val="00E4282C"/>
    <w:rsid w:val="00E42D2F"/>
    <w:rsid w:val="00E43E45"/>
    <w:rsid w:val="00E44607"/>
    <w:rsid w:val="00E44F59"/>
    <w:rsid w:val="00E45C99"/>
    <w:rsid w:val="00E45CCA"/>
    <w:rsid w:val="00E50CC5"/>
    <w:rsid w:val="00E52ACE"/>
    <w:rsid w:val="00E55F00"/>
    <w:rsid w:val="00E563DC"/>
    <w:rsid w:val="00E5646A"/>
    <w:rsid w:val="00E56F96"/>
    <w:rsid w:val="00E574F5"/>
    <w:rsid w:val="00E57780"/>
    <w:rsid w:val="00E579E5"/>
    <w:rsid w:val="00E57BFC"/>
    <w:rsid w:val="00E61FE3"/>
    <w:rsid w:val="00E6331A"/>
    <w:rsid w:val="00E633C2"/>
    <w:rsid w:val="00E63ACE"/>
    <w:rsid w:val="00E6478B"/>
    <w:rsid w:val="00E64EEE"/>
    <w:rsid w:val="00E6662E"/>
    <w:rsid w:val="00E66998"/>
    <w:rsid w:val="00E66B8A"/>
    <w:rsid w:val="00E66CC6"/>
    <w:rsid w:val="00E70276"/>
    <w:rsid w:val="00E73291"/>
    <w:rsid w:val="00E737A0"/>
    <w:rsid w:val="00E73B7F"/>
    <w:rsid w:val="00E74B38"/>
    <w:rsid w:val="00E765EF"/>
    <w:rsid w:val="00E76611"/>
    <w:rsid w:val="00E76C18"/>
    <w:rsid w:val="00E80C17"/>
    <w:rsid w:val="00E822B9"/>
    <w:rsid w:val="00E82955"/>
    <w:rsid w:val="00E83D3F"/>
    <w:rsid w:val="00E83F6D"/>
    <w:rsid w:val="00E858EE"/>
    <w:rsid w:val="00E85AD5"/>
    <w:rsid w:val="00E861DD"/>
    <w:rsid w:val="00E86CEA"/>
    <w:rsid w:val="00E87E00"/>
    <w:rsid w:val="00E90146"/>
    <w:rsid w:val="00E94232"/>
    <w:rsid w:val="00E94D4F"/>
    <w:rsid w:val="00E97740"/>
    <w:rsid w:val="00EA0C2E"/>
    <w:rsid w:val="00EA1AE9"/>
    <w:rsid w:val="00EA28D7"/>
    <w:rsid w:val="00EA3061"/>
    <w:rsid w:val="00EA3B50"/>
    <w:rsid w:val="00EA3E29"/>
    <w:rsid w:val="00EA48AD"/>
    <w:rsid w:val="00EB1684"/>
    <w:rsid w:val="00EB29CA"/>
    <w:rsid w:val="00EB300D"/>
    <w:rsid w:val="00EB32FF"/>
    <w:rsid w:val="00EB6B73"/>
    <w:rsid w:val="00EB7A3D"/>
    <w:rsid w:val="00EC2016"/>
    <w:rsid w:val="00EC26BC"/>
    <w:rsid w:val="00EC45DC"/>
    <w:rsid w:val="00EC65B8"/>
    <w:rsid w:val="00ED05B9"/>
    <w:rsid w:val="00ED1D4C"/>
    <w:rsid w:val="00ED4DAE"/>
    <w:rsid w:val="00ED5001"/>
    <w:rsid w:val="00EE0CCE"/>
    <w:rsid w:val="00EE2A8C"/>
    <w:rsid w:val="00EE69C5"/>
    <w:rsid w:val="00EF0A3A"/>
    <w:rsid w:val="00EF1923"/>
    <w:rsid w:val="00EF2B05"/>
    <w:rsid w:val="00EF2C98"/>
    <w:rsid w:val="00EF34A9"/>
    <w:rsid w:val="00EF5BA7"/>
    <w:rsid w:val="00EF5D0E"/>
    <w:rsid w:val="00EF7E5F"/>
    <w:rsid w:val="00F025D5"/>
    <w:rsid w:val="00F056EA"/>
    <w:rsid w:val="00F06F84"/>
    <w:rsid w:val="00F07ECF"/>
    <w:rsid w:val="00F114BA"/>
    <w:rsid w:val="00F15642"/>
    <w:rsid w:val="00F15E68"/>
    <w:rsid w:val="00F176D2"/>
    <w:rsid w:val="00F21AB1"/>
    <w:rsid w:val="00F22DFC"/>
    <w:rsid w:val="00F23EE0"/>
    <w:rsid w:val="00F24574"/>
    <w:rsid w:val="00F25184"/>
    <w:rsid w:val="00F26B29"/>
    <w:rsid w:val="00F26BF5"/>
    <w:rsid w:val="00F33400"/>
    <w:rsid w:val="00F4004D"/>
    <w:rsid w:val="00F4160E"/>
    <w:rsid w:val="00F42EF4"/>
    <w:rsid w:val="00F44BD5"/>
    <w:rsid w:val="00F46DC3"/>
    <w:rsid w:val="00F50529"/>
    <w:rsid w:val="00F505D0"/>
    <w:rsid w:val="00F533B3"/>
    <w:rsid w:val="00F53A6E"/>
    <w:rsid w:val="00F56836"/>
    <w:rsid w:val="00F60C6D"/>
    <w:rsid w:val="00F61048"/>
    <w:rsid w:val="00F62567"/>
    <w:rsid w:val="00F64A3F"/>
    <w:rsid w:val="00F66FD4"/>
    <w:rsid w:val="00F72131"/>
    <w:rsid w:val="00F72DFB"/>
    <w:rsid w:val="00F741B7"/>
    <w:rsid w:val="00F74273"/>
    <w:rsid w:val="00F74B22"/>
    <w:rsid w:val="00F75E4C"/>
    <w:rsid w:val="00F80807"/>
    <w:rsid w:val="00F80E77"/>
    <w:rsid w:val="00F80F61"/>
    <w:rsid w:val="00F81CE9"/>
    <w:rsid w:val="00F87D01"/>
    <w:rsid w:val="00F90545"/>
    <w:rsid w:val="00F914C7"/>
    <w:rsid w:val="00F924DE"/>
    <w:rsid w:val="00F9522F"/>
    <w:rsid w:val="00F96FFD"/>
    <w:rsid w:val="00F97068"/>
    <w:rsid w:val="00FA0E94"/>
    <w:rsid w:val="00FA15D9"/>
    <w:rsid w:val="00FA3421"/>
    <w:rsid w:val="00FA3B1E"/>
    <w:rsid w:val="00FA49DB"/>
    <w:rsid w:val="00FA5BE5"/>
    <w:rsid w:val="00FA5F12"/>
    <w:rsid w:val="00FA77B9"/>
    <w:rsid w:val="00FB00F1"/>
    <w:rsid w:val="00FB1B5D"/>
    <w:rsid w:val="00FB1C48"/>
    <w:rsid w:val="00FB1FF1"/>
    <w:rsid w:val="00FB2543"/>
    <w:rsid w:val="00FB4C2F"/>
    <w:rsid w:val="00FB6C02"/>
    <w:rsid w:val="00FB7D37"/>
    <w:rsid w:val="00FC3B1C"/>
    <w:rsid w:val="00FC525B"/>
    <w:rsid w:val="00FC5295"/>
    <w:rsid w:val="00FC7427"/>
    <w:rsid w:val="00FD2C59"/>
    <w:rsid w:val="00FD5642"/>
    <w:rsid w:val="00FD7561"/>
    <w:rsid w:val="00FE03C4"/>
    <w:rsid w:val="00FE1ADE"/>
    <w:rsid w:val="00FE32D6"/>
    <w:rsid w:val="00FE516B"/>
    <w:rsid w:val="00FE53EA"/>
    <w:rsid w:val="00FE6ADC"/>
    <w:rsid w:val="00FE7862"/>
    <w:rsid w:val="00FF0F60"/>
    <w:rsid w:val="00FF24AC"/>
    <w:rsid w:val="00FF349B"/>
    <w:rsid w:val="00FF3693"/>
    <w:rsid w:val="00FF57D7"/>
    <w:rsid w:val="03638885"/>
    <w:rsid w:val="0974A560"/>
    <w:rsid w:val="0A5570BD"/>
    <w:rsid w:val="0EFD9482"/>
    <w:rsid w:val="100671A1"/>
    <w:rsid w:val="129E35A2"/>
    <w:rsid w:val="171CB2F9"/>
    <w:rsid w:val="191A84A7"/>
    <w:rsid w:val="19A0E4D6"/>
    <w:rsid w:val="1B125D97"/>
    <w:rsid w:val="1B1ABCBC"/>
    <w:rsid w:val="1C8025F9"/>
    <w:rsid w:val="1F07CCBE"/>
    <w:rsid w:val="218B290C"/>
    <w:rsid w:val="22F86D91"/>
    <w:rsid w:val="252E5C4C"/>
    <w:rsid w:val="2A095664"/>
    <w:rsid w:val="2F224B69"/>
    <w:rsid w:val="31BAC6D9"/>
    <w:rsid w:val="34CD29BA"/>
    <w:rsid w:val="34D813DB"/>
    <w:rsid w:val="39D3A7DB"/>
    <w:rsid w:val="4360BCE1"/>
    <w:rsid w:val="446DA2A7"/>
    <w:rsid w:val="4618B9BC"/>
    <w:rsid w:val="47B7FBAA"/>
    <w:rsid w:val="491920A3"/>
    <w:rsid w:val="49DEDE90"/>
    <w:rsid w:val="4C8BA31E"/>
    <w:rsid w:val="4F64E62B"/>
    <w:rsid w:val="518CFF7D"/>
    <w:rsid w:val="532AEF19"/>
    <w:rsid w:val="568F8086"/>
    <w:rsid w:val="59CFBC46"/>
    <w:rsid w:val="59EA450E"/>
    <w:rsid w:val="5A37B8EB"/>
    <w:rsid w:val="5A5AC644"/>
    <w:rsid w:val="5A6385C8"/>
    <w:rsid w:val="5F9F0647"/>
    <w:rsid w:val="60EA7326"/>
    <w:rsid w:val="60EC1D22"/>
    <w:rsid w:val="6249C9A9"/>
    <w:rsid w:val="62F5B072"/>
    <w:rsid w:val="63FEA44D"/>
    <w:rsid w:val="66C511AA"/>
    <w:rsid w:val="6D56BDEC"/>
    <w:rsid w:val="7007863E"/>
    <w:rsid w:val="71207608"/>
    <w:rsid w:val="71C9A73E"/>
    <w:rsid w:val="724F17D1"/>
    <w:rsid w:val="7C736B5F"/>
    <w:rsid w:val="7F1E50E6"/>
    <w:rsid w:val="7FE28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insetpen="t" on="f"/>
      <v:shadow color="#ccc"/>
      <v:textbox style="mso-column-margin:2mm" inset="2.88pt,2.88pt,2.88pt,2.88pt"/>
    </o:shapedefaults>
    <o:shapelayout v:ext="edit">
      <o:idmap v:ext="edit" data="2"/>
    </o:shapelayout>
  </w:shapeDefaults>
  <w:decimalSymbol w:val="."/>
  <w:listSeparator w:val=","/>
  <w14:docId w14:val="2F1B4B0B"/>
  <w15:chartTrackingRefBased/>
  <w15:docId w15:val="{5E596DEA-6324-45FD-AD91-035EA6FB4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168"/>
    <w:pPr>
      <w:jc w:val="both"/>
    </w:pPr>
    <w:rPr>
      <w:rFonts w:ascii="Arial" w:hAnsi="Arial"/>
      <w:sz w:val="22"/>
      <w:lang w:eastAsia="en-US"/>
    </w:rPr>
  </w:style>
  <w:style w:type="paragraph" w:styleId="Heading1">
    <w:name w:val="heading 1"/>
    <w:aliases w:val="Minutes 1,PA Chapter,Titel,Titel1,Titel2,Titel3,Titel4,Titel5,Titel6,Titel7,Titel11,Titel21,Titel31,Titel41,Titel51,Titel61,Titel8,Titel12,Titel22,Titel32,Titel42,Titel52,Titel62,Titel9,Titel13,Titel23,Titel33,Titel43,Titel53,Titel63,Centered"/>
    <w:basedOn w:val="Normal"/>
    <w:next w:val="Normal"/>
    <w:qFormat/>
    <w:pPr>
      <w:keepNext/>
      <w:spacing w:line="480" w:lineRule="auto"/>
      <w:outlineLvl w:val="0"/>
    </w:pPr>
    <w:rPr>
      <w:b/>
      <w:bCs/>
      <w:color w:val="003366"/>
      <w:sz w:val="24"/>
    </w:rPr>
  </w:style>
  <w:style w:type="paragraph" w:styleId="Heading2">
    <w:name w:val="heading 2"/>
    <w:aliases w:val="Tribal heading 2,h2,Überschrift 2 (u2),(U2),Reset numbering,PARA2,Numbered - 2,PA Major Section,2,sub-sect,21,sub-sect1,22,sub-sect2,23,sub-sect3,24,sub-sect4,25,sub-sect5,211,sub-sect11,(1.1,1.2,1.3 etc),section header,Major,Major1,Major2,l2"/>
    <w:basedOn w:val="Normal"/>
    <w:next w:val="Normal"/>
    <w:qFormat/>
    <w:pPr>
      <w:keepNext/>
      <w:numPr>
        <w:numId w:val="1"/>
      </w:numPr>
      <w:spacing w:line="480" w:lineRule="auto"/>
      <w:outlineLvl w:val="1"/>
    </w:pPr>
    <w:rPr>
      <w:b/>
      <w:bCs/>
      <w:color w:val="003366"/>
      <w:sz w:val="28"/>
    </w:rPr>
  </w:style>
  <w:style w:type="paragraph" w:styleId="Heading3">
    <w:name w:val="heading 3"/>
    <w:aliases w:val="Tribal heading 3,Numbered para,Minor,Level 1 - 1,Oscar Faber 3,Outline3,Level 2.1,SZRptH3,HHHeading,l3,Level 3 Head,sh3,NormalHeading 3,Chapter x.x.x,Title3,1.1.1 Heading 3,(Alt+3),(Alt+3)1,(Alt+3)2,(Alt+3)3,(Alt+3)4,cont3,3,h3,Heading 31,h31"/>
    <w:basedOn w:val="Normal"/>
    <w:next w:val="Normal"/>
    <w:qFormat/>
    <w:pPr>
      <w:keepNext/>
      <w:jc w:val="center"/>
      <w:outlineLvl w:val="2"/>
    </w:pPr>
    <w:rPr>
      <w:b/>
      <w:bCs/>
      <w:color w:val="003366"/>
      <w:sz w:val="20"/>
    </w:rPr>
  </w:style>
  <w:style w:type="paragraph" w:styleId="Heading4">
    <w:name w:val="heading 4"/>
    <w:aliases w:val="Tribal heading 4,Level 2 - a,h4,PA Micro Section,Paragraph Text,Sub-Minor,Te,Numbered - 4,H4,RR level 4,Te1,Te2,Te3,Te4,Te5,Te6,Te7,Te8,Te9,Te10,Te11,Te91,Te12,Te21,Te31,Te41,Te51,Te61,Te71,Te81,Te92,Te101,Te111,Te911,Te13,Te22,Te32,Te42,Te52"/>
    <w:basedOn w:val="Normal"/>
    <w:next w:val="Normal"/>
    <w:qFormat/>
    <w:pPr>
      <w:keepNext/>
      <w:numPr>
        <w:ilvl w:val="1"/>
        <w:numId w:val="1"/>
      </w:numPr>
      <w:tabs>
        <w:tab w:val="left" w:pos="4500"/>
      </w:tabs>
      <w:outlineLvl w:val="3"/>
    </w:pPr>
    <w:rPr>
      <w:b/>
      <w:bCs/>
      <w:color w:val="003366"/>
    </w:rPr>
  </w:style>
  <w:style w:type="paragraph" w:styleId="Heading5">
    <w:name w:val="heading 5"/>
    <w:aliases w:val="Level 3 - i,- Not used,H5 not used,PA Pico Section,a-head line,ignore,Sub heading,T:,RR level 5,Numbered - 5,(A),bl"/>
    <w:basedOn w:val="Normal"/>
    <w:next w:val="Normal"/>
    <w:qFormat/>
    <w:pPr>
      <w:keepNext/>
      <w:tabs>
        <w:tab w:val="left" w:pos="4860"/>
      </w:tabs>
      <w:outlineLvl w:val="4"/>
    </w:pPr>
    <w:rPr>
      <w:b/>
      <w:bCs/>
      <w:color w:val="000000"/>
      <w:sz w:val="20"/>
      <w:u w:val="single"/>
    </w:rPr>
  </w:style>
  <w:style w:type="paragraph" w:styleId="Heading6">
    <w:name w:val="heading 6"/>
    <w:aliases w:val="Legal Level 1.,Cust logo space,PA Appendix,2 column,Appendix 2,Level 5.1,Bp,RR level 6,Numbered - 6,Level 1"/>
    <w:basedOn w:val="Normal"/>
    <w:next w:val="Normal"/>
    <w:qFormat/>
    <w:pPr>
      <w:keepNext/>
      <w:tabs>
        <w:tab w:val="left" w:pos="4860"/>
      </w:tabs>
      <w:outlineLvl w:val="5"/>
    </w:pPr>
    <w:rPr>
      <w:b/>
      <w:bCs/>
      <w:color w:val="003366"/>
      <w:sz w:val="20"/>
      <w:u w:val="single"/>
    </w:rPr>
  </w:style>
  <w:style w:type="paragraph" w:styleId="Heading7">
    <w:name w:val="heading 7"/>
    <w:aliases w:val="Legal Level 1.1.,PA Appendix Major,Enumerate,7,RR level 7,Numbered - 7"/>
    <w:basedOn w:val="Normal"/>
    <w:next w:val="Normal"/>
    <w:qFormat/>
    <w:pPr>
      <w:keepNext/>
      <w:tabs>
        <w:tab w:val="left" w:pos="4860"/>
      </w:tabs>
      <w:spacing w:before="120" w:after="120"/>
      <w:outlineLvl w:val="6"/>
    </w:pPr>
    <w:rPr>
      <w:rFonts w:ascii="Tahoma" w:hAnsi="Tahoma" w:cs="Tahoma"/>
      <w:i/>
      <w:iCs/>
      <w:color w:val="000000"/>
      <w:sz w:val="20"/>
    </w:rPr>
  </w:style>
  <w:style w:type="paragraph" w:styleId="Heading8">
    <w:name w:val="heading 8"/>
    <w:aliases w:val="Legal Level 1.1.1.,PA Appendix Minor,Subenumerate,8,RR level 8,Numbered - 8,Lev 8,Lev 81,Numbered - 81,Lev 82,Numbered - 82,Lev 83,Numbered - 83"/>
    <w:basedOn w:val="Normal"/>
    <w:next w:val="Normal"/>
    <w:qFormat/>
    <w:pPr>
      <w:keepNext/>
      <w:tabs>
        <w:tab w:val="left" w:pos="4860"/>
      </w:tabs>
      <w:spacing w:before="120" w:after="120"/>
      <w:outlineLvl w:val="7"/>
    </w:pPr>
    <w:rPr>
      <w:b/>
      <w:bCs/>
      <w:color w:val="333399"/>
      <w:sz w:val="20"/>
    </w:rPr>
  </w:style>
  <w:style w:type="paragraph" w:styleId="Heading9">
    <w:name w:val="heading 9"/>
    <w:basedOn w:val="Normal"/>
    <w:next w:val="Normal"/>
    <w:qFormat/>
    <w:pPr>
      <w:keepNext/>
      <w:spacing w:line="264" w:lineRule="auto"/>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rPr>
      <w:lang w:val="x-none"/>
    </w:rPr>
  </w:style>
  <w:style w:type="character" w:styleId="Hyperlink">
    <w:name w:val="Hyperlink"/>
    <w:uiPriority w:val="99"/>
    <w:rPr>
      <w:color w:val="0000FF"/>
      <w:u w:val="single"/>
    </w:rPr>
  </w:style>
  <w:style w:type="character" w:styleId="PageNumber">
    <w:name w:val="page number"/>
    <w:basedOn w:val="DefaultParagraphFont"/>
  </w:style>
  <w:style w:type="paragraph" w:styleId="BodyTextIndent2">
    <w:name w:val="Body Text Indent 2"/>
    <w:basedOn w:val="Normal"/>
    <w:uiPriority w:val="99"/>
    <w:pPr>
      <w:spacing w:before="100" w:beforeAutospacing="1" w:after="100" w:afterAutospacing="1"/>
      <w:ind w:left="1080"/>
    </w:pPr>
    <w:rPr>
      <w:rFonts w:cs="Arial"/>
      <w:sz w:val="20"/>
      <w:szCs w:val="24"/>
      <w:lang w:val="en"/>
    </w:rPr>
  </w:style>
  <w:style w:type="paragraph" w:customStyle="1" w:styleId="ESHeading3">
    <w:name w:val="ES Heading 3"/>
    <w:basedOn w:val="Normal"/>
    <w:pPr>
      <w:spacing w:before="120" w:after="120" w:line="264" w:lineRule="auto"/>
    </w:pPr>
    <w:rPr>
      <w:rFonts w:cs="Arial"/>
      <w:bCs/>
      <w:sz w:val="20"/>
      <w:szCs w:val="28"/>
    </w:rPr>
  </w:style>
  <w:style w:type="paragraph" w:customStyle="1" w:styleId="Bullet">
    <w:name w:val="Bullet"/>
    <w:aliases w:val="Bullet L1,bl1"/>
    <w:basedOn w:val="Normal"/>
    <w:pPr>
      <w:numPr>
        <w:ilvl w:val="2"/>
        <w:numId w:val="4"/>
      </w:numPr>
    </w:pPr>
  </w:style>
  <w:style w:type="paragraph" w:styleId="List">
    <w:name w:val="List"/>
    <w:basedOn w:val="Normal"/>
    <w:semiHidden/>
    <w:pPr>
      <w:ind w:left="283" w:hanging="283"/>
    </w:pPr>
  </w:style>
  <w:style w:type="paragraph" w:styleId="ListContinue">
    <w:name w:val="List Continue"/>
    <w:basedOn w:val="Normal"/>
    <w:semiHidden/>
    <w:pPr>
      <w:spacing w:after="120"/>
      <w:ind w:left="283"/>
    </w:pPr>
  </w:style>
  <w:style w:type="paragraph" w:styleId="BodyText">
    <w:name w:val="Body Text"/>
    <w:aliases w:val="One Page Summary,Body Text 1,body text,contents,heading_txt,bodytxy2"/>
    <w:basedOn w:val="Normal"/>
    <w:link w:val="BodyTextChar"/>
    <w:semiHidden/>
    <w:pPr>
      <w:numPr>
        <w:ilvl w:val="2"/>
        <w:numId w:val="1"/>
      </w:numPr>
      <w:spacing w:after="120"/>
    </w:pPr>
    <w:rPr>
      <w:lang w:eastAsia="x-none"/>
    </w:rPr>
  </w:style>
  <w:style w:type="paragraph" w:styleId="BodyTextIndent">
    <w:name w:val="Body Text Indent"/>
    <w:basedOn w:val="Normal"/>
    <w:link w:val="BodyTextIndentChar"/>
    <w:semiHidden/>
    <w:pPr>
      <w:tabs>
        <w:tab w:val="left" w:pos="4860"/>
      </w:tabs>
      <w:ind w:left="1077" w:hanging="1077"/>
    </w:pPr>
    <w:rPr>
      <w:sz w:val="20"/>
      <w:lang w:eastAsia="x-none"/>
    </w:rPr>
  </w:style>
  <w:style w:type="paragraph" w:customStyle="1" w:styleId="Bullet1">
    <w:name w:val="Bullet 1"/>
    <w:basedOn w:val="Normal"/>
    <w:pPr>
      <w:widowControl w:val="0"/>
      <w:numPr>
        <w:numId w:val="2"/>
      </w:numPr>
      <w:spacing w:before="100" w:line="300" w:lineRule="auto"/>
    </w:pPr>
    <w:rPr>
      <w:lang w:eastAsia="en-GB"/>
    </w:rPr>
  </w:style>
  <w:style w:type="paragraph" w:styleId="TOC1">
    <w:name w:val="toc 1"/>
    <w:basedOn w:val="Normal"/>
    <w:next w:val="Normal"/>
    <w:uiPriority w:val="39"/>
    <w:rsid w:val="003E5466"/>
    <w:pPr>
      <w:tabs>
        <w:tab w:val="left" w:pos="400"/>
        <w:tab w:val="right" w:leader="dot" w:pos="9639"/>
      </w:tabs>
      <w:spacing w:before="240" w:after="240"/>
      <w:jc w:val="left"/>
    </w:pPr>
    <w:rPr>
      <w:rFonts w:ascii="Calibri" w:hAnsi="Calibri"/>
      <w:b/>
      <w:color w:val="163D82"/>
      <w:szCs w:val="24"/>
    </w:rPr>
  </w:style>
  <w:style w:type="character" w:customStyle="1" w:styleId="StyleHeading3Tribalheading3BoldChar">
    <w:name w:val="Style Heading 3Tribal heading 3 + Bold Char"/>
    <w:rPr>
      <w:rFonts w:ascii="Arial" w:hAnsi="Arial" w:cs="Arial"/>
      <w:bCs/>
      <w:szCs w:val="26"/>
      <w:lang w:val="en-GB" w:eastAsia="en-US" w:bidi="ar-SA"/>
    </w:rPr>
  </w:style>
  <w:style w:type="paragraph" w:customStyle="1" w:styleId="Bullet-sub">
    <w:name w:val="Bullet-sub"/>
    <w:basedOn w:val="Bullet"/>
    <w:pPr>
      <w:numPr>
        <w:ilvl w:val="0"/>
        <w:numId w:val="0"/>
      </w:numPr>
      <w:spacing w:before="60" w:after="60" w:line="264" w:lineRule="auto"/>
    </w:pPr>
    <w:rPr>
      <w:rFonts w:cs="Arial"/>
      <w:sz w:val="20"/>
    </w:rPr>
  </w:style>
  <w:style w:type="paragraph" w:customStyle="1" w:styleId="paragraphCV">
    <w:name w:val="paragraph CV"/>
    <w:basedOn w:val="BodyText"/>
    <w:autoRedefine/>
    <w:rsid w:val="00AE091D"/>
    <w:pPr>
      <w:widowControl w:val="0"/>
      <w:numPr>
        <w:ilvl w:val="0"/>
        <w:numId w:val="0"/>
      </w:numPr>
      <w:spacing w:after="0" w:line="312" w:lineRule="auto"/>
      <w:ind w:left="2438" w:hanging="2438"/>
    </w:pPr>
    <w:rPr>
      <w:rFonts w:ascii="Times New Roman" w:hAnsi="Times New Roman"/>
      <w:snapToGrid w:val="0"/>
      <w:sz w:val="16"/>
      <w:szCs w:val="16"/>
    </w:rPr>
  </w:style>
  <w:style w:type="paragraph" w:customStyle="1" w:styleId="paragraphCVbold">
    <w:name w:val="paragraph CV bold"/>
    <w:basedOn w:val="paragraphCV"/>
    <w:next w:val="paragraphCV"/>
    <w:rPr>
      <w:b/>
    </w:rPr>
  </w:style>
  <w:style w:type="paragraph" w:customStyle="1" w:styleId="bodyindent">
    <w:name w:val="bodyindent"/>
    <w:basedOn w:val="body"/>
    <w:pPr>
      <w:ind w:left="480" w:hanging="480"/>
    </w:pPr>
    <w:rPr>
      <w:color w:val="auto"/>
    </w:rPr>
  </w:style>
  <w:style w:type="paragraph" w:customStyle="1" w:styleId="body">
    <w:name w:val="body"/>
    <w:pPr>
      <w:widowControl w:val="0"/>
      <w:tabs>
        <w:tab w:val="left" w:pos="480"/>
        <w:tab w:val="left" w:pos="960"/>
      </w:tabs>
      <w:autoSpaceDE w:val="0"/>
      <w:autoSpaceDN w:val="0"/>
      <w:adjustRightInd w:val="0"/>
      <w:spacing w:line="300" w:lineRule="atLeast"/>
    </w:pPr>
    <w:rPr>
      <w:color w:val="000000"/>
      <w:sz w:val="22"/>
      <w:szCs w:val="22"/>
      <w:lang w:val="en-US" w:eastAsia="en-US"/>
    </w:rPr>
  </w:style>
  <w:style w:type="paragraph" w:customStyle="1" w:styleId="Name">
    <w:name w:val="Name"/>
    <w:basedOn w:val="BlockText"/>
    <w:pPr>
      <w:widowControl w:val="0"/>
      <w:spacing w:before="120"/>
      <w:ind w:left="0" w:right="0"/>
      <w:jc w:val="left"/>
    </w:pPr>
    <w:rPr>
      <w:rFonts w:ascii="Times New Roman" w:hAnsi="Times New Roman"/>
      <w:b/>
      <w:snapToGrid w:val="0"/>
      <w:color w:val="003366"/>
      <w:sz w:val="44"/>
      <w:szCs w:val="44"/>
    </w:rPr>
  </w:style>
  <w:style w:type="paragraph" w:styleId="BlockText">
    <w:name w:val="Block Text"/>
    <w:basedOn w:val="Normal"/>
    <w:semiHidden/>
    <w:pPr>
      <w:spacing w:after="120"/>
      <w:ind w:left="1440" w:right="1440"/>
    </w:pPr>
  </w:style>
  <w:style w:type="paragraph" w:customStyle="1" w:styleId="bluebands">
    <w:name w:val="blue bands"/>
    <w:basedOn w:val="BodyText"/>
    <w:next w:val="BodyText"/>
    <w:pPr>
      <w:widowControl w:val="0"/>
      <w:numPr>
        <w:ilvl w:val="0"/>
        <w:numId w:val="0"/>
      </w:numPr>
      <w:spacing w:after="0"/>
      <w:jc w:val="left"/>
    </w:pPr>
    <w:rPr>
      <w:b/>
      <w:snapToGrid w:val="0"/>
      <w:color w:val="FFFFFF"/>
      <w:sz w:val="28"/>
    </w:rPr>
  </w:style>
  <w:style w:type="paragraph" w:customStyle="1" w:styleId="returnbeforetable">
    <w:name w:val="return before table"/>
    <w:basedOn w:val="paragraphCV"/>
    <w:pPr>
      <w:jc w:val="right"/>
    </w:pPr>
    <w:rPr>
      <w:rFonts w:ascii="Arial" w:hAnsi="Arial" w:cs="Arial"/>
      <w:sz w:val="20"/>
    </w:rPr>
  </w:style>
  <w:style w:type="paragraph" w:styleId="TOAHeading">
    <w:name w:val="toa heading"/>
    <w:basedOn w:val="Normal"/>
    <w:next w:val="Normal"/>
    <w:semiHidden/>
    <w:pPr>
      <w:spacing w:before="120" w:after="120" w:line="264" w:lineRule="auto"/>
      <w:jc w:val="left"/>
    </w:pPr>
    <w:rPr>
      <w:b/>
      <w:bCs/>
      <w:sz w:val="20"/>
      <w:szCs w:val="24"/>
    </w:rPr>
  </w:style>
  <w:style w:type="character" w:customStyle="1" w:styleId="CharacterStyle8">
    <w:name w:val="Character Style 8"/>
    <w:rPr>
      <w:rFonts w:ascii="Arial" w:hAnsi="Arial" w:cs="Arial"/>
      <w:b/>
      <w:bCs/>
      <w:sz w:val="18"/>
      <w:szCs w:val="18"/>
    </w:rPr>
  </w:style>
  <w:style w:type="paragraph" w:customStyle="1" w:styleId="Style25">
    <w:name w:val="Style 25"/>
    <w:pPr>
      <w:widowControl w:val="0"/>
      <w:autoSpaceDE w:val="0"/>
      <w:autoSpaceDN w:val="0"/>
      <w:spacing w:before="180" w:line="312" w:lineRule="auto"/>
    </w:pPr>
    <w:rPr>
      <w:rFonts w:ascii="Arial" w:hAnsi="Arial" w:cs="Arial"/>
      <w:b/>
      <w:bCs/>
      <w:sz w:val="18"/>
      <w:szCs w:val="18"/>
      <w:lang w:val="en-US" w:eastAsia="en-US"/>
    </w:rPr>
  </w:style>
  <w:style w:type="paragraph" w:styleId="BodyText3">
    <w:name w:val="Body Text 3"/>
    <w:aliases w:val="CV text 1"/>
    <w:basedOn w:val="Normal"/>
    <w:semiHidden/>
    <w:pPr>
      <w:spacing w:before="120" w:after="120"/>
      <w:ind w:right="-45"/>
    </w:pPr>
    <w:rPr>
      <w:sz w:val="18"/>
      <w:szCs w:val="24"/>
    </w:rPr>
  </w:style>
  <w:style w:type="paragraph" w:styleId="BodyText2">
    <w:name w:val="Body Text 2"/>
    <w:basedOn w:val="Normal"/>
    <w:link w:val="BodyText2Char"/>
    <w:semiHidden/>
    <w:pPr>
      <w:spacing w:before="120" w:after="120"/>
    </w:pPr>
    <w:rPr>
      <w:sz w:val="20"/>
      <w:szCs w:val="22"/>
      <w:lang w:eastAsia="x-none"/>
    </w:rPr>
  </w:style>
  <w:style w:type="character" w:customStyle="1" w:styleId="searchword">
    <w:name w:val="searchword"/>
    <w:basedOn w:val="DefaultParagraphFont"/>
  </w:style>
  <w:style w:type="paragraph" w:customStyle="1" w:styleId="ESHeading1">
    <w:name w:val="ES Heading 1"/>
    <w:basedOn w:val="Normal"/>
    <w:next w:val="ESHeading2"/>
    <w:autoRedefine/>
    <w:pPr>
      <w:keepNext/>
      <w:numPr>
        <w:numId w:val="15"/>
      </w:numPr>
      <w:spacing w:before="120" w:after="120" w:line="264" w:lineRule="auto"/>
      <w:jc w:val="left"/>
    </w:pPr>
    <w:rPr>
      <w:rFonts w:cs="Arial"/>
      <w:b/>
      <w:bCs/>
      <w:color w:val="003366"/>
      <w:sz w:val="28"/>
      <w:szCs w:val="28"/>
    </w:rPr>
  </w:style>
  <w:style w:type="paragraph" w:customStyle="1" w:styleId="ESHeading2">
    <w:name w:val="ES Heading 2"/>
    <w:basedOn w:val="ESHeading1"/>
    <w:next w:val="ESHeading3"/>
    <w:autoRedefine/>
    <w:pPr>
      <w:numPr>
        <w:numId w:val="0"/>
      </w:numPr>
      <w:suppressLineNumbers/>
      <w:spacing w:line="312" w:lineRule="auto"/>
    </w:pPr>
    <w:rPr>
      <w:rFonts w:ascii="Calibri" w:hAnsi="Calibri" w:cs="Calibri"/>
      <w:color w:val="365F91"/>
      <w:sz w:val="24"/>
      <w:szCs w:val="22"/>
    </w:rPr>
  </w:style>
  <w:style w:type="paragraph" w:customStyle="1" w:styleId="ESBullet">
    <w:name w:val="ES Bullet"/>
    <w:basedOn w:val="Bullet"/>
    <w:pPr>
      <w:numPr>
        <w:ilvl w:val="0"/>
        <w:numId w:val="18"/>
      </w:numPr>
      <w:tabs>
        <w:tab w:val="num" w:pos="900"/>
      </w:tabs>
      <w:spacing w:before="60" w:after="60" w:line="264" w:lineRule="auto"/>
      <w:ind w:left="900" w:hanging="357"/>
    </w:pPr>
    <w:rPr>
      <w:rFonts w:cs="Arial"/>
      <w:sz w:val="20"/>
    </w:rPr>
  </w:style>
  <w:style w:type="paragraph" w:styleId="BodyTextIndent3">
    <w:name w:val="Body Text Indent 3"/>
    <w:basedOn w:val="Normal"/>
    <w:semiHidden/>
    <w:pPr>
      <w:spacing w:before="120" w:after="120" w:line="264" w:lineRule="auto"/>
      <w:ind w:left="720" w:hanging="720"/>
    </w:pPr>
    <w:rPr>
      <w:sz w:val="20"/>
      <w:szCs w:val="24"/>
    </w:rPr>
  </w:style>
  <w:style w:type="paragraph" w:customStyle="1" w:styleId="StyleHeading2BoldLeft05cmFirstline1cm">
    <w:name w:val="Style Heading 2 + Bold Left:  0.5 cm First line:  1 cm"/>
    <w:basedOn w:val="Heading2"/>
    <w:pPr>
      <w:keepNext w:val="0"/>
      <w:numPr>
        <w:numId w:val="0"/>
      </w:numPr>
      <w:spacing w:before="240" w:after="60" w:line="240" w:lineRule="auto"/>
      <w:ind w:firstLine="851"/>
    </w:pPr>
    <w:rPr>
      <w:color w:val="000000"/>
      <w:sz w:val="22"/>
      <w:lang w:eastAsia="en-GB"/>
    </w:rPr>
  </w:style>
  <w:style w:type="paragraph" w:customStyle="1" w:styleId="Numberedheading">
    <w:name w:val="Numbered heading"/>
    <w:basedOn w:val="Normal"/>
    <w:pPr>
      <w:ind w:left="567" w:hanging="567"/>
      <w:jc w:val="left"/>
    </w:pPr>
    <w:rPr>
      <w:rFonts w:ascii="Times New Roman" w:hAnsi="Times New Roman"/>
      <w:sz w:val="24"/>
    </w:rPr>
  </w:style>
  <w:style w:type="paragraph" w:customStyle="1" w:styleId="Style1">
    <w:name w:val="Style 1"/>
    <w:pPr>
      <w:widowControl w:val="0"/>
      <w:autoSpaceDE w:val="0"/>
      <w:autoSpaceDN w:val="0"/>
      <w:adjustRightInd w:val="0"/>
    </w:pPr>
    <w:rPr>
      <w:lang w:val="en-US" w:eastAsia="en-US"/>
    </w:rPr>
  </w:style>
  <w:style w:type="paragraph" w:styleId="Title">
    <w:name w:val="Title"/>
    <w:basedOn w:val="Normal"/>
    <w:link w:val="TitleChar"/>
    <w:qFormat/>
    <w:pPr>
      <w:jc w:val="center"/>
    </w:pPr>
    <w:rPr>
      <w:rFonts w:ascii="Times New Roman" w:hAnsi="Times New Roman"/>
      <w:b/>
      <w:sz w:val="24"/>
      <w:u w:val="single"/>
      <w:lang w:eastAsia="x-none"/>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sz w:val="24"/>
      <w:szCs w:val="24"/>
    </w:rPr>
  </w:style>
  <w:style w:type="paragraph" w:customStyle="1" w:styleId="HeadingBase">
    <w:name w:val="Heading Base"/>
    <w:basedOn w:val="BodyText"/>
    <w:next w:val="BodyText"/>
    <w:pPr>
      <w:keepNext/>
      <w:keepLines/>
      <w:numPr>
        <w:ilvl w:val="0"/>
        <w:numId w:val="0"/>
      </w:numPr>
      <w:spacing w:after="0" w:line="180" w:lineRule="atLeast"/>
      <w:jc w:val="left"/>
    </w:pPr>
    <w:rPr>
      <w:rFonts w:ascii="Arial Black" w:hAnsi="Arial Black"/>
      <w:spacing w:val="-10"/>
      <w:kern w:val="28"/>
      <w:sz w:val="20"/>
    </w:rPr>
  </w:style>
  <w:style w:type="paragraph" w:customStyle="1" w:styleId="TenderBodyText">
    <w:name w:val="Tender Body Text"/>
    <w:basedOn w:val="BodyText2"/>
    <w:pPr>
      <w:spacing w:before="0" w:after="200" w:line="300" w:lineRule="atLeast"/>
      <w:jc w:val="left"/>
    </w:pPr>
    <w:rPr>
      <w:sz w:val="22"/>
      <w:szCs w:val="20"/>
    </w:rPr>
  </w:style>
  <w:style w:type="paragraph" w:customStyle="1" w:styleId="TenderBulletList">
    <w:name w:val="Tender Bullet List"/>
    <w:basedOn w:val="TenderBodyText"/>
    <w:pPr>
      <w:numPr>
        <w:numId w:val="3"/>
      </w:numPr>
    </w:pPr>
  </w:style>
  <w:style w:type="paragraph" w:customStyle="1" w:styleId="SubHeading">
    <w:name w:val="SubHeading"/>
    <w:basedOn w:val="Normal"/>
    <w:next w:val="Heading3"/>
    <w:pPr>
      <w:keepNext/>
      <w:spacing w:before="120" w:after="120"/>
      <w:ind w:left="1077"/>
      <w:jc w:val="left"/>
    </w:pPr>
    <w:rPr>
      <w:b/>
      <w:color w:val="003366"/>
      <w:sz w:val="20"/>
      <w:szCs w:val="24"/>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FirstIndent">
    <w:name w:val="Body Text First Indent"/>
    <w:basedOn w:val="BodyText"/>
    <w:semiHidden/>
    <w:pPr>
      <w:numPr>
        <w:ilvl w:val="0"/>
        <w:numId w:val="0"/>
      </w:numPr>
      <w:ind w:firstLine="210"/>
    </w:pPr>
  </w:style>
  <w:style w:type="paragraph" w:styleId="BodyTextFirstIndent2">
    <w:name w:val="Body Text First Indent 2"/>
    <w:basedOn w:val="BodyTextIndent"/>
    <w:semiHidden/>
    <w:pPr>
      <w:tabs>
        <w:tab w:val="clear" w:pos="4860"/>
      </w:tabs>
      <w:spacing w:after="120"/>
      <w:ind w:left="283" w:firstLine="210"/>
    </w:pPr>
    <w:rPr>
      <w:sz w:val="22"/>
    </w:rPr>
  </w:style>
  <w:style w:type="paragraph" w:styleId="Caption">
    <w:name w:val="caption"/>
    <w:basedOn w:val="Normal"/>
    <w:next w:val="Normal"/>
    <w:qFormat/>
    <w:pPr>
      <w:spacing w:before="120" w:after="120"/>
    </w:pPr>
    <w:rPr>
      <w:b/>
      <w:bCs/>
      <w:sz w:val="20"/>
    </w:rPr>
  </w:style>
  <w:style w:type="paragraph" w:styleId="Closing">
    <w:name w:val="Closing"/>
    <w:basedOn w:val="Normal"/>
    <w:semiHidden/>
    <w:pPr>
      <w:ind w:left="4252"/>
    </w:pPr>
  </w:style>
  <w:style w:type="paragraph" w:styleId="CommentText">
    <w:name w:val="annotation text"/>
    <w:basedOn w:val="Normal"/>
    <w:link w:val="CommentTextChar"/>
    <w:uiPriority w:val="99"/>
    <w:semiHidden/>
    <w:rPr>
      <w:sz w:val="20"/>
      <w:lang w:val="x-none"/>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emiHidden/>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Pr>
      <w:rFonts w:cs="Arial"/>
      <w:sz w:val="20"/>
    </w:rPr>
  </w:style>
  <w:style w:type="paragraph" w:styleId="FootnoteText">
    <w:name w:val="footnote text"/>
    <w:basedOn w:val="Normal"/>
    <w:semiHidden/>
    <w:rPr>
      <w:sz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cs="Arial"/>
      <w:b/>
      <w:bCs/>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spacing w:after="120"/>
      <w:jc w:val="center"/>
    </w:pPr>
    <w:rPr>
      <w:szCs w:val="24"/>
    </w:r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Sectiontext">
    <w:name w:val="Sectiontext"/>
    <w:basedOn w:val="Normal"/>
    <w:pPr>
      <w:tabs>
        <w:tab w:val="left" w:pos="432"/>
      </w:tabs>
      <w:overflowPunct w:val="0"/>
      <w:autoSpaceDE w:val="0"/>
      <w:autoSpaceDN w:val="0"/>
      <w:adjustRightInd w:val="0"/>
      <w:spacing w:after="240"/>
      <w:textAlignment w:val="baseline"/>
    </w:pPr>
    <w:rPr>
      <w:sz w:val="20"/>
    </w:rPr>
  </w:style>
  <w:style w:type="character" w:styleId="FollowedHyperlink">
    <w:name w:val="FollowedHyperlink"/>
    <w:semiHidden/>
    <w:rPr>
      <w:color w:val="800080"/>
      <w:u w:val="single"/>
    </w:rPr>
  </w:style>
  <w:style w:type="paragraph" w:customStyle="1" w:styleId="Pa2">
    <w:name w:val="Pa2"/>
    <w:basedOn w:val="Normal"/>
    <w:next w:val="Normal"/>
    <w:pPr>
      <w:autoSpaceDE w:val="0"/>
      <w:autoSpaceDN w:val="0"/>
      <w:adjustRightInd w:val="0"/>
      <w:spacing w:line="401" w:lineRule="atLeast"/>
      <w:jc w:val="left"/>
    </w:pPr>
    <w:rPr>
      <w:rFonts w:ascii="Helvetica Neue" w:hAnsi="Helvetica Neue"/>
      <w:sz w:val="20"/>
      <w:szCs w:val="24"/>
      <w:lang w:val="en-US"/>
    </w:rPr>
  </w:style>
  <w:style w:type="character" w:customStyle="1" w:styleId="A3">
    <w:name w:val="A3"/>
    <w:rPr>
      <w:color w:val="000000"/>
      <w:sz w:val="28"/>
      <w:szCs w:val="28"/>
    </w:rPr>
  </w:style>
  <w:style w:type="character" w:customStyle="1" w:styleId="A7">
    <w:name w:val="A7"/>
    <w:rPr>
      <w:color w:val="000000"/>
      <w:sz w:val="24"/>
    </w:rPr>
  </w:style>
  <w:style w:type="character" w:customStyle="1" w:styleId="CharacterStyle15">
    <w:name w:val="Character Style 15"/>
    <w:rPr>
      <w:rFonts w:ascii="Palatino Linotype" w:hAnsi="Palatino Linotype"/>
      <w:sz w:val="22"/>
      <w:szCs w:val="22"/>
    </w:rPr>
  </w:style>
  <w:style w:type="paragraph" w:customStyle="1" w:styleId="Reportsubheading">
    <w:name w:val="Report subheading"/>
    <w:basedOn w:val="Normal"/>
    <w:pPr>
      <w:spacing w:before="120" w:after="120" w:line="264" w:lineRule="auto"/>
      <w:jc w:val="left"/>
    </w:pPr>
    <w:rPr>
      <w:color w:val="003366"/>
      <w:sz w:val="28"/>
      <w:szCs w:val="24"/>
    </w:rPr>
  </w:style>
  <w:style w:type="paragraph" w:customStyle="1" w:styleId="ReportTitle">
    <w:name w:val="Report Title"/>
    <w:pPr>
      <w:spacing w:before="120" w:after="120" w:line="264" w:lineRule="auto"/>
    </w:pPr>
    <w:rPr>
      <w:rFonts w:ascii="Arial" w:hAnsi="Arial"/>
      <w:b/>
      <w:noProof/>
      <w:color w:val="003366"/>
      <w:sz w:val="36"/>
      <w:szCs w:val="48"/>
      <w:lang w:eastAsia="en-US"/>
    </w:rPr>
  </w:style>
  <w:style w:type="paragraph" w:customStyle="1" w:styleId="abcd">
    <w:name w:val="abcd"/>
    <w:basedOn w:val="Normal"/>
    <w:pPr>
      <w:numPr>
        <w:numId w:val="16"/>
      </w:numPr>
      <w:tabs>
        <w:tab w:val="clear" w:pos="1437"/>
        <w:tab w:val="num" w:pos="1418"/>
      </w:tabs>
      <w:overflowPunct w:val="0"/>
      <w:autoSpaceDE w:val="0"/>
      <w:autoSpaceDN w:val="0"/>
      <w:adjustRightInd w:val="0"/>
      <w:spacing w:before="60" w:after="60" w:line="264" w:lineRule="auto"/>
      <w:textAlignment w:val="baseline"/>
    </w:pPr>
    <w:rPr>
      <w:sz w:val="20"/>
    </w:rPr>
  </w:style>
  <w:style w:type="character" w:customStyle="1" w:styleId="TableTextChar">
    <w:name w:val="Table Text Char"/>
    <w:rPr>
      <w:rFonts w:ascii="Arial" w:hAnsi="Arial"/>
      <w:lang w:val="en-GB" w:eastAsia="en-US" w:bidi="ar-SA"/>
    </w:rPr>
  </w:style>
  <w:style w:type="paragraph" w:customStyle="1" w:styleId="AppendixName">
    <w:name w:val="Appendix Name"/>
    <w:basedOn w:val="AppendixTitle"/>
    <w:pPr>
      <w:pBdr>
        <w:bottom w:val="single" w:sz="4" w:space="1" w:color="auto"/>
      </w:pBdr>
      <w:spacing w:line="360" w:lineRule="auto"/>
    </w:pPr>
    <w:rPr>
      <w:sz w:val="32"/>
    </w:rPr>
  </w:style>
  <w:style w:type="paragraph" w:customStyle="1" w:styleId="AppendixTitle">
    <w:name w:val="Appendix Title"/>
    <w:basedOn w:val="ReportTitle"/>
    <w:pPr>
      <w:pageBreakBefore/>
      <w:jc w:val="center"/>
    </w:pPr>
    <w:rPr>
      <w:b w:val="0"/>
    </w:rPr>
  </w:style>
  <w:style w:type="paragraph" w:customStyle="1" w:styleId="Figure">
    <w:name w:val="Figure"/>
    <w:basedOn w:val="Caption"/>
    <w:pPr>
      <w:keepNext/>
      <w:spacing w:line="264" w:lineRule="auto"/>
      <w:jc w:val="left"/>
    </w:pPr>
    <w:rPr>
      <w:rFonts w:cs="Arial"/>
      <w:bCs w:val="0"/>
      <w:color w:val="003366"/>
      <w:sz w:val="24"/>
    </w:rPr>
  </w:style>
  <w:style w:type="paragraph" w:customStyle="1" w:styleId="Table">
    <w:name w:val="Table"/>
    <w:basedOn w:val="Caption"/>
    <w:pPr>
      <w:keepNext/>
      <w:spacing w:line="264" w:lineRule="auto"/>
      <w:jc w:val="left"/>
    </w:pPr>
    <w:rPr>
      <w:rFonts w:cs="Arial"/>
      <w:bCs w:val="0"/>
      <w:color w:val="003366"/>
      <w:sz w:val="24"/>
    </w:rPr>
  </w:style>
  <w:style w:type="paragraph" w:customStyle="1" w:styleId="ESBullet-sub">
    <w:name w:val="ES Bullet-sub"/>
    <w:basedOn w:val="ESBullet"/>
    <w:pPr>
      <w:numPr>
        <w:numId w:val="0"/>
      </w:numPr>
      <w:tabs>
        <w:tab w:val="clear" w:pos="900"/>
        <w:tab w:val="num" w:pos="1077"/>
        <w:tab w:val="left" w:pos="1247"/>
        <w:tab w:val="num" w:pos="1440"/>
      </w:tabs>
      <w:ind w:left="1259" w:hanging="357"/>
    </w:pPr>
  </w:style>
  <w:style w:type="character" w:customStyle="1" w:styleId="TableHeadingChar">
    <w:name w:val="Table Heading Char"/>
    <w:rPr>
      <w:rFonts w:ascii="Arial" w:hAnsi="Arial"/>
      <w:b/>
      <w:lang w:val="en-GB" w:eastAsia="en-US" w:bidi="ar-SA"/>
    </w:rPr>
  </w:style>
  <w:style w:type="paragraph" w:customStyle="1" w:styleId="ESSubheading">
    <w:name w:val="ES Subheading"/>
    <w:basedOn w:val="Normal"/>
    <w:next w:val="Heading3"/>
    <w:pPr>
      <w:keepNext/>
      <w:spacing w:before="120" w:after="120" w:line="264" w:lineRule="auto"/>
      <w:ind w:left="573"/>
      <w:jc w:val="left"/>
    </w:pPr>
    <w:rPr>
      <w:b/>
      <w:i/>
      <w:sz w:val="20"/>
    </w:rPr>
  </w:style>
  <w:style w:type="paragraph" w:customStyle="1" w:styleId="TableText">
    <w:name w:val="Table Text"/>
    <w:basedOn w:val="Normal"/>
    <w:pPr>
      <w:spacing w:before="120" w:after="120" w:line="264" w:lineRule="auto"/>
      <w:jc w:val="left"/>
    </w:pPr>
    <w:rPr>
      <w:sz w:val="20"/>
    </w:rPr>
  </w:style>
  <w:style w:type="paragraph" w:customStyle="1" w:styleId="TableHeading">
    <w:name w:val="Table Heading"/>
    <w:basedOn w:val="TableText"/>
    <w:pPr>
      <w:jc w:val="center"/>
    </w:pPr>
    <w:rPr>
      <w:b/>
    </w:rPr>
  </w:style>
  <w:style w:type="paragraph" w:customStyle="1" w:styleId="StyleTOC1Right089cm1">
    <w:name w:val="Style TOC 1 + Right:  0.89 cm1"/>
    <w:basedOn w:val="TOC1"/>
    <w:pPr>
      <w:ind w:right="505"/>
    </w:pPr>
    <w:rPr>
      <w:szCs w:val="20"/>
    </w:rPr>
  </w:style>
  <w:style w:type="paragraph" w:customStyle="1" w:styleId="StyleStyleTOC1Right089cm112ptBoldDarkTeal">
    <w:name w:val="Style Style TOC 1 + Right:  0.89 cm1 + 12 pt Bold Dark Teal"/>
    <w:basedOn w:val="StyleTOC1Right089cm1"/>
    <w:pPr>
      <w:spacing w:before="60" w:after="60"/>
    </w:pPr>
    <w:rPr>
      <w:b w:val="0"/>
      <w:bCs/>
      <w:color w:val="003366"/>
      <w:sz w:val="24"/>
    </w:rPr>
  </w:style>
  <w:style w:type="paragraph" w:customStyle="1" w:styleId="StyleESHeading3Italic">
    <w:name w:val="Style ES Heading 3 + Italic"/>
    <w:basedOn w:val="ESHeading3"/>
    <w:rPr>
      <w:i/>
      <w:iCs/>
    </w:rPr>
  </w:style>
  <w:style w:type="character" w:customStyle="1" w:styleId="ESHeading3Char">
    <w:name w:val="ES Heading 3 Char"/>
    <w:rPr>
      <w:rFonts w:ascii="Arial" w:hAnsi="Arial" w:cs="Arial"/>
      <w:bCs/>
      <w:szCs w:val="28"/>
      <w:lang w:val="en-GB" w:eastAsia="en-US" w:bidi="ar-SA"/>
    </w:rPr>
  </w:style>
  <w:style w:type="character" w:customStyle="1" w:styleId="StyleESHeading3ItalicChar">
    <w:name w:val="Style ES Heading 3 + Italic Char"/>
    <w:rPr>
      <w:rFonts w:ascii="Arial" w:hAnsi="Arial" w:cs="Arial"/>
      <w:bCs/>
      <w:i/>
      <w:iCs/>
      <w:szCs w:val="28"/>
      <w:lang w:val="en-GB" w:eastAsia="en-US" w:bidi="ar-SA"/>
    </w:rPr>
  </w:style>
  <w:style w:type="paragraph" w:customStyle="1" w:styleId="Legal1">
    <w:name w:val="Legal 1"/>
    <w:basedOn w:val="Normal"/>
    <w:pPr>
      <w:widowControl w:val="0"/>
      <w:numPr>
        <w:numId w:val="17"/>
      </w:numPr>
      <w:ind w:left="720" w:hanging="720"/>
      <w:outlineLvl w:val="0"/>
    </w:pPr>
    <w:rPr>
      <w:rFonts w:ascii="Times New Roman" w:hAnsi="Times New Roman"/>
      <w:snapToGrid w:val="0"/>
    </w:rPr>
  </w:style>
  <w:style w:type="paragraph" w:customStyle="1" w:styleId="Legal2">
    <w:name w:val="Legal 2"/>
    <w:basedOn w:val="Normal"/>
    <w:pPr>
      <w:widowControl w:val="0"/>
      <w:numPr>
        <w:ilvl w:val="1"/>
        <w:numId w:val="17"/>
      </w:numPr>
      <w:ind w:left="720" w:hanging="720"/>
      <w:outlineLvl w:val="1"/>
    </w:pPr>
    <w:rPr>
      <w:rFonts w:ascii="Times New Roman" w:hAnsi="Times New Roman"/>
      <w:snapToGrid w:val="0"/>
      <w:lang w:val="en-US"/>
    </w:rPr>
  </w:style>
  <w:style w:type="paragraph" w:customStyle="1" w:styleId="Pa3">
    <w:name w:val="Pa3"/>
    <w:basedOn w:val="Normal"/>
    <w:next w:val="Normal"/>
    <w:pPr>
      <w:autoSpaceDE w:val="0"/>
      <w:autoSpaceDN w:val="0"/>
      <w:adjustRightInd w:val="0"/>
      <w:spacing w:line="201" w:lineRule="atLeast"/>
      <w:jc w:val="left"/>
    </w:pPr>
    <w:rPr>
      <w:rFonts w:ascii="JNMPXT+HelveticaNeue-Light" w:hAnsi="JNMPXT+HelveticaNeue-Light"/>
      <w:sz w:val="20"/>
      <w:szCs w:val="24"/>
      <w:lang w:val="en-US"/>
    </w:rPr>
  </w:style>
  <w:style w:type="character" w:customStyle="1" w:styleId="A5">
    <w:name w:val="A5"/>
    <w:rPr>
      <w:rFonts w:ascii="Zapf Dingbats" w:eastAsia="Zapf Dingbats"/>
      <w:color w:val="000000"/>
      <w:sz w:val="18"/>
      <w:szCs w:val="18"/>
    </w:rPr>
  </w:style>
  <w:style w:type="character" w:customStyle="1" w:styleId="A4">
    <w:name w:val="A4"/>
    <w:rPr>
      <w:rFonts w:ascii="Wingdings" w:hAnsi="Wingdings"/>
      <w:color w:val="000000"/>
      <w:szCs w:val="20"/>
    </w:rPr>
  </w:style>
  <w:style w:type="paragraph" w:customStyle="1" w:styleId="Pa4">
    <w:name w:val="Pa4"/>
    <w:basedOn w:val="Normal"/>
    <w:next w:val="Normal"/>
    <w:pPr>
      <w:autoSpaceDE w:val="0"/>
      <w:autoSpaceDN w:val="0"/>
      <w:adjustRightInd w:val="0"/>
      <w:spacing w:line="201" w:lineRule="atLeast"/>
      <w:jc w:val="left"/>
    </w:pPr>
    <w:rPr>
      <w:rFonts w:ascii="Helvetica Neue" w:hAnsi="Helvetica Neue"/>
      <w:sz w:val="20"/>
      <w:szCs w:val="24"/>
      <w:lang w:val="en-US"/>
    </w:rPr>
  </w:style>
  <w:style w:type="paragraph" w:customStyle="1" w:styleId="DefaultText">
    <w:name w:val="Default Text"/>
    <w:basedOn w:val="Normal"/>
    <w:pPr>
      <w:jc w:val="left"/>
    </w:pPr>
    <w:rPr>
      <w:rFonts w:ascii="Times New Roman" w:hAnsi="Times New Roman"/>
      <w:sz w:val="24"/>
      <w:lang w:eastAsia="en-GB"/>
    </w:rPr>
  </w:style>
  <w:style w:type="paragraph" w:customStyle="1" w:styleId="TribalHeading2">
    <w:name w:val="Tribal Heading 2"/>
    <w:basedOn w:val="Normal"/>
    <w:next w:val="Normal"/>
    <w:pPr>
      <w:numPr>
        <w:ilvl w:val="1"/>
        <w:numId w:val="19"/>
      </w:numPr>
      <w:tabs>
        <w:tab w:val="left" w:pos="1077"/>
      </w:tabs>
      <w:spacing w:before="480" w:after="120"/>
      <w:outlineLvl w:val="1"/>
    </w:pPr>
    <w:rPr>
      <w:b/>
      <w:color w:val="00204E"/>
      <w:sz w:val="20"/>
      <w:lang w:eastAsia="en-GB"/>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paragraph" w:styleId="NoSpacing">
    <w:name w:val="No Spacing"/>
    <w:uiPriority w:val="1"/>
    <w:qFormat/>
    <w:rPr>
      <w:rFonts w:ascii="Calibri" w:hAnsi="Calibri"/>
      <w:sz w:val="22"/>
      <w:szCs w:val="22"/>
      <w:lang w:val="en-US" w:eastAsia="en-US"/>
    </w:rPr>
  </w:style>
  <w:style w:type="character" w:customStyle="1" w:styleId="NoSpacingChar">
    <w:name w:val="No Spacing Char"/>
    <w:uiPriority w:val="1"/>
    <w:rPr>
      <w:rFonts w:ascii="Calibri" w:hAnsi="Calibri"/>
      <w:sz w:val="22"/>
      <w:szCs w:val="22"/>
      <w:lang w:val="en-US" w:eastAsia="en-US" w:bidi="ar-SA"/>
    </w:rPr>
  </w:style>
  <w:style w:type="paragraph" w:customStyle="1" w:styleId="Legal3">
    <w:name w:val="Legal 3"/>
    <w:basedOn w:val="Normal"/>
    <w:pPr>
      <w:tabs>
        <w:tab w:val="num" w:pos="720"/>
      </w:tabs>
      <w:ind w:left="720" w:hanging="720"/>
      <w:jc w:val="left"/>
    </w:pPr>
    <w:rPr>
      <w:sz w:val="24"/>
      <w:szCs w:val="24"/>
      <w:lang w:eastAsia="en-GB"/>
    </w:rPr>
  </w:style>
  <w:style w:type="character" w:styleId="CommentReference">
    <w:name w:val="annotation reference"/>
    <w:uiPriority w:val="99"/>
    <w:semiHidden/>
    <w:unhideWhenUsed/>
    <w:rsid w:val="003725B2"/>
    <w:rPr>
      <w:sz w:val="16"/>
      <w:szCs w:val="16"/>
    </w:rPr>
  </w:style>
  <w:style w:type="character" w:customStyle="1" w:styleId="HeaderChar">
    <w:name w:val="Header Char"/>
    <w:uiPriority w:val="99"/>
    <w:rPr>
      <w:rFonts w:ascii="Arial" w:hAnsi="Arial"/>
      <w:sz w:val="22"/>
      <w:lang w:eastAsia="en-US"/>
    </w:rPr>
  </w:style>
  <w:style w:type="character" w:customStyle="1" w:styleId="Heading1Char">
    <w:name w:val="Heading 1 Char"/>
    <w:aliases w:val="Minutes 1 Char,PA Chapter Char,Titel Char,Titel1 Char,Titel2 Char,Titel3 Char,Titel4 Char,Titel5 Char,Titel6 Char,Titel7 Char,Titel11 Char,Titel21 Char,Titel31 Char,Titel41 Char,Titel51 Char,Titel61 Char,Titel8 Char,Titel12 Char"/>
    <w:rPr>
      <w:rFonts w:ascii="Arial" w:hAnsi="Arial"/>
      <w:b/>
      <w:bCs/>
      <w:color w:val="003366"/>
      <w:sz w:val="24"/>
      <w:lang w:eastAsia="en-US"/>
    </w:rPr>
  </w:style>
  <w:style w:type="character" w:customStyle="1" w:styleId="BodyTextIndent2Char">
    <w:name w:val="Body Text Indent 2 Char"/>
    <w:uiPriority w:val="99"/>
    <w:rPr>
      <w:rFonts w:ascii="Arial" w:hAnsi="Arial" w:cs="Arial"/>
      <w:szCs w:val="24"/>
      <w:lang w:val="en" w:eastAsia="en-US"/>
    </w:rPr>
  </w:style>
  <w:style w:type="paragraph" w:styleId="CommentSubject">
    <w:name w:val="annotation subject"/>
    <w:basedOn w:val="CommentText"/>
    <w:next w:val="CommentText"/>
    <w:link w:val="CommentSubjectChar"/>
    <w:uiPriority w:val="99"/>
    <w:semiHidden/>
    <w:unhideWhenUsed/>
    <w:rsid w:val="003725B2"/>
    <w:rPr>
      <w:b/>
      <w:bCs/>
    </w:rPr>
  </w:style>
  <w:style w:type="character" w:customStyle="1" w:styleId="CommentTextChar">
    <w:name w:val="Comment Text Char"/>
    <w:link w:val="CommentText"/>
    <w:uiPriority w:val="99"/>
    <w:semiHidden/>
    <w:rsid w:val="003725B2"/>
    <w:rPr>
      <w:rFonts w:ascii="Arial" w:hAnsi="Arial"/>
      <w:lang w:eastAsia="en-US"/>
    </w:rPr>
  </w:style>
  <w:style w:type="character" w:customStyle="1" w:styleId="CommentSubjectChar">
    <w:name w:val="Comment Subject Char"/>
    <w:basedOn w:val="CommentTextChar"/>
    <w:link w:val="CommentSubject"/>
    <w:rsid w:val="003725B2"/>
    <w:rPr>
      <w:rFonts w:ascii="Arial" w:hAnsi="Arial"/>
      <w:lang w:eastAsia="en-US"/>
    </w:rPr>
  </w:style>
  <w:style w:type="paragraph" w:styleId="ListParagraph">
    <w:name w:val="List Paragraph"/>
    <w:aliases w:val="Bulleted Text,Bullet2,List Paragraph GHL Reports,Bullets"/>
    <w:basedOn w:val="Normal"/>
    <w:link w:val="ListParagraphChar"/>
    <w:uiPriority w:val="34"/>
    <w:qFormat/>
    <w:rsid w:val="009B459A"/>
    <w:pPr>
      <w:spacing w:after="200"/>
      <w:ind w:left="720"/>
      <w:jc w:val="left"/>
    </w:pPr>
    <w:rPr>
      <w:rFonts w:eastAsia="Calibri"/>
      <w:sz w:val="20"/>
      <w:szCs w:val="22"/>
      <w:lang w:eastAsia="x-none"/>
    </w:rPr>
  </w:style>
  <w:style w:type="character" w:customStyle="1" w:styleId="TitleChar">
    <w:name w:val="Title Char"/>
    <w:link w:val="Title"/>
    <w:rsid w:val="00E16099"/>
    <w:rPr>
      <w:b/>
      <w:sz w:val="24"/>
      <w:u w:val="single"/>
      <w:lang w:val="en-GB"/>
    </w:rPr>
  </w:style>
  <w:style w:type="character" w:customStyle="1" w:styleId="Heading7Char">
    <w:name w:val="Heading 7 Char"/>
    <w:aliases w:val="Legal Level 1.1. Char,PA Appendix Major Char,Enumerate Char,7 Char,RR level 7 Char,Numbered - 7 Char"/>
    <w:rsid w:val="00E90146"/>
    <w:rPr>
      <w:rFonts w:ascii="Tahoma" w:hAnsi="Tahoma" w:cs="Tahoma"/>
      <w:i/>
      <w:iCs/>
      <w:color w:val="000000"/>
      <w:lang w:eastAsia="en-US"/>
    </w:rPr>
  </w:style>
  <w:style w:type="table" w:styleId="TableGrid">
    <w:name w:val="Table Grid"/>
    <w:aliases w:val="Smart Text Table"/>
    <w:basedOn w:val="TableNormal"/>
    <w:uiPriority w:val="39"/>
    <w:qFormat/>
    <w:rsid w:val="00222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One Page Summary Char,Body Text 1 Char,body text Char,contents Char,heading_txt Char,bodytxy2 Char"/>
    <w:link w:val="BodyText"/>
    <w:semiHidden/>
    <w:rsid w:val="004741E5"/>
    <w:rPr>
      <w:rFonts w:ascii="Arial" w:hAnsi="Arial"/>
      <w:sz w:val="22"/>
      <w:lang w:eastAsia="x-none"/>
    </w:rPr>
  </w:style>
  <w:style w:type="character" w:customStyle="1" w:styleId="st">
    <w:name w:val="st"/>
    <w:basedOn w:val="DefaultParagraphFont"/>
    <w:rsid w:val="00D875CA"/>
  </w:style>
  <w:style w:type="character" w:customStyle="1" w:styleId="ListParagraphChar">
    <w:name w:val="List Paragraph Char"/>
    <w:aliases w:val="Bulleted Text Char,Bullet2 Char,List Paragraph GHL Reports Char,Bullets Char"/>
    <w:link w:val="ListParagraph"/>
    <w:uiPriority w:val="34"/>
    <w:qFormat/>
    <w:locked/>
    <w:rsid w:val="00F15642"/>
    <w:rPr>
      <w:rFonts w:ascii="Arial" w:eastAsia="Calibri" w:hAnsi="Arial"/>
      <w:szCs w:val="22"/>
      <w:lang w:val="en-GB"/>
    </w:rPr>
  </w:style>
  <w:style w:type="character" w:customStyle="1" w:styleId="BodyTextIndentChar">
    <w:name w:val="Body Text Indent Char"/>
    <w:link w:val="BodyTextIndent"/>
    <w:semiHidden/>
    <w:rsid w:val="007F6DFF"/>
    <w:rPr>
      <w:rFonts w:ascii="Arial" w:hAnsi="Arial"/>
      <w:lang w:val="en-GB"/>
    </w:rPr>
  </w:style>
  <w:style w:type="character" w:customStyle="1" w:styleId="BodyText2Char">
    <w:name w:val="Body Text 2 Char"/>
    <w:link w:val="BodyText2"/>
    <w:semiHidden/>
    <w:rsid w:val="00766509"/>
    <w:rPr>
      <w:rFonts w:ascii="Arial" w:hAnsi="Arial"/>
      <w:szCs w:val="22"/>
      <w:lang w:val="en-GB"/>
    </w:rPr>
  </w:style>
  <w:style w:type="character" w:customStyle="1" w:styleId="FooterChar">
    <w:name w:val="Footer Char"/>
    <w:link w:val="Footer"/>
    <w:uiPriority w:val="99"/>
    <w:rsid w:val="008B51D4"/>
    <w:rPr>
      <w:rFonts w:ascii="Arial" w:hAnsi="Arial"/>
      <w:sz w:val="22"/>
      <w:lang w:eastAsia="en-US"/>
    </w:rPr>
  </w:style>
  <w:style w:type="table" w:customStyle="1" w:styleId="TableGrid11">
    <w:name w:val="Table Grid11"/>
    <w:basedOn w:val="TableNormal"/>
    <w:next w:val="TableGrid"/>
    <w:uiPriority w:val="39"/>
    <w:rsid w:val="00C4744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37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53A68"/>
    <w:rPr>
      <w:rFonts w:ascii="Arial" w:hAnsi="Arial"/>
      <w:sz w:val="22"/>
      <w:lang w:eastAsia="en-US"/>
    </w:rPr>
  </w:style>
  <w:style w:type="table" w:customStyle="1" w:styleId="TableGrid6">
    <w:name w:val="Table Grid6"/>
    <w:basedOn w:val="TableNormal"/>
    <w:next w:val="TableGrid"/>
    <w:uiPriority w:val="39"/>
    <w:rsid w:val="00CD75D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AAHeadingOne">
    <w:name w:val="TIAA Heading One"/>
    <w:basedOn w:val="Normal"/>
    <w:link w:val="TIAAHeadingOneChar"/>
    <w:qFormat/>
    <w:rsid w:val="00FA3421"/>
    <w:pPr>
      <w:spacing w:beforeLines="60" w:before="120" w:afterLines="60" w:after="120" w:line="250" w:lineRule="auto"/>
      <w:ind w:right="144"/>
    </w:pPr>
    <w:rPr>
      <w:rFonts w:ascii="Calibri" w:hAnsi="Calibri"/>
      <w:b/>
      <w:color w:val="DC0D15"/>
      <w:sz w:val="40"/>
      <w:szCs w:val="40"/>
    </w:rPr>
  </w:style>
  <w:style w:type="character" w:customStyle="1" w:styleId="TIAAHeadingOneChar">
    <w:name w:val="TIAA Heading One Char"/>
    <w:link w:val="TIAAHeadingOne"/>
    <w:rsid w:val="00FA3421"/>
    <w:rPr>
      <w:rFonts w:ascii="Calibri" w:hAnsi="Calibri"/>
      <w:b/>
      <w:color w:val="DC0D15"/>
      <w:sz w:val="40"/>
      <w:szCs w:val="40"/>
      <w:lang w:eastAsia="en-US"/>
    </w:rPr>
  </w:style>
  <w:style w:type="paragraph" w:customStyle="1" w:styleId="PHFinProcListBullet">
    <w:name w:val="PHFinProcListBullet"/>
    <w:basedOn w:val="Normal"/>
    <w:autoRedefine/>
    <w:rsid w:val="00391AD8"/>
    <w:pPr>
      <w:keepLines/>
      <w:tabs>
        <w:tab w:val="right" w:pos="9020"/>
      </w:tabs>
      <w:suppressAutoHyphens/>
      <w:ind w:left="90"/>
    </w:pPr>
    <w:rPr>
      <w:rFonts w:ascii="Calibri" w:hAnsi="Calibri"/>
      <w:spacing w:val="-3"/>
    </w:rPr>
  </w:style>
  <w:style w:type="paragraph" w:customStyle="1" w:styleId="TableContents">
    <w:name w:val="Table Contents"/>
    <w:basedOn w:val="Normal"/>
    <w:rsid w:val="00035110"/>
    <w:pPr>
      <w:widowControl w:val="0"/>
      <w:suppressLineNumbers/>
      <w:suppressAutoHyphens/>
      <w:spacing w:after="200" w:line="276" w:lineRule="auto"/>
      <w:jc w:val="left"/>
    </w:pPr>
    <w:rPr>
      <w:rFonts w:ascii="Calibri" w:eastAsia="Calibri" w:hAnsi="Calibri" w:cs="Calibri"/>
      <w:kern w:val="1"/>
      <w:szCs w:val="22"/>
      <w:lang w:eastAsia="hi-IN" w:bidi="hi-IN"/>
    </w:rPr>
  </w:style>
  <w:style w:type="paragraph" w:customStyle="1" w:styleId="WW-Default">
    <w:name w:val="WW-Default"/>
    <w:rsid w:val="00035110"/>
    <w:pPr>
      <w:widowControl w:val="0"/>
      <w:suppressAutoHyphens/>
    </w:pPr>
    <w:rPr>
      <w:rFonts w:ascii="Arial" w:eastAsia="Calibri" w:hAnsi="Arial" w:cs="Arial"/>
      <w:color w:val="000000"/>
      <w:kern w:val="1"/>
      <w:sz w:val="24"/>
      <w:szCs w:val="24"/>
      <w:lang w:eastAsia="hi-IN" w:bidi="hi-IN"/>
    </w:rPr>
  </w:style>
  <w:style w:type="paragraph" w:customStyle="1" w:styleId="BodyText0">
    <w:name w:val="BodyText"/>
    <w:basedOn w:val="Normal"/>
    <w:qFormat/>
    <w:rsid w:val="004A28CF"/>
    <w:pPr>
      <w:spacing w:before="120"/>
      <w:jc w:val="left"/>
    </w:pPr>
    <w:rPr>
      <w:rFonts w:ascii="Calibri" w:eastAsia="Calibri" w:hAnsi="Calibri"/>
      <w:szCs w:val="22"/>
    </w:rPr>
  </w:style>
  <w:style w:type="table" w:customStyle="1" w:styleId="SmartTextTable6">
    <w:name w:val="Smart Text Table6"/>
    <w:basedOn w:val="TableNormal"/>
    <w:next w:val="TableGrid"/>
    <w:uiPriority w:val="39"/>
    <w:qFormat/>
    <w:rsid w:val="003519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8">
    <w:name w:val="Smart Text Table8"/>
    <w:basedOn w:val="TableNormal"/>
    <w:next w:val="TableGrid"/>
    <w:uiPriority w:val="39"/>
    <w:qFormat/>
    <w:rsid w:val="00DC1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11">
    <w:name w:val="Smart Text Table11"/>
    <w:basedOn w:val="TableNormal"/>
    <w:next w:val="TableGrid"/>
    <w:uiPriority w:val="39"/>
    <w:qFormat/>
    <w:rsid w:val="00DC18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0">
    <w:name w:val="Body"/>
    <w:rsid w:val="00826917"/>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table" w:customStyle="1" w:styleId="SmartTextTable1">
    <w:name w:val="Smart Text Table1"/>
    <w:basedOn w:val="TableNormal"/>
    <w:next w:val="TableGrid"/>
    <w:uiPriority w:val="39"/>
    <w:qFormat/>
    <w:rsid w:val="00C258C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7589"/>
    <w:rPr>
      <w:rFonts w:ascii="Arial" w:eastAsia="Calibri"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82039"/>
    <w:rPr>
      <w:rFonts w:ascii="Arial" w:eastAsia="Calibri"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2F571C"/>
    <w:rPr>
      <w:b/>
      <w:bCs/>
      <w:i/>
      <w:iCs/>
      <w:spacing w:val="5"/>
    </w:rPr>
  </w:style>
  <w:style w:type="character" w:styleId="Emphasis">
    <w:name w:val="Emphasis"/>
    <w:basedOn w:val="DefaultParagraphFont"/>
    <w:uiPriority w:val="20"/>
    <w:qFormat/>
    <w:rsid w:val="002F571C"/>
    <w:rPr>
      <w:i/>
      <w:iCs/>
    </w:rPr>
  </w:style>
  <w:style w:type="character" w:styleId="IntenseEmphasis">
    <w:name w:val="Intense Emphasis"/>
    <w:basedOn w:val="DefaultParagraphFont"/>
    <w:uiPriority w:val="21"/>
    <w:qFormat/>
    <w:rsid w:val="002F571C"/>
    <w:rPr>
      <w:i/>
      <w:iCs/>
      <w:color w:val="5B9BD5" w:themeColor="accent1"/>
    </w:rPr>
  </w:style>
  <w:style w:type="paragraph" w:styleId="IntenseQuote">
    <w:name w:val="Intense Quote"/>
    <w:basedOn w:val="Normal"/>
    <w:next w:val="Normal"/>
    <w:link w:val="IntenseQuoteChar"/>
    <w:uiPriority w:val="30"/>
    <w:qFormat/>
    <w:rsid w:val="002F571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F571C"/>
    <w:rPr>
      <w:rFonts w:ascii="Arial" w:hAnsi="Arial"/>
      <w:i/>
      <w:iCs/>
      <w:color w:val="5B9BD5" w:themeColor="accent1"/>
      <w:sz w:val="22"/>
      <w:lang w:eastAsia="en-US"/>
    </w:rPr>
  </w:style>
  <w:style w:type="character" w:styleId="IntenseReference">
    <w:name w:val="Intense Reference"/>
    <w:basedOn w:val="DefaultParagraphFont"/>
    <w:uiPriority w:val="32"/>
    <w:qFormat/>
    <w:rsid w:val="002F571C"/>
    <w:rPr>
      <w:b/>
      <w:bCs/>
      <w:smallCaps/>
      <w:color w:val="5B9BD5" w:themeColor="accent1"/>
      <w:spacing w:val="5"/>
    </w:rPr>
  </w:style>
  <w:style w:type="paragraph" w:styleId="Quote">
    <w:name w:val="Quote"/>
    <w:basedOn w:val="Normal"/>
    <w:next w:val="Normal"/>
    <w:link w:val="QuoteChar"/>
    <w:uiPriority w:val="29"/>
    <w:qFormat/>
    <w:rsid w:val="002F571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571C"/>
    <w:rPr>
      <w:rFonts w:ascii="Arial" w:hAnsi="Arial"/>
      <w:i/>
      <w:iCs/>
      <w:color w:val="404040" w:themeColor="text1" w:themeTint="BF"/>
      <w:sz w:val="22"/>
      <w:lang w:eastAsia="en-US"/>
    </w:rPr>
  </w:style>
  <w:style w:type="character" w:styleId="Strong">
    <w:name w:val="Strong"/>
    <w:basedOn w:val="DefaultParagraphFont"/>
    <w:uiPriority w:val="22"/>
    <w:qFormat/>
    <w:rsid w:val="002F571C"/>
    <w:rPr>
      <w:b/>
      <w:bCs/>
    </w:rPr>
  </w:style>
  <w:style w:type="character" w:styleId="SubtleEmphasis">
    <w:name w:val="Subtle Emphasis"/>
    <w:basedOn w:val="DefaultParagraphFont"/>
    <w:uiPriority w:val="19"/>
    <w:qFormat/>
    <w:rsid w:val="002F571C"/>
    <w:rPr>
      <w:i/>
      <w:iCs/>
      <w:color w:val="404040" w:themeColor="text1" w:themeTint="BF"/>
    </w:rPr>
  </w:style>
  <w:style w:type="character" w:styleId="SubtleReference">
    <w:name w:val="Subtle Reference"/>
    <w:basedOn w:val="DefaultParagraphFont"/>
    <w:uiPriority w:val="31"/>
    <w:qFormat/>
    <w:rsid w:val="002F571C"/>
    <w:rPr>
      <w:smallCaps/>
      <w:color w:val="5A5A5A" w:themeColor="text1" w:themeTint="A5"/>
    </w:rPr>
  </w:style>
  <w:style w:type="paragraph" w:styleId="TOCHeading">
    <w:name w:val="TOC Heading"/>
    <w:basedOn w:val="Heading1"/>
    <w:next w:val="Normal"/>
    <w:uiPriority w:val="39"/>
    <w:semiHidden/>
    <w:unhideWhenUsed/>
    <w:qFormat/>
    <w:rsid w:val="002F571C"/>
    <w:pPr>
      <w:keepLines/>
      <w:spacing w:before="240" w:line="240" w:lineRule="auto"/>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5536">
      <w:bodyDiv w:val="1"/>
      <w:marLeft w:val="0"/>
      <w:marRight w:val="0"/>
      <w:marTop w:val="0"/>
      <w:marBottom w:val="0"/>
      <w:divBdr>
        <w:top w:val="none" w:sz="0" w:space="0" w:color="auto"/>
        <w:left w:val="none" w:sz="0" w:space="0" w:color="auto"/>
        <w:bottom w:val="none" w:sz="0" w:space="0" w:color="auto"/>
        <w:right w:val="none" w:sz="0" w:space="0" w:color="auto"/>
      </w:divBdr>
    </w:div>
    <w:div w:id="63340262">
      <w:bodyDiv w:val="1"/>
      <w:marLeft w:val="0"/>
      <w:marRight w:val="0"/>
      <w:marTop w:val="0"/>
      <w:marBottom w:val="0"/>
      <w:divBdr>
        <w:top w:val="none" w:sz="0" w:space="0" w:color="auto"/>
        <w:left w:val="none" w:sz="0" w:space="0" w:color="auto"/>
        <w:bottom w:val="none" w:sz="0" w:space="0" w:color="auto"/>
        <w:right w:val="none" w:sz="0" w:space="0" w:color="auto"/>
      </w:divBdr>
      <w:divsChild>
        <w:div w:id="1123698119">
          <w:marLeft w:val="0"/>
          <w:marRight w:val="0"/>
          <w:marTop w:val="0"/>
          <w:marBottom w:val="0"/>
          <w:divBdr>
            <w:top w:val="none" w:sz="0" w:space="0" w:color="auto"/>
            <w:left w:val="none" w:sz="0" w:space="0" w:color="auto"/>
            <w:bottom w:val="none" w:sz="0" w:space="0" w:color="auto"/>
            <w:right w:val="none" w:sz="0" w:space="0" w:color="auto"/>
          </w:divBdr>
          <w:divsChild>
            <w:div w:id="928924052">
              <w:marLeft w:val="0"/>
              <w:marRight w:val="0"/>
              <w:marTop w:val="0"/>
              <w:marBottom w:val="0"/>
              <w:divBdr>
                <w:top w:val="none" w:sz="0" w:space="0" w:color="auto"/>
                <w:left w:val="none" w:sz="0" w:space="0" w:color="auto"/>
                <w:bottom w:val="none" w:sz="0" w:space="0" w:color="auto"/>
                <w:right w:val="none" w:sz="0" w:space="0" w:color="auto"/>
              </w:divBdr>
            </w:div>
            <w:div w:id="1397315323">
              <w:marLeft w:val="0"/>
              <w:marRight w:val="0"/>
              <w:marTop w:val="0"/>
              <w:marBottom w:val="0"/>
              <w:divBdr>
                <w:top w:val="none" w:sz="0" w:space="0" w:color="auto"/>
                <w:left w:val="none" w:sz="0" w:space="0" w:color="auto"/>
                <w:bottom w:val="none" w:sz="0" w:space="0" w:color="auto"/>
                <w:right w:val="none" w:sz="0" w:space="0" w:color="auto"/>
              </w:divBdr>
            </w:div>
            <w:div w:id="2045708770">
              <w:marLeft w:val="0"/>
              <w:marRight w:val="0"/>
              <w:marTop w:val="0"/>
              <w:marBottom w:val="0"/>
              <w:divBdr>
                <w:top w:val="none" w:sz="0" w:space="0" w:color="auto"/>
                <w:left w:val="none" w:sz="0" w:space="0" w:color="auto"/>
                <w:bottom w:val="none" w:sz="0" w:space="0" w:color="auto"/>
                <w:right w:val="none" w:sz="0" w:space="0" w:color="auto"/>
              </w:divBdr>
            </w:div>
            <w:div w:id="1042972428">
              <w:marLeft w:val="0"/>
              <w:marRight w:val="0"/>
              <w:marTop w:val="0"/>
              <w:marBottom w:val="0"/>
              <w:divBdr>
                <w:top w:val="none" w:sz="0" w:space="0" w:color="auto"/>
                <w:left w:val="none" w:sz="0" w:space="0" w:color="auto"/>
                <w:bottom w:val="none" w:sz="0" w:space="0" w:color="auto"/>
                <w:right w:val="none" w:sz="0" w:space="0" w:color="auto"/>
              </w:divBdr>
            </w:div>
            <w:div w:id="233710618">
              <w:marLeft w:val="0"/>
              <w:marRight w:val="0"/>
              <w:marTop w:val="0"/>
              <w:marBottom w:val="0"/>
              <w:divBdr>
                <w:top w:val="none" w:sz="0" w:space="0" w:color="auto"/>
                <w:left w:val="none" w:sz="0" w:space="0" w:color="auto"/>
                <w:bottom w:val="none" w:sz="0" w:space="0" w:color="auto"/>
                <w:right w:val="none" w:sz="0" w:space="0" w:color="auto"/>
              </w:divBdr>
            </w:div>
            <w:div w:id="376129838">
              <w:marLeft w:val="0"/>
              <w:marRight w:val="0"/>
              <w:marTop w:val="0"/>
              <w:marBottom w:val="0"/>
              <w:divBdr>
                <w:top w:val="none" w:sz="0" w:space="0" w:color="auto"/>
                <w:left w:val="none" w:sz="0" w:space="0" w:color="auto"/>
                <w:bottom w:val="none" w:sz="0" w:space="0" w:color="auto"/>
                <w:right w:val="none" w:sz="0" w:space="0" w:color="auto"/>
              </w:divBdr>
            </w:div>
            <w:div w:id="100421241">
              <w:marLeft w:val="0"/>
              <w:marRight w:val="0"/>
              <w:marTop w:val="0"/>
              <w:marBottom w:val="0"/>
              <w:divBdr>
                <w:top w:val="none" w:sz="0" w:space="0" w:color="auto"/>
                <w:left w:val="none" w:sz="0" w:space="0" w:color="auto"/>
                <w:bottom w:val="none" w:sz="0" w:space="0" w:color="auto"/>
                <w:right w:val="none" w:sz="0" w:space="0" w:color="auto"/>
              </w:divBdr>
            </w:div>
            <w:div w:id="391119499">
              <w:marLeft w:val="0"/>
              <w:marRight w:val="0"/>
              <w:marTop w:val="0"/>
              <w:marBottom w:val="0"/>
              <w:divBdr>
                <w:top w:val="none" w:sz="0" w:space="0" w:color="auto"/>
                <w:left w:val="none" w:sz="0" w:space="0" w:color="auto"/>
                <w:bottom w:val="none" w:sz="0" w:space="0" w:color="auto"/>
                <w:right w:val="none" w:sz="0" w:space="0" w:color="auto"/>
              </w:divBdr>
            </w:div>
            <w:div w:id="534150635">
              <w:marLeft w:val="0"/>
              <w:marRight w:val="0"/>
              <w:marTop w:val="0"/>
              <w:marBottom w:val="0"/>
              <w:divBdr>
                <w:top w:val="none" w:sz="0" w:space="0" w:color="auto"/>
                <w:left w:val="none" w:sz="0" w:space="0" w:color="auto"/>
                <w:bottom w:val="none" w:sz="0" w:space="0" w:color="auto"/>
                <w:right w:val="none" w:sz="0" w:space="0" w:color="auto"/>
              </w:divBdr>
            </w:div>
            <w:div w:id="748116495">
              <w:marLeft w:val="0"/>
              <w:marRight w:val="0"/>
              <w:marTop w:val="0"/>
              <w:marBottom w:val="0"/>
              <w:divBdr>
                <w:top w:val="none" w:sz="0" w:space="0" w:color="auto"/>
                <w:left w:val="none" w:sz="0" w:space="0" w:color="auto"/>
                <w:bottom w:val="none" w:sz="0" w:space="0" w:color="auto"/>
                <w:right w:val="none" w:sz="0" w:space="0" w:color="auto"/>
              </w:divBdr>
            </w:div>
            <w:div w:id="1662346350">
              <w:marLeft w:val="0"/>
              <w:marRight w:val="0"/>
              <w:marTop w:val="0"/>
              <w:marBottom w:val="0"/>
              <w:divBdr>
                <w:top w:val="none" w:sz="0" w:space="0" w:color="auto"/>
                <w:left w:val="none" w:sz="0" w:space="0" w:color="auto"/>
                <w:bottom w:val="none" w:sz="0" w:space="0" w:color="auto"/>
                <w:right w:val="none" w:sz="0" w:space="0" w:color="auto"/>
              </w:divBdr>
            </w:div>
            <w:div w:id="276527545">
              <w:marLeft w:val="0"/>
              <w:marRight w:val="0"/>
              <w:marTop w:val="0"/>
              <w:marBottom w:val="0"/>
              <w:divBdr>
                <w:top w:val="none" w:sz="0" w:space="0" w:color="auto"/>
                <w:left w:val="none" w:sz="0" w:space="0" w:color="auto"/>
                <w:bottom w:val="none" w:sz="0" w:space="0" w:color="auto"/>
                <w:right w:val="none" w:sz="0" w:space="0" w:color="auto"/>
              </w:divBdr>
            </w:div>
            <w:div w:id="1206672577">
              <w:marLeft w:val="0"/>
              <w:marRight w:val="0"/>
              <w:marTop w:val="0"/>
              <w:marBottom w:val="0"/>
              <w:divBdr>
                <w:top w:val="none" w:sz="0" w:space="0" w:color="auto"/>
                <w:left w:val="none" w:sz="0" w:space="0" w:color="auto"/>
                <w:bottom w:val="none" w:sz="0" w:space="0" w:color="auto"/>
                <w:right w:val="none" w:sz="0" w:space="0" w:color="auto"/>
              </w:divBdr>
            </w:div>
            <w:div w:id="1531144488">
              <w:marLeft w:val="0"/>
              <w:marRight w:val="0"/>
              <w:marTop w:val="0"/>
              <w:marBottom w:val="0"/>
              <w:divBdr>
                <w:top w:val="none" w:sz="0" w:space="0" w:color="auto"/>
                <w:left w:val="none" w:sz="0" w:space="0" w:color="auto"/>
                <w:bottom w:val="none" w:sz="0" w:space="0" w:color="auto"/>
                <w:right w:val="none" w:sz="0" w:space="0" w:color="auto"/>
              </w:divBdr>
            </w:div>
            <w:div w:id="1045442943">
              <w:marLeft w:val="0"/>
              <w:marRight w:val="0"/>
              <w:marTop w:val="0"/>
              <w:marBottom w:val="0"/>
              <w:divBdr>
                <w:top w:val="none" w:sz="0" w:space="0" w:color="auto"/>
                <w:left w:val="none" w:sz="0" w:space="0" w:color="auto"/>
                <w:bottom w:val="none" w:sz="0" w:space="0" w:color="auto"/>
                <w:right w:val="none" w:sz="0" w:space="0" w:color="auto"/>
              </w:divBdr>
            </w:div>
            <w:div w:id="1614749294">
              <w:marLeft w:val="0"/>
              <w:marRight w:val="0"/>
              <w:marTop w:val="0"/>
              <w:marBottom w:val="0"/>
              <w:divBdr>
                <w:top w:val="none" w:sz="0" w:space="0" w:color="auto"/>
                <w:left w:val="none" w:sz="0" w:space="0" w:color="auto"/>
                <w:bottom w:val="none" w:sz="0" w:space="0" w:color="auto"/>
                <w:right w:val="none" w:sz="0" w:space="0" w:color="auto"/>
              </w:divBdr>
            </w:div>
            <w:div w:id="1857959613">
              <w:marLeft w:val="0"/>
              <w:marRight w:val="0"/>
              <w:marTop w:val="0"/>
              <w:marBottom w:val="0"/>
              <w:divBdr>
                <w:top w:val="none" w:sz="0" w:space="0" w:color="auto"/>
                <w:left w:val="none" w:sz="0" w:space="0" w:color="auto"/>
                <w:bottom w:val="none" w:sz="0" w:space="0" w:color="auto"/>
                <w:right w:val="none" w:sz="0" w:space="0" w:color="auto"/>
              </w:divBdr>
            </w:div>
            <w:div w:id="1008600722">
              <w:marLeft w:val="0"/>
              <w:marRight w:val="0"/>
              <w:marTop w:val="0"/>
              <w:marBottom w:val="0"/>
              <w:divBdr>
                <w:top w:val="none" w:sz="0" w:space="0" w:color="auto"/>
                <w:left w:val="none" w:sz="0" w:space="0" w:color="auto"/>
                <w:bottom w:val="none" w:sz="0" w:space="0" w:color="auto"/>
                <w:right w:val="none" w:sz="0" w:space="0" w:color="auto"/>
              </w:divBdr>
            </w:div>
            <w:div w:id="1601327485">
              <w:marLeft w:val="0"/>
              <w:marRight w:val="0"/>
              <w:marTop w:val="0"/>
              <w:marBottom w:val="0"/>
              <w:divBdr>
                <w:top w:val="none" w:sz="0" w:space="0" w:color="auto"/>
                <w:left w:val="none" w:sz="0" w:space="0" w:color="auto"/>
                <w:bottom w:val="none" w:sz="0" w:space="0" w:color="auto"/>
                <w:right w:val="none" w:sz="0" w:space="0" w:color="auto"/>
              </w:divBdr>
            </w:div>
          </w:divsChild>
        </w:div>
        <w:div w:id="2136824717">
          <w:marLeft w:val="0"/>
          <w:marRight w:val="0"/>
          <w:marTop w:val="0"/>
          <w:marBottom w:val="0"/>
          <w:divBdr>
            <w:top w:val="none" w:sz="0" w:space="0" w:color="auto"/>
            <w:left w:val="none" w:sz="0" w:space="0" w:color="auto"/>
            <w:bottom w:val="none" w:sz="0" w:space="0" w:color="auto"/>
            <w:right w:val="none" w:sz="0" w:space="0" w:color="auto"/>
          </w:divBdr>
          <w:divsChild>
            <w:div w:id="1311406398">
              <w:marLeft w:val="0"/>
              <w:marRight w:val="0"/>
              <w:marTop w:val="0"/>
              <w:marBottom w:val="0"/>
              <w:divBdr>
                <w:top w:val="none" w:sz="0" w:space="0" w:color="auto"/>
                <w:left w:val="none" w:sz="0" w:space="0" w:color="auto"/>
                <w:bottom w:val="none" w:sz="0" w:space="0" w:color="auto"/>
                <w:right w:val="none" w:sz="0" w:space="0" w:color="auto"/>
              </w:divBdr>
            </w:div>
            <w:div w:id="1229073114">
              <w:marLeft w:val="0"/>
              <w:marRight w:val="0"/>
              <w:marTop w:val="0"/>
              <w:marBottom w:val="0"/>
              <w:divBdr>
                <w:top w:val="none" w:sz="0" w:space="0" w:color="auto"/>
                <w:left w:val="none" w:sz="0" w:space="0" w:color="auto"/>
                <w:bottom w:val="none" w:sz="0" w:space="0" w:color="auto"/>
                <w:right w:val="none" w:sz="0" w:space="0" w:color="auto"/>
              </w:divBdr>
            </w:div>
            <w:div w:id="196700143">
              <w:marLeft w:val="0"/>
              <w:marRight w:val="0"/>
              <w:marTop w:val="0"/>
              <w:marBottom w:val="0"/>
              <w:divBdr>
                <w:top w:val="none" w:sz="0" w:space="0" w:color="auto"/>
                <w:left w:val="none" w:sz="0" w:space="0" w:color="auto"/>
                <w:bottom w:val="none" w:sz="0" w:space="0" w:color="auto"/>
                <w:right w:val="none" w:sz="0" w:space="0" w:color="auto"/>
              </w:divBdr>
            </w:div>
            <w:div w:id="1407150259">
              <w:marLeft w:val="0"/>
              <w:marRight w:val="0"/>
              <w:marTop w:val="0"/>
              <w:marBottom w:val="0"/>
              <w:divBdr>
                <w:top w:val="none" w:sz="0" w:space="0" w:color="auto"/>
                <w:left w:val="none" w:sz="0" w:space="0" w:color="auto"/>
                <w:bottom w:val="none" w:sz="0" w:space="0" w:color="auto"/>
                <w:right w:val="none" w:sz="0" w:space="0" w:color="auto"/>
              </w:divBdr>
            </w:div>
            <w:div w:id="1129326728">
              <w:marLeft w:val="0"/>
              <w:marRight w:val="0"/>
              <w:marTop w:val="0"/>
              <w:marBottom w:val="0"/>
              <w:divBdr>
                <w:top w:val="none" w:sz="0" w:space="0" w:color="auto"/>
                <w:left w:val="none" w:sz="0" w:space="0" w:color="auto"/>
                <w:bottom w:val="none" w:sz="0" w:space="0" w:color="auto"/>
                <w:right w:val="none" w:sz="0" w:space="0" w:color="auto"/>
              </w:divBdr>
            </w:div>
            <w:div w:id="110363472">
              <w:marLeft w:val="0"/>
              <w:marRight w:val="0"/>
              <w:marTop w:val="0"/>
              <w:marBottom w:val="0"/>
              <w:divBdr>
                <w:top w:val="none" w:sz="0" w:space="0" w:color="auto"/>
                <w:left w:val="none" w:sz="0" w:space="0" w:color="auto"/>
                <w:bottom w:val="none" w:sz="0" w:space="0" w:color="auto"/>
                <w:right w:val="none" w:sz="0" w:space="0" w:color="auto"/>
              </w:divBdr>
            </w:div>
            <w:div w:id="512766201">
              <w:marLeft w:val="0"/>
              <w:marRight w:val="0"/>
              <w:marTop w:val="0"/>
              <w:marBottom w:val="0"/>
              <w:divBdr>
                <w:top w:val="none" w:sz="0" w:space="0" w:color="auto"/>
                <w:left w:val="none" w:sz="0" w:space="0" w:color="auto"/>
                <w:bottom w:val="none" w:sz="0" w:space="0" w:color="auto"/>
                <w:right w:val="none" w:sz="0" w:space="0" w:color="auto"/>
              </w:divBdr>
            </w:div>
            <w:div w:id="2023629832">
              <w:marLeft w:val="0"/>
              <w:marRight w:val="0"/>
              <w:marTop w:val="0"/>
              <w:marBottom w:val="0"/>
              <w:divBdr>
                <w:top w:val="none" w:sz="0" w:space="0" w:color="auto"/>
                <w:left w:val="none" w:sz="0" w:space="0" w:color="auto"/>
                <w:bottom w:val="none" w:sz="0" w:space="0" w:color="auto"/>
                <w:right w:val="none" w:sz="0" w:space="0" w:color="auto"/>
              </w:divBdr>
            </w:div>
            <w:div w:id="1733651268">
              <w:marLeft w:val="0"/>
              <w:marRight w:val="0"/>
              <w:marTop w:val="0"/>
              <w:marBottom w:val="0"/>
              <w:divBdr>
                <w:top w:val="none" w:sz="0" w:space="0" w:color="auto"/>
                <w:left w:val="none" w:sz="0" w:space="0" w:color="auto"/>
                <w:bottom w:val="none" w:sz="0" w:space="0" w:color="auto"/>
                <w:right w:val="none" w:sz="0" w:space="0" w:color="auto"/>
              </w:divBdr>
            </w:div>
            <w:div w:id="1250429886">
              <w:marLeft w:val="0"/>
              <w:marRight w:val="0"/>
              <w:marTop w:val="0"/>
              <w:marBottom w:val="0"/>
              <w:divBdr>
                <w:top w:val="none" w:sz="0" w:space="0" w:color="auto"/>
                <w:left w:val="none" w:sz="0" w:space="0" w:color="auto"/>
                <w:bottom w:val="none" w:sz="0" w:space="0" w:color="auto"/>
                <w:right w:val="none" w:sz="0" w:space="0" w:color="auto"/>
              </w:divBdr>
            </w:div>
            <w:div w:id="2051610537">
              <w:marLeft w:val="0"/>
              <w:marRight w:val="0"/>
              <w:marTop w:val="0"/>
              <w:marBottom w:val="0"/>
              <w:divBdr>
                <w:top w:val="none" w:sz="0" w:space="0" w:color="auto"/>
                <w:left w:val="none" w:sz="0" w:space="0" w:color="auto"/>
                <w:bottom w:val="none" w:sz="0" w:space="0" w:color="auto"/>
                <w:right w:val="none" w:sz="0" w:space="0" w:color="auto"/>
              </w:divBdr>
            </w:div>
            <w:div w:id="1258293925">
              <w:marLeft w:val="0"/>
              <w:marRight w:val="0"/>
              <w:marTop w:val="0"/>
              <w:marBottom w:val="0"/>
              <w:divBdr>
                <w:top w:val="none" w:sz="0" w:space="0" w:color="auto"/>
                <w:left w:val="none" w:sz="0" w:space="0" w:color="auto"/>
                <w:bottom w:val="none" w:sz="0" w:space="0" w:color="auto"/>
                <w:right w:val="none" w:sz="0" w:space="0" w:color="auto"/>
              </w:divBdr>
            </w:div>
            <w:div w:id="1983730311">
              <w:marLeft w:val="0"/>
              <w:marRight w:val="0"/>
              <w:marTop w:val="0"/>
              <w:marBottom w:val="0"/>
              <w:divBdr>
                <w:top w:val="none" w:sz="0" w:space="0" w:color="auto"/>
                <w:left w:val="none" w:sz="0" w:space="0" w:color="auto"/>
                <w:bottom w:val="none" w:sz="0" w:space="0" w:color="auto"/>
                <w:right w:val="none" w:sz="0" w:space="0" w:color="auto"/>
              </w:divBdr>
            </w:div>
            <w:div w:id="912399717">
              <w:marLeft w:val="0"/>
              <w:marRight w:val="0"/>
              <w:marTop w:val="0"/>
              <w:marBottom w:val="0"/>
              <w:divBdr>
                <w:top w:val="none" w:sz="0" w:space="0" w:color="auto"/>
                <w:left w:val="none" w:sz="0" w:space="0" w:color="auto"/>
                <w:bottom w:val="none" w:sz="0" w:space="0" w:color="auto"/>
                <w:right w:val="none" w:sz="0" w:space="0" w:color="auto"/>
              </w:divBdr>
            </w:div>
            <w:div w:id="346031226">
              <w:marLeft w:val="0"/>
              <w:marRight w:val="0"/>
              <w:marTop w:val="0"/>
              <w:marBottom w:val="0"/>
              <w:divBdr>
                <w:top w:val="none" w:sz="0" w:space="0" w:color="auto"/>
                <w:left w:val="none" w:sz="0" w:space="0" w:color="auto"/>
                <w:bottom w:val="none" w:sz="0" w:space="0" w:color="auto"/>
                <w:right w:val="none" w:sz="0" w:space="0" w:color="auto"/>
              </w:divBdr>
            </w:div>
            <w:div w:id="827791117">
              <w:marLeft w:val="0"/>
              <w:marRight w:val="0"/>
              <w:marTop w:val="0"/>
              <w:marBottom w:val="0"/>
              <w:divBdr>
                <w:top w:val="none" w:sz="0" w:space="0" w:color="auto"/>
                <w:left w:val="none" w:sz="0" w:space="0" w:color="auto"/>
                <w:bottom w:val="none" w:sz="0" w:space="0" w:color="auto"/>
                <w:right w:val="none" w:sz="0" w:space="0" w:color="auto"/>
              </w:divBdr>
            </w:div>
            <w:div w:id="561601139">
              <w:marLeft w:val="0"/>
              <w:marRight w:val="0"/>
              <w:marTop w:val="0"/>
              <w:marBottom w:val="0"/>
              <w:divBdr>
                <w:top w:val="none" w:sz="0" w:space="0" w:color="auto"/>
                <w:left w:val="none" w:sz="0" w:space="0" w:color="auto"/>
                <w:bottom w:val="none" w:sz="0" w:space="0" w:color="auto"/>
                <w:right w:val="none" w:sz="0" w:space="0" w:color="auto"/>
              </w:divBdr>
            </w:div>
            <w:div w:id="80415301">
              <w:marLeft w:val="0"/>
              <w:marRight w:val="0"/>
              <w:marTop w:val="0"/>
              <w:marBottom w:val="0"/>
              <w:divBdr>
                <w:top w:val="none" w:sz="0" w:space="0" w:color="auto"/>
                <w:left w:val="none" w:sz="0" w:space="0" w:color="auto"/>
                <w:bottom w:val="none" w:sz="0" w:space="0" w:color="auto"/>
                <w:right w:val="none" w:sz="0" w:space="0" w:color="auto"/>
              </w:divBdr>
            </w:div>
            <w:div w:id="12462548">
              <w:marLeft w:val="0"/>
              <w:marRight w:val="0"/>
              <w:marTop w:val="0"/>
              <w:marBottom w:val="0"/>
              <w:divBdr>
                <w:top w:val="none" w:sz="0" w:space="0" w:color="auto"/>
                <w:left w:val="none" w:sz="0" w:space="0" w:color="auto"/>
                <w:bottom w:val="none" w:sz="0" w:space="0" w:color="auto"/>
                <w:right w:val="none" w:sz="0" w:space="0" w:color="auto"/>
              </w:divBdr>
            </w:div>
            <w:div w:id="1123887777">
              <w:marLeft w:val="0"/>
              <w:marRight w:val="0"/>
              <w:marTop w:val="0"/>
              <w:marBottom w:val="0"/>
              <w:divBdr>
                <w:top w:val="none" w:sz="0" w:space="0" w:color="auto"/>
                <w:left w:val="none" w:sz="0" w:space="0" w:color="auto"/>
                <w:bottom w:val="none" w:sz="0" w:space="0" w:color="auto"/>
                <w:right w:val="none" w:sz="0" w:space="0" w:color="auto"/>
              </w:divBdr>
            </w:div>
          </w:divsChild>
        </w:div>
        <w:div w:id="1192915199">
          <w:marLeft w:val="0"/>
          <w:marRight w:val="0"/>
          <w:marTop w:val="0"/>
          <w:marBottom w:val="0"/>
          <w:divBdr>
            <w:top w:val="none" w:sz="0" w:space="0" w:color="auto"/>
            <w:left w:val="none" w:sz="0" w:space="0" w:color="auto"/>
            <w:bottom w:val="none" w:sz="0" w:space="0" w:color="auto"/>
            <w:right w:val="none" w:sz="0" w:space="0" w:color="auto"/>
          </w:divBdr>
        </w:div>
        <w:div w:id="214120185">
          <w:marLeft w:val="0"/>
          <w:marRight w:val="0"/>
          <w:marTop w:val="0"/>
          <w:marBottom w:val="0"/>
          <w:divBdr>
            <w:top w:val="none" w:sz="0" w:space="0" w:color="auto"/>
            <w:left w:val="none" w:sz="0" w:space="0" w:color="auto"/>
            <w:bottom w:val="none" w:sz="0" w:space="0" w:color="auto"/>
            <w:right w:val="none" w:sz="0" w:space="0" w:color="auto"/>
          </w:divBdr>
        </w:div>
        <w:div w:id="61568139">
          <w:marLeft w:val="0"/>
          <w:marRight w:val="0"/>
          <w:marTop w:val="0"/>
          <w:marBottom w:val="0"/>
          <w:divBdr>
            <w:top w:val="none" w:sz="0" w:space="0" w:color="auto"/>
            <w:left w:val="none" w:sz="0" w:space="0" w:color="auto"/>
            <w:bottom w:val="none" w:sz="0" w:space="0" w:color="auto"/>
            <w:right w:val="none" w:sz="0" w:space="0" w:color="auto"/>
          </w:divBdr>
        </w:div>
        <w:div w:id="523833656">
          <w:marLeft w:val="0"/>
          <w:marRight w:val="0"/>
          <w:marTop w:val="0"/>
          <w:marBottom w:val="0"/>
          <w:divBdr>
            <w:top w:val="none" w:sz="0" w:space="0" w:color="auto"/>
            <w:left w:val="none" w:sz="0" w:space="0" w:color="auto"/>
            <w:bottom w:val="none" w:sz="0" w:space="0" w:color="auto"/>
            <w:right w:val="none" w:sz="0" w:space="0" w:color="auto"/>
          </w:divBdr>
        </w:div>
        <w:div w:id="370375637">
          <w:marLeft w:val="0"/>
          <w:marRight w:val="0"/>
          <w:marTop w:val="0"/>
          <w:marBottom w:val="0"/>
          <w:divBdr>
            <w:top w:val="none" w:sz="0" w:space="0" w:color="auto"/>
            <w:left w:val="none" w:sz="0" w:space="0" w:color="auto"/>
            <w:bottom w:val="none" w:sz="0" w:space="0" w:color="auto"/>
            <w:right w:val="none" w:sz="0" w:space="0" w:color="auto"/>
          </w:divBdr>
        </w:div>
        <w:div w:id="1302224268">
          <w:marLeft w:val="0"/>
          <w:marRight w:val="0"/>
          <w:marTop w:val="0"/>
          <w:marBottom w:val="0"/>
          <w:divBdr>
            <w:top w:val="none" w:sz="0" w:space="0" w:color="auto"/>
            <w:left w:val="none" w:sz="0" w:space="0" w:color="auto"/>
            <w:bottom w:val="none" w:sz="0" w:space="0" w:color="auto"/>
            <w:right w:val="none" w:sz="0" w:space="0" w:color="auto"/>
          </w:divBdr>
        </w:div>
        <w:div w:id="1502693433">
          <w:marLeft w:val="0"/>
          <w:marRight w:val="0"/>
          <w:marTop w:val="0"/>
          <w:marBottom w:val="0"/>
          <w:divBdr>
            <w:top w:val="none" w:sz="0" w:space="0" w:color="auto"/>
            <w:left w:val="none" w:sz="0" w:space="0" w:color="auto"/>
            <w:bottom w:val="none" w:sz="0" w:space="0" w:color="auto"/>
            <w:right w:val="none" w:sz="0" w:space="0" w:color="auto"/>
          </w:divBdr>
        </w:div>
        <w:div w:id="1351105614">
          <w:marLeft w:val="0"/>
          <w:marRight w:val="0"/>
          <w:marTop w:val="0"/>
          <w:marBottom w:val="0"/>
          <w:divBdr>
            <w:top w:val="none" w:sz="0" w:space="0" w:color="auto"/>
            <w:left w:val="none" w:sz="0" w:space="0" w:color="auto"/>
            <w:bottom w:val="none" w:sz="0" w:space="0" w:color="auto"/>
            <w:right w:val="none" w:sz="0" w:space="0" w:color="auto"/>
          </w:divBdr>
        </w:div>
        <w:div w:id="635913850">
          <w:marLeft w:val="0"/>
          <w:marRight w:val="0"/>
          <w:marTop w:val="0"/>
          <w:marBottom w:val="0"/>
          <w:divBdr>
            <w:top w:val="none" w:sz="0" w:space="0" w:color="auto"/>
            <w:left w:val="none" w:sz="0" w:space="0" w:color="auto"/>
            <w:bottom w:val="none" w:sz="0" w:space="0" w:color="auto"/>
            <w:right w:val="none" w:sz="0" w:space="0" w:color="auto"/>
          </w:divBdr>
        </w:div>
        <w:div w:id="1144201055">
          <w:marLeft w:val="0"/>
          <w:marRight w:val="0"/>
          <w:marTop w:val="0"/>
          <w:marBottom w:val="0"/>
          <w:divBdr>
            <w:top w:val="none" w:sz="0" w:space="0" w:color="auto"/>
            <w:left w:val="none" w:sz="0" w:space="0" w:color="auto"/>
            <w:bottom w:val="none" w:sz="0" w:space="0" w:color="auto"/>
            <w:right w:val="none" w:sz="0" w:space="0" w:color="auto"/>
          </w:divBdr>
        </w:div>
        <w:div w:id="1879511686">
          <w:marLeft w:val="0"/>
          <w:marRight w:val="0"/>
          <w:marTop w:val="0"/>
          <w:marBottom w:val="0"/>
          <w:divBdr>
            <w:top w:val="none" w:sz="0" w:space="0" w:color="auto"/>
            <w:left w:val="none" w:sz="0" w:space="0" w:color="auto"/>
            <w:bottom w:val="none" w:sz="0" w:space="0" w:color="auto"/>
            <w:right w:val="none" w:sz="0" w:space="0" w:color="auto"/>
          </w:divBdr>
          <w:divsChild>
            <w:div w:id="1727794173">
              <w:marLeft w:val="-75"/>
              <w:marRight w:val="0"/>
              <w:marTop w:val="30"/>
              <w:marBottom w:val="30"/>
              <w:divBdr>
                <w:top w:val="none" w:sz="0" w:space="0" w:color="auto"/>
                <w:left w:val="none" w:sz="0" w:space="0" w:color="auto"/>
                <w:bottom w:val="none" w:sz="0" w:space="0" w:color="auto"/>
                <w:right w:val="none" w:sz="0" w:space="0" w:color="auto"/>
              </w:divBdr>
              <w:divsChild>
                <w:div w:id="897864605">
                  <w:marLeft w:val="0"/>
                  <w:marRight w:val="0"/>
                  <w:marTop w:val="0"/>
                  <w:marBottom w:val="0"/>
                  <w:divBdr>
                    <w:top w:val="none" w:sz="0" w:space="0" w:color="auto"/>
                    <w:left w:val="none" w:sz="0" w:space="0" w:color="auto"/>
                    <w:bottom w:val="none" w:sz="0" w:space="0" w:color="auto"/>
                    <w:right w:val="none" w:sz="0" w:space="0" w:color="auto"/>
                  </w:divBdr>
                  <w:divsChild>
                    <w:div w:id="171377479">
                      <w:marLeft w:val="0"/>
                      <w:marRight w:val="0"/>
                      <w:marTop w:val="0"/>
                      <w:marBottom w:val="0"/>
                      <w:divBdr>
                        <w:top w:val="none" w:sz="0" w:space="0" w:color="auto"/>
                        <w:left w:val="none" w:sz="0" w:space="0" w:color="auto"/>
                        <w:bottom w:val="none" w:sz="0" w:space="0" w:color="auto"/>
                        <w:right w:val="none" w:sz="0" w:space="0" w:color="auto"/>
                      </w:divBdr>
                    </w:div>
                  </w:divsChild>
                </w:div>
                <w:div w:id="971058967">
                  <w:marLeft w:val="0"/>
                  <w:marRight w:val="0"/>
                  <w:marTop w:val="0"/>
                  <w:marBottom w:val="0"/>
                  <w:divBdr>
                    <w:top w:val="none" w:sz="0" w:space="0" w:color="auto"/>
                    <w:left w:val="none" w:sz="0" w:space="0" w:color="auto"/>
                    <w:bottom w:val="none" w:sz="0" w:space="0" w:color="auto"/>
                    <w:right w:val="none" w:sz="0" w:space="0" w:color="auto"/>
                  </w:divBdr>
                  <w:divsChild>
                    <w:div w:id="1343975093">
                      <w:marLeft w:val="0"/>
                      <w:marRight w:val="0"/>
                      <w:marTop w:val="0"/>
                      <w:marBottom w:val="0"/>
                      <w:divBdr>
                        <w:top w:val="none" w:sz="0" w:space="0" w:color="auto"/>
                        <w:left w:val="none" w:sz="0" w:space="0" w:color="auto"/>
                        <w:bottom w:val="none" w:sz="0" w:space="0" w:color="auto"/>
                        <w:right w:val="none" w:sz="0" w:space="0" w:color="auto"/>
                      </w:divBdr>
                    </w:div>
                  </w:divsChild>
                </w:div>
                <w:div w:id="179973590">
                  <w:marLeft w:val="0"/>
                  <w:marRight w:val="0"/>
                  <w:marTop w:val="0"/>
                  <w:marBottom w:val="0"/>
                  <w:divBdr>
                    <w:top w:val="none" w:sz="0" w:space="0" w:color="auto"/>
                    <w:left w:val="none" w:sz="0" w:space="0" w:color="auto"/>
                    <w:bottom w:val="none" w:sz="0" w:space="0" w:color="auto"/>
                    <w:right w:val="none" w:sz="0" w:space="0" w:color="auto"/>
                  </w:divBdr>
                  <w:divsChild>
                    <w:div w:id="452212083">
                      <w:marLeft w:val="0"/>
                      <w:marRight w:val="0"/>
                      <w:marTop w:val="0"/>
                      <w:marBottom w:val="0"/>
                      <w:divBdr>
                        <w:top w:val="none" w:sz="0" w:space="0" w:color="auto"/>
                        <w:left w:val="none" w:sz="0" w:space="0" w:color="auto"/>
                        <w:bottom w:val="none" w:sz="0" w:space="0" w:color="auto"/>
                        <w:right w:val="none" w:sz="0" w:space="0" w:color="auto"/>
                      </w:divBdr>
                    </w:div>
                  </w:divsChild>
                </w:div>
                <w:div w:id="1961648070">
                  <w:marLeft w:val="0"/>
                  <w:marRight w:val="0"/>
                  <w:marTop w:val="0"/>
                  <w:marBottom w:val="0"/>
                  <w:divBdr>
                    <w:top w:val="none" w:sz="0" w:space="0" w:color="auto"/>
                    <w:left w:val="none" w:sz="0" w:space="0" w:color="auto"/>
                    <w:bottom w:val="none" w:sz="0" w:space="0" w:color="auto"/>
                    <w:right w:val="none" w:sz="0" w:space="0" w:color="auto"/>
                  </w:divBdr>
                  <w:divsChild>
                    <w:div w:id="226958013">
                      <w:marLeft w:val="0"/>
                      <w:marRight w:val="0"/>
                      <w:marTop w:val="0"/>
                      <w:marBottom w:val="0"/>
                      <w:divBdr>
                        <w:top w:val="none" w:sz="0" w:space="0" w:color="auto"/>
                        <w:left w:val="none" w:sz="0" w:space="0" w:color="auto"/>
                        <w:bottom w:val="none" w:sz="0" w:space="0" w:color="auto"/>
                        <w:right w:val="none" w:sz="0" w:space="0" w:color="auto"/>
                      </w:divBdr>
                    </w:div>
                    <w:div w:id="1440489141">
                      <w:marLeft w:val="0"/>
                      <w:marRight w:val="0"/>
                      <w:marTop w:val="0"/>
                      <w:marBottom w:val="0"/>
                      <w:divBdr>
                        <w:top w:val="none" w:sz="0" w:space="0" w:color="auto"/>
                        <w:left w:val="none" w:sz="0" w:space="0" w:color="auto"/>
                        <w:bottom w:val="none" w:sz="0" w:space="0" w:color="auto"/>
                        <w:right w:val="none" w:sz="0" w:space="0" w:color="auto"/>
                      </w:divBdr>
                    </w:div>
                    <w:div w:id="244926118">
                      <w:marLeft w:val="0"/>
                      <w:marRight w:val="0"/>
                      <w:marTop w:val="0"/>
                      <w:marBottom w:val="0"/>
                      <w:divBdr>
                        <w:top w:val="none" w:sz="0" w:space="0" w:color="auto"/>
                        <w:left w:val="none" w:sz="0" w:space="0" w:color="auto"/>
                        <w:bottom w:val="none" w:sz="0" w:space="0" w:color="auto"/>
                        <w:right w:val="none" w:sz="0" w:space="0" w:color="auto"/>
                      </w:divBdr>
                    </w:div>
                  </w:divsChild>
                </w:div>
                <w:div w:id="1273823733">
                  <w:marLeft w:val="0"/>
                  <w:marRight w:val="0"/>
                  <w:marTop w:val="0"/>
                  <w:marBottom w:val="0"/>
                  <w:divBdr>
                    <w:top w:val="none" w:sz="0" w:space="0" w:color="auto"/>
                    <w:left w:val="none" w:sz="0" w:space="0" w:color="auto"/>
                    <w:bottom w:val="none" w:sz="0" w:space="0" w:color="auto"/>
                    <w:right w:val="none" w:sz="0" w:space="0" w:color="auto"/>
                  </w:divBdr>
                  <w:divsChild>
                    <w:div w:id="1435401503">
                      <w:marLeft w:val="0"/>
                      <w:marRight w:val="0"/>
                      <w:marTop w:val="0"/>
                      <w:marBottom w:val="0"/>
                      <w:divBdr>
                        <w:top w:val="none" w:sz="0" w:space="0" w:color="auto"/>
                        <w:left w:val="none" w:sz="0" w:space="0" w:color="auto"/>
                        <w:bottom w:val="none" w:sz="0" w:space="0" w:color="auto"/>
                        <w:right w:val="none" w:sz="0" w:space="0" w:color="auto"/>
                      </w:divBdr>
                    </w:div>
                  </w:divsChild>
                </w:div>
                <w:div w:id="107552958">
                  <w:marLeft w:val="0"/>
                  <w:marRight w:val="0"/>
                  <w:marTop w:val="0"/>
                  <w:marBottom w:val="0"/>
                  <w:divBdr>
                    <w:top w:val="none" w:sz="0" w:space="0" w:color="auto"/>
                    <w:left w:val="none" w:sz="0" w:space="0" w:color="auto"/>
                    <w:bottom w:val="none" w:sz="0" w:space="0" w:color="auto"/>
                    <w:right w:val="none" w:sz="0" w:space="0" w:color="auto"/>
                  </w:divBdr>
                  <w:divsChild>
                    <w:div w:id="601231518">
                      <w:marLeft w:val="0"/>
                      <w:marRight w:val="0"/>
                      <w:marTop w:val="0"/>
                      <w:marBottom w:val="0"/>
                      <w:divBdr>
                        <w:top w:val="none" w:sz="0" w:space="0" w:color="auto"/>
                        <w:left w:val="none" w:sz="0" w:space="0" w:color="auto"/>
                        <w:bottom w:val="none" w:sz="0" w:space="0" w:color="auto"/>
                        <w:right w:val="none" w:sz="0" w:space="0" w:color="auto"/>
                      </w:divBdr>
                    </w:div>
                  </w:divsChild>
                </w:div>
                <w:div w:id="2118715163">
                  <w:marLeft w:val="0"/>
                  <w:marRight w:val="0"/>
                  <w:marTop w:val="0"/>
                  <w:marBottom w:val="0"/>
                  <w:divBdr>
                    <w:top w:val="none" w:sz="0" w:space="0" w:color="auto"/>
                    <w:left w:val="none" w:sz="0" w:space="0" w:color="auto"/>
                    <w:bottom w:val="none" w:sz="0" w:space="0" w:color="auto"/>
                    <w:right w:val="none" w:sz="0" w:space="0" w:color="auto"/>
                  </w:divBdr>
                  <w:divsChild>
                    <w:div w:id="403769011">
                      <w:marLeft w:val="0"/>
                      <w:marRight w:val="0"/>
                      <w:marTop w:val="0"/>
                      <w:marBottom w:val="0"/>
                      <w:divBdr>
                        <w:top w:val="none" w:sz="0" w:space="0" w:color="auto"/>
                        <w:left w:val="none" w:sz="0" w:space="0" w:color="auto"/>
                        <w:bottom w:val="none" w:sz="0" w:space="0" w:color="auto"/>
                        <w:right w:val="none" w:sz="0" w:space="0" w:color="auto"/>
                      </w:divBdr>
                    </w:div>
                  </w:divsChild>
                </w:div>
                <w:div w:id="1227571028">
                  <w:marLeft w:val="0"/>
                  <w:marRight w:val="0"/>
                  <w:marTop w:val="0"/>
                  <w:marBottom w:val="0"/>
                  <w:divBdr>
                    <w:top w:val="none" w:sz="0" w:space="0" w:color="auto"/>
                    <w:left w:val="none" w:sz="0" w:space="0" w:color="auto"/>
                    <w:bottom w:val="none" w:sz="0" w:space="0" w:color="auto"/>
                    <w:right w:val="none" w:sz="0" w:space="0" w:color="auto"/>
                  </w:divBdr>
                  <w:divsChild>
                    <w:div w:id="2705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429064">
          <w:marLeft w:val="0"/>
          <w:marRight w:val="0"/>
          <w:marTop w:val="0"/>
          <w:marBottom w:val="0"/>
          <w:divBdr>
            <w:top w:val="none" w:sz="0" w:space="0" w:color="auto"/>
            <w:left w:val="none" w:sz="0" w:space="0" w:color="auto"/>
            <w:bottom w:val="none" w:sz="0" w:space="0" w:color="auto"/>
            <w:right w:val="none" w:sz="0" w:space="0" w:color="auto"/>
          </w:divBdr>
        </w:div>
        <w:div w:id="1726446823">
          <w:marLeft w:val="0"/>
          <w:marRight w:val="0"/>
          <w:marTop w:val="0"/>
          <w:marBottom w:val="0"/>
          <w:divBdr>
            <w:top w:val="none" w:sz="0" w:space="0" w:color="auto"/>
            <w:left w:val="none" w:sz="0" w:space="0" w:color="auto"/>
            <w:bottom w:val="none" w:sz="0" w:space="0" w:color="auto"/>
            <w:right w:val="none" w:sz="0" w:space="0" w:color="auto"/>
          </w:divBdr>
        </w:div>
        <w:div w:id="1724912595">
          <w:marLeft w:val="0"/>
          <w:marRight w:val="0"/>
          <w:marTop w:val="0"/>
          <w:marBottom w:val="0"/>
          <w:divBdr>
            <w:top w:val="none" w:sz="0" w:space="0" w:color="auto"/>
            <w:left w:val="none" w:sz="0" w:space="0" w:color="auto"/>
            <w:bottom w:val="none" w:sz="0" w:space="0" w:color="auto"/>
            <w:right w:val="none" w:sz="0" w:space="0" w:color="auto"/>
          </w:divBdr>
        </w:div>
      </w:divsChild>
    </w:div>
    <w:div w:id="108545968">
      <w:bodyDiv w:val="1"/>
      <w:marLeft w:val="0"/>
      <w:marRight w:val="0"/>
      <w:marTop w:val="0"/>
      <w:marBottom w:val="0"/>
      <w:divBdr>
        <w:top w:val="none" w:sz="0" w:space="0" w:color="auto"/>
        <w:left w:val="none" w:sz="0" w:space="0" w:color="auto"/>
        <w:bottom w:val="none" w:sz="0" w:space="0" w:color="auto"/>
        <w:right w:val="none" w:sz="0" w:space="0" w:color="auto"/>
      </w:divBdr>
    </w:div>
    <w:div w:id="141317278">
      <w:bodyDiv w:val="1"/>
      <w:marLeft w:val="0"/>
      <w:marRight w:val="0"/>
      <w:marTop w:val="0"/>
      <w:marBottom w:val="0"/>
      <w:divBdr>
        <w:top w:val="none" w:sz="0" w:space="0" w:color="auto"/>
        <w:left w:val="none" w:sz="0" w:space="0" w:color="auto"/>
        <w:bottom w:val="none" w:sz="0" w:space="0" w:color="auto"/>
        <w:right w:val="none" w:sz="0" w:space="0" w:color="auto"/>
      </w:divBdr>
    </w:div>
    <w:div w:id="154346462">
      <w:bodyDiv w:val="1"/>
      <w:marLeft w:val="0"/>
      <w:marRight w:val="0"/>
      <w:marTop w:val="0"/>
      <w:marBottom w:val="0"/>
      <w:divBdr>
        <w:top w:val="none" w:sz="0" w:space="0" w:color="auto"/>
        <w:left w:val="none" w:sz="0" w:space="0" w:color="auto"/>
        <w:bottom w:val="none" w:sz="0" w:space="0" w:color="auto"/>
        <w:right w:val="none" w:sz="0" w:space="0" w:color="auto"/>
      </w:divBdr>
      <w:divsChild>
        <w:div w:id="1896548900">
          <w:marLeft w:val="0"/>
          <w:marRight w:val="0"/>
          <w:marTop w:val="0"/>
          <w:marBottom w:val="0"/>
          <w:divBdr>
            <w:top w:val="none" w:sz="0" w:space="0" w:color="auto"/>
            <w:left w:val="none" w:sz="0" w:space="0" w:color="auto"/>
            <w:bottom w:val="none" w:sz="0" w:space="0" w:color="auto"/>
            <w:right w:val="none" w:sz="0" w:space="0" w:color="auto"/>
          </w:divBdr>
          <w:divsChild>
            <w:div w:id="1382749877">
              <w:marLeft w:val="0"/>
              <w:marRight w:val="0"/>
              <w:marTop w:val="0"/>
              <w:marBottom w:val="0"/>
              <w:divBdr>
                <w:top w:val="none" w:sz="0" w:space="0" w:color="auto"/>
                <w:left w:val="none" w:sz="0" w:space="0" w:color="auto"/>
                <w:bottom w:val="none" w:sz="0" w:space="0" w:color="auto"/>
                <w:right w:val="none" w:sz="0" w:space="0" w:color="auto"/>
              </w:divBdr>
            </w:div>
            <w:div w:id="1029339420">
              <w:marLeft w:val="0"/>
              <w:marRight w:val="0"/>
              <w:marTop w:val="0"/>
              <w:marBottom w:val="0"/>
              <w:divBdr>
                <w:top w:val="none" w:sz="0" w:space="0" w:color="auto"/>
                <w:left w:val="none" w:sz="0" w:space="0" w:color="auto"/>
                <w:bottom w:val="none" w:sz="0" w:space="0" w:color="auto"/>
                <w:right w:val="none" w:sz="0" w:space="0" w:color="auto"/>
              </w:divBdr>
            </w:div>
            <w:div w:id="1444617406">
              <w:marLeft w:val="0"/>
              <w:marRight w:val="0"/>
              <w:marTop w:val="0"/>
              <w:marBottom w:val="0"/>
              <w:divBdr>
                <w:top w:val="none" w:sz="0" w:space="0" w:color="auto"/>
                <w:left w:val="none" w:sz="0" w:space="0" w:color="auto"/>
                <w:bottom w:val="none" w:sz="0" w:space="0" w:color="auto"/>
                <w:right w:val="none" w:sz="0" w:space="0" w:color="auto"/>
              </w:divBdr>
            </w:div>
            <w:div w:id="1096056131">
              <w:marLeft w:val="0"/>
              <w:marRight w:val="0"/>
              <w:marTop w:val="0"/>
              <w:marBottom w:val="0"/>
              <w:divBdr>
                <w:top w:val="none" w:sz="0" w:space="0" w:color="auto"/>
                <w:left w:val="none" w:sz="0" w:space="0" w:color="auto"/>
                <w:bottom w:val="none" w:sz="0" w:space="0" w:color="auto"/>
                <w:right w:val="none" w:sz="0" w:space="0" w:color="auto"/>
              </w:divBdr>
            </w:div>
            <w:div w:id="783578383">
              <w:marLeft w:val="0"/>
              <w:marRight w:val="0"/>
              <w:marTop w:val="0"/>
              <w:marBottom w:val="0"/>
              <w:divBdr>
                <w:top w:val="none" w:sz="0" w:space="0" w:color="auto"/>
                <w:left w:val="none" w:sz="0" w:space="0" w:color="auto"/>
                <w:bottom w:val="none" w:sz="0" w:space="0" w:color="auto"/>
                <w:right w:val="none" w:sz="0" w:space="0" w:color="auto"/>
              </w:divBdr>
            </w:div>
            <w:div w:id="1784614084">
              <w:marLeft w:val="0"/>
              <w:marRight w:val="0"/>
              <w:marTop w:val="0"/>
              <w:marBottom w:val="0"/>
              <w:divBdr>
                <w:top w:val="none" w:sz="0" w:space="0" w:color="auto"/>
                <w:left w:val="none" w:sz="0" w:space="0" w:color="auto"/>
                <w:bottom w:val="none" w:sz="0" w:space="0" w:color="auto"/>
                <w:right w:val="none" w:sz="0" w:space="0" w:color="auto"/>
              </w:divBdr>
            </w:div>
            <w:div w:id="1492453668">
              <w:marLeft w:val="0"/>
              <w:marRight w:val="0"/>
              <w:marTop w:val="0"/>
              <w:marBottom w:val="0"/>
              <w:divBdr>
                <w:top w:val="none" w:sz="0" w:space="0" w:color="auto"/>
                <w:left w:val="none" w:sz="0" w:space="0" w:color="auto"/>
                <w:bottom w:val="none" w:sz="0" w:space="0" w:color="auto"/>
                <w:right w:val="none" w:sz="0" w:space="0" w:color="auto"/>
              </w:divBdr>
            </w:div>
            <w:div w:id="844977842">
              <w:marLeft w:val="0"/>
              <w:marRight w:val="0"/>
              <w:marTop w:val="0"/>
              <w:marBottom w:val="0"/>
              <w:divBdr>
                <w:top w:val="none" w:sz="0" w:space="0" w:color="auto"/>
                <w:left w:val="none" w:sz="0" w:space="0" w:color="auto"/>
                <w:bottom w:val="none" w:sz="0" w:space="0" w:color="auto"/>
                <w:right w:val="none" w:sz="0" w:space="0" w:color="auto"/>
              </w:divBdr>
            </w:div>
            <w:div w:id="511604919">
              <w:marLeft w:val="0"/>
              <w:marRight w:val="0"/>
              <w:marTop w:val="0"/>
              <w:marBottom w:val="0"/>
              <w:divBdr>
                <w:top w:val="none" w:sz="0" w:space="0" w:color="auto"/>
                <w:left w:val="none" w:sz="0" w:space="0" w:color="auto"/>
                <w:bottom w:val="none" w:sz="0" w:space="0" w:color="auto"/>
                <w:right w:val="none" w:sz="0" w:space="0" w:color="auto"/>
              </w:divBdr>
            </w:div>
            <w:div w:id="1317152306">
              <w:marLeft w:val="0"/>
              <w:marRight w:val="0"/>
              <w:marTop w:val="0"/>
              <w:marBottom w:val="0"/>
              <w:divBdr>
                <w:top w:val="none" w:sz="0" w:space="0" w:color="auto"/>
                <w:left w:val="none" w:sz="0" w:space="0" w:color="auto"/>
                <w:bottom w:val="none" w:sz="0" w:space="0" w:color="auto"/>
                <w:right w:val="none" w:sz="0" w:space="0" w:color="auto"/>
              </w:divBdr>
            </w:div>
            <w:div w:id="354887745">
              <w:marLeft w:val="0"/>
              <w:marRight w:val="0"/>
              <w:marTop w:val="0"/>
              <w:marBottom w:val="0"/>
              <w:divBdr>
                <w:top w:val="none" w:sz="0" w:space="0" w:color="auto"/>
                <w:left w:val="none" w:sz="0" w:space="0" w:color="auto"/>
                <w:bottom w:val="none" w:sz="0" w:space="0" w:color="auto"/>
                <w:right w:val="none" w:sz="0" w:space="0" w:color="auto"/>
              </w:divBdr>
            </w:div>
            <w:div w:id="975643776">
              <w:marLeft w:val="0"/>
              <w:marRight w:val="0"/>
              <w:marTop w:val="0"/>
              <w:marBottom w:val="0"/>
              <w:divBdr>
                <w:top w:val="none" w:sz="0" w:space="0" w:color="auto"/>
                <w:left w:val="none" w:sz="0" w:space="0" w:color="auto"/>
                <w:bottom w:val="none" w:sz="0" w:space="0" w:color="auto"/>
                <w:right w:val="none" w:sz="0" w:space="0" w:color="auto"/>
              </w:divBdr>
            </w:div>
            <w:div w:id="235629362">
              <w:marLeft w:val="0"/>
              <w:marRight w:val="0"/>
              <w:marTop w:val="0"/>
              <w:marBottom w:val="0"/>
              <w:divBdr>
                <w:top w:val="none" w:sz="0" w:space="0" w:color="auto"/>
                <w:left w:val="none" w:sz="0" w:space="0" w:color="auto"/>
                <w:bottom w:val="none" w:sz="0" w:space="0" w:color="auto"/>
                <w:right w:val="none" w:sz="0" w:space="0" w:color="auto"/>
              </w:divBdr>
            </w:div>
            <w:div w:id="892345747">
              <w:marLeft w:val="0"/>
              <w:marRight w:val="0"/>
              <w:marTop w:val="0"/>
              <w:marBottom w:val="0"/>
              <w:divBdr>
                <w:top w:val="none" w:sz="0" w:space="0" w:color="auto"/>
                <w:left w:val="none" w:sz="0" w:space="0" w:color="auto"/>
                <w:bottom w:val="none" w:sz="0" w:space="0" w:color="auto"/>
                <w:right w:val="none" w:sz="0" w:space="0" w:color="auto"/>
              </w:divBdr>
            </w:div>
            <w:div w:id="280887914">
              <w:marLeft w:val="0"/>
              <w:marRight w:val="0"/>
              <w:marTop w:val="0"/>
              <w:marBottom w:val="0"/>
              <w:divBdr>
                <w:top w:val="none" w:sz="0" w:space="0" w:color="auto"/>
                <w:left w:val="none" w:sz="0" w:space="0" w:color="auto"/>
                <w:bottom w:val="none" w:sz="0" w:space="0" w:color="auto"/>
                <w:right w:val="none" w:sz="0" w:space="0" w:color="auto"/>
              </w:divBdr>
            </w:div>
            <w:div w:id="516307043">
              <w:marLeft w:val="0"/>
              <w:marRight w:val="0"/>
              <w:marTop w:val="0"/>
              <w:marBottom w:val="0"/>
              <w:divBdr>
                <w:top w:val="none" w:sz="0" w:space="0" w:color="auto"/>
                <w:left w:val="none" w:sz="0" w:space="0" w:color="auto"/>
                <w:bottom w:val="none" w:sz="0" w:space="0" w:color="auto"/>
                <w:right w:val="none" w:sz="0" w:space="0" w:color="auto"/>
              </w:divBdr>
            </w:div>
            <w:div w:id="1250695325">
              <w:marLeft w:val="0"/>
              <w:marRight w:val="0"/>
              <w:marTop w:val="0"/>
              <w:marBottom w:val="0"/>
              <w:divBdr>
                <w:top w:val="none" w:sz="0" w:space="0" w:color="auto"/>
                <w:left w:val="none" w:sz="0" w:space="0" w:color="auto"/>
                <w:bottom w:val="none" w:sz="0" w:space="0" w:color="auto"/>
                <w:right w:val="none" w:sz="0" w:space="0" w:color="auto"/>
              </w:divBdr>
            </w:div>
            <w:div w:id="158353896">
              <w:marLeft w:val="0"/>
              <w:marRight w:val="0"/>
              <w:marTop w:val="0"/>
              <w:marBottom w:val="0"/>
              <w:divBdr>
                <w:top w:val="none" w:sz="0" w:space="0" w:color="auto"/>
                <w:left w:val="none" w:sz="0" w:space="0" w:color="auto"/>
                <w:bottom w:val="none" w:sz="0" w:space="0" w:color="auto"/>
                <w:right w:val="none" w:sz="0" w:space="0" w:color="auto"/>
              </w:divBdr>
            </w:div>
            <w:div w:id="1428426869">
              <w:marLeft w:val="0"/>
              <w:marRight w:val="0"/>
              <w:marTop w:val="0"/>
              <w:marBottom w:val="0"/>
              <w:divBdr>
                <w:top w:val="none" w:sz="0" w:space="0" w:color="auto"/>
                <w:left w:val="none" w:sz="0" w:space="0" w:color="auto"/>
                <w:bottom w:val="none" w:sz="0" w:space="0" w:color="auto"/>
                <w:right w:val="none" w:sz="0" w:space="0" w:color="auto"/>
              </w:divBdr>
            </w:div>
          </w:divsChild>
        </w:div>
        <w:div w:id="1358505714">
          <w:marLeft w:val="0"/>
          <w:marRight w:val="0"/>
          <w:marTop w:val="0"/>
          <w:marBottom w:val="0"/>
          <w:divBdr>
            <w:top w:val="none" w:sz="0" w:space="0" w:color="auto"/>
            <w:left w:val="none" w:sz="0" w:space="0" w:color="auto"/>
            <w:bottom w:val="none" w:sz="0" w:space="0" w:color="auto"/>
            <w:right w:val="none" w:sz="0" w:space="0" w:color="auto"/>
          </w:divBdr>
          <w:divsChild>
            <w:div w:id="1274167125">
              <w:marLeft w:val="0"/>
              <w:marRight w:val="0"/>
              <w:marTop w:val="0"/>
              <w:marBottom w:val="0"/>
              <w:divBdr>
                <w:top w:val="none" w:sz="0" w:space="0" w:color="auto"/>
                <w:left w:val="none" w:sz="0" w:space="0" w:color="auto"/>
                <w:bottom w:val="none" w:sz="0" w:space="0" w:color="auto"/>
                <w:right w:val="none" w:sz="0" w:space="0" w:color="auto"/>
              </w:divBdr>
            </w:div>
            <w:div w:id="40834041">
              <w:marLeft w:val="0"/>
              <w:marRight w:val="0"/>
              <w:marTop w:val="0"/>
              <w:marBottom w:val="0"/>
              <w:divBdr>
                <w:top w:val="none" w:sz="0" w:space="0" w:color="auto"/>
                <w:left w:val="none" w:sz="0" w:space="0" w:color="auto"/>
                <w:bottom w:val="none" w:sz="0" w:space="0" w:color="auto"/>
                <w:right w:val="none" w:sz="0" w:space="0" w:color="auto"/>
              </w:divBdr>
            </w:div>
            <w:div w:id="858159788">
              <w:marLeft w:val="0"/>
              <w:marRight w:val="0"/>
              <w:marTop w:val="0"/>
              <w:marBottom w:val="0"/>
              <w:divBdr>
                <w:top w:val="none" w:sz="0" w:space="0" w:color="auto"/>
                <w:left w:val="none" w:sz="0" w:space="0" w:color="auto"/>
                <w:bottom w:val="none" w:sz="0" w:space="0" w:color="auto"/>
                <w:right w:val="none" w:sz="0" w:space="0" w:color="auto"/>
              </w:divBdr>
            </w:div>
            <w:div w:id="1425570250">
              <w:marLeft w:val="0"/>
              <w:marRight w:val="0"/>
              <w:marTop w:val="0"/>
              <w:marBottom w:val="0"/>
              <w:divBdr>
                <w:top w:val="none" w:sz="0" w:space="0" w:color="auto"/>
                <w:left w:val="none" w:sz="0" w:space="0" w:color="auto"/>
                <w:bottom w:val="none" w:sz="0" w:space="0" w:color="auto"/>
                <w:right w:val="none" w:sz="0" w:space="0" w:color="auto"/>
              </w:divBdr>
            </w:div>
            <w:div w:id="1517385789">
              <w:marLeft w:val="0"/>
              <w:marRight w:val="0"/>
              <w:marTop w:val="0"/>
              <w:marBottom w:val="0"/>
              <w:divBdr>
                <w:top w:val="none" w:sz="0" w:space="0" w:color="auto"/>
                <w:left w:val="none" w:sz="0" w:space="0" w:color="auto"/>
                <w:bottom w:val="none" w:sz="0" w:space="0" w:color="auto"/>
                <w:right w:val="none" w:sz="0" w:space="0" w:color="auto"/>
              </w:divBdr>
            </w:div>
            <w:div w:id="1167675474">
              <w:marLeft w:val="0"/>
              <w:marRight w:val="0"/>
              <w:marTop w:val="0"/>
              <w:marBottom w:val="0"/>
              <w:divBdr>
                <w:top w:val="none" w:sz="0" w:space="0" w:color="auto"/>
                <w:left w:val="none" w:sz="0" w:space="0" w:color="auto"/>
                <w:bottom w:val="none" w:sz="0" w:space="0" w:color="auto"/>
                <w:right w:val="none" w:sz="0" w:space="0" w:color="auto"/>
              </w:divBdr>
            </w:div>
            <w:div w:id="2083985699">
              <w:marLeft w:val="0"/>
              <w:marRight w:val="0"/>
              <w:marTop w:val="0"/>
              <w:marBottom w:val="0"/>
              <w:divBdr>
                <w:top w:val="none" w:sz="0" w:space="0" w:color="auto"/>
                <w:left w:val="none" w:sz="0" w:space="0" w:color="auto"/>
                <w:bottom w:val="none" w:sz="0" w:space="0" w:color="auto"/>
                <w:right w:val="none" w:sz="0" w:space="0" w:color="auto"/>
              </w:divBdr>
            </w:div>
            <w:div w:id="1255940797">
              <w:marLeft w:val="0"/>
              <w:marRight w:val="0"/>
              <w:marTop w:val="0"/>
              <w:marBottom w:val="0"/>
              <w:divBdr>
                <w:top w:val="none" w:sz="0" w:space="0" w:color="auto"/>
                <w:left w:val="none" w:sz="0" w:space="0" w:color="auto"/>
                <w:bottom w:val="none" w:sz="0" w:space="0" w:color="auto"/>
                <w:right w:val="none" w:sz="0" w:space="0" w:color="auto"/>
              </w:divBdr>
            </w:div>
            <w:div w:id="863179541">
              <w:marLeft w:val="0"/>
              <w:marRight w:val="0"/>
              <w:marTop w:val="0"/>
              <w:marBottom w:val="0"/>
              <w:divBdr>
                <w:top w:val="none" w:sz="0" w:space="0" w:color="auto"/>
                <w:left w:val="none" w:sz="0" w:space="0" w:color="auto"/>
                <w:bottom w:val="none" w:sz="0" w:space="0" w:color="auto"/>
                <w:right w:val="none" w:sz="0" w:space="0" w:color="auto"/>
              </w:divBdr>
            </w:div>
            <w:div w:id="475612128">
              <w:marLeft w:val="0"/>
              <w:marRight w:val="0"/>
              <w:marTop w:val="0"/>
              <w:marBottom w:val="0"/>
              <w:divBdr>
                <w:top w:val="none" w:sz="0" w:space="0" w:color="auto"/>
                <w:left w:val="none" w:sz="0" w:space="0" w:color="auto"/>
                <w:bottom w:val="none" w:sz="0" w:space="0" w:color="auto"/>
                <w:right w:val="none" w:sz="0" w:space="0" w:color="auto"/>
              </w:divBdr>
            </w:div>
            <w:div w:id="375011677">
              <w:marLeft w:val="0"/>
              <w:marRight w:val="0"/>
              <w:marTop w:val="0"/>
              <w:marBottom w:val="0"/>
              <w:divBdr>
                <w:top w:val="none" w:sz="0" w:space="0" w:color="auto"/>
                <w:left w:val="none" w:sz="0" w:space="0" w:color="auto"/>
                <w:bottom w:val="none" w:sz="0" w:space="0" w:color="auto"/>
                <w:right w:val="none" w:sz="0" w:space="0" w:color="auto"/>
              </w:divBdr>
            </w:div>
            <w:div w:id="950671942">
              <w:marLeft w:val="0"/>
              <w:marRight w:val="0"/>
              <w:marTop w:val="0"/>
              <w:marBottom w:val="0"/>
              <w:divBdr>
                <w:top w:val="none" w:sz="0" w:space="0" w:color="auto"/>
                <w:left w:val="none" w:sz="0" w:space="0" w:color="auto"/>
                <w:bottom w:val="none" w:sz="0" w:space="0" w:color="auto"/>
                <w:right w:val="none" w:sz="0" w:space="0" w:color="auto"/>
              </w:divBdr>
            </w:div>
            <w:div w:id="1998144793">
              <w:marLeft w:val="0"/>
              <w:marRight w:val="0"/>
              <w:marTop w:val="0"/>
              <w:marBottom w:val="0"/>
              <w:divBdr>
                <w:top w:val="none" w:sz="0" w:space="0" w:color="auto"/>
                <w:left w:val="none" w:sz="0" w:space="0" w:color="auto"/>
                <w:bottom w:val="none" w:sz="0" w:space="0" w:color="auto"/>
                <w:right w:val="none" w:sz="0" w:space="0" w:color="auto"/>
              </w:divBdr>
            </w:div>
            <w:div w:id="1535847501">
              <w:marLeft w:val="0"/>
              <w:marRight w:val="0"/>
              <w:marTop w:val="0"/>
              <w:marBottom w:val="0"/>
              <w:divBdr>
                <w:top w:val="none" w:sz="0" w:space="0" w:color="auto"/>
                <w:left w:val="none" w:sz="0" w:space="0" w:color="auto"/>
                <w:bottom w:val="none" w:sz="0" w:space="0" w:color="auto"/>
                <w:right w:val="none" w:sz="0" w:space="0" w:color="auto"/>
              </w:divBdr>
            </w:div>
            <w:div w:id="1700352892">
              <w:marLeft w:val="0"/>
              <w:marRight w:val="0"/>
              <w:marTop w:val="0"/>
              <w:marBottom w:val="0"/>
              <w:divBdr>
                <w:top w:val="none" w:sz="0" w:space="0" w:color="auto"/>
                <w:left w:val="none" w:sz="0" w:space="0" w:color="auto"/>
                <w:bottom w:val="none" w:sz="0" w:space="0" w:color="auto"/>
                <w:right w:val="none" w:sz="0" w:space="0" w:color="auto"/>
              </w:divBdr>
            </w:div>
            <w:div w:id="1525442856">
              <w:marLeft w:val="0"/>
              <w:marRight w:val="0"/>
              <w:marTop w:val="0"/>
              <w:marBottom w:val="0"/>
              <w:divBdr>
                <w:top w:val="none" w:sz="0" w:space="0" w:color="auto"/>
                <w:left w:val="none" w:sz="0" w:space="0" w:color="auto"/>
                <w:bottom w:val="none" w:sz="0" w:space="0" w:color="auto"/>
                <w:right w:val="none" w:sz="0" w:space="0" w:color="auto"/>
              </w:divBdr>
            </w:div>
            <w:div w:id="1121192983">
              <w:marLeft w:val="0"/>
              <w:marRight w:val="0"/>
              <w:marTop w:val="0"/>
              <w:marBottom w:val="0"/>
              <w:divBdr>
                <w:top w:val="none" w:sz="0" w:space="0" w:color="auto"/>
                <w:left w:val="none" w:sz="0" w:space="0" w:color="auto"/>
                <w:bottom w:val="none" w:sz="0" w:space="0" w:color="auto"/>
                <w:right w:val="none" w:sz="0" w:space="0" w:color="auto"/>
              </w:divBdr>
            </w:div>
            <w:div w:id="1343315663">
              <w:marLeft w:val="0"/>
              <w:marRight w:val="0"/>
              <w:marTop w:val="0"/>
              <w:marBottom w:val="0"/>
              <w:divBdr>
                <w:top w:val="none" w:sz="0" w:space="0" w:color="auto"/>
                <w:left w:val="none" w:sz="0" w:space="0" w:color="auto"/>
                <w:bottom w:val="none" w:sz="0" w:space="0" w:color="auto"/>
                <w:right w:val="none" w:sz="0" w:space="0" w:color="auto"/>
              </w:divBdr>
            </w:div>
            <w:div w:id="1090783646">
              <w:marLeft w:val="0"/>
              <w:marRight w:val="0"/>
              <w:marTop w:val="0"/>
              <w:marBottom w:val="0"/>
              <w:divBdr>
                <w:top w:val="none" w:sz="0" w:space="0" w:color="auto"/>
                <w:left w:val="none" w:sz="0" w:space="0" w:color="auto"/>
                <w:bottom w:val="none" w:sz="0" w:space="0" w:color="auto"/>
                <w:right w:val="none" w:sz="0" w:space="0" w:color="auto"/>
              </w:divBdr>
            </w:div>
            <w:div w:id="1840265759">
              <w:marLeft w:val="0"/>
              <w:marRight w:val="0"/>
              <w:marTop w:val="0"/>
              <w:marBottom w:val="0"/>
              <w:divBdr>
                <w:top w:val="none" w:sz="0" w:space="0" w:color="auto"/>
                <w:left w:val="none" w:sz="0" w:space="0" w:color="auto"/>
                <w:bottom w:val="none" w:sz="0" w:space="0" w:color="auto"/>
                <w:right w:val="none" w:sz="0" w:space="0" w:color="auto"/>
              </w:divBdr>
            </w:div>
          </w:divsChild>
        </w:div>
        <w:div w:id="866917636">
          <w:marLeft w:val="0"/>
          <w:marRight w:val="0"/>
          <w:marTop w:val="0"/>
          <w:marBottom w:val="0"/>
          <w:divBdr>
            <w:top w:val="none" w:sz="0" w:space="0" w:color="auto"/>
            <w:left w:val="none" w:sz="0" w:space="0" w:color="auto"/>
            <w:bottom w:val="none" w:sz="0" w:space="0" w:color="auto"/>
            <w:right w:val="none" w:sz="0" w:space="0" w:color="auto"/>
          </w:divBdr>
        </w:div>
        <w:div w:id="1011103310">
          <w:marLeft w:val="0"/>
          <w:marRight w:val="0"/>
          <w:marTop w:val="0"/>
          <w:marBottom w:val="0"/>
          <w:divBdr>
            <w:top w:val="none" w:sz="0" w:space="0" w:color="auto"/>
            <w:left w:val="none" w:sz="0" w:space="0" w:color="auto"/>
            <w:bottom w:val="none" w:sz="0" w:space="0" w:color="auto"/>
            <w:right w:val="none" w:sz="0" w:space="0" w:color="auto"/>
          </w:divBdr>
        </w:div>
        <w:div w:id="2011833208">
          <w:marLeft w:val="0"/>
          <w:marRight w:val="0"/>
          <w:marTop w:val="0"/>
          <w:marBottom w:val="0"/>
          <w:divBdr>
            <w:top w:val="none" w:sz="0" w:space="0" w:color="auto"/>
            <w:left w:val="none" w:sz="0" w:space="0" w:color="auto"/>
            <w:bottom w:val="none" w:sz="0" w:space="0" w:color="auto"/>
            <w:right w:val="none" w:sz="0" w:space="0" w:color="auto"/>
          </w:divBdr>
        </w:div>
        <w:div w:id="1089233096">
          <w:marLeft w:val="0"/>
          <w:marRight w:val="0"/>
          <w:marTop w:val="0"/>
          <w:marBottom w:val="0"/>
          <w:divBdr>
            <w:top w:val="none" w:sz="0" w:space="0" w:color="auto"/>
            <w:left w:val="none" w:sz="0" w:space="0" w:color="auto"/>
            <w:bottom w:val="none" w:sz="0" w:space="0" w:color="auto"/>
            <w:right w:val="none" w:sz="0" w:space="0" w:color="auto"/>
          </w:divBdr>
        </w:div>
        <w:div w:id="1864053398">
          <w:marLeft w:val="0"/>
          <w:marRight w:val="0"/>
          <w:marTop w:val="0"/>
          <w:marBottom w:val="0"/>
          <w:divBdr>
            <w:top w:val="none" w:sz="0" w:space="0" w:color="auto"/>
            <w:left w:val="none" w:sz="0" w:space="0" w:color="auto"/>
            <w:bottom w:val="none" w:sz="0" w:space="0" w:color="auto"/>
            <w:right w:val="none" w:sz="0" w:space="0" w:color="auto"/>
          </w:divBdr>
        </w:div>
        <w:div w:id="765685813">
          <w:marLeft w:val="0"/>
          <w:marRight w:val="0"/>
          <w:marTop w:val="0"/>
          <w:marBottom w:val="0"/>
          <w:divBdr>
            <w:top w:val="none" w:sz="0" w:space="0" w:color="auto"/>
            <w:left w:val="none" w:sz="0" w:space="0" w:color="auto"/>
            <w:bottom w:val="none" w:sz="0" w:space="0" w:color="auto"/>
            <w:right w:val="none" w:sz="0" w:space="0" w:color="auto"/>
          </w:divBdr>
        </w:div>
        <w:div w:id="949429772">
          <w:marLeft w:val="0"/>
          <w:marRight w:val="0"/>
          <w:marTop w:val="0"/>
          <w:marBottom w:val="0"/>
          <w:divBdr>
            <w:top w:val="none" w:sz="0" w:space="0" w:color="auto"/>
            <w:left w:val="none" w:sz="0" w:space="0" w:color="auto"/>
            <w:bottom w:val="none" w:sz="0" w:space="0" w:color="auto"/>
            <w:right w:val="none" w:sz="0" w:space="0" w:color="auto"/>
          </w:divBdr>
        </w:div>
        <w:div w:id="875780375">
          <w:marLeft w:val="0"/>
          <w:marRight w:val="0"/>
          <w:marTop w:val="0"/>
          <w:marBottom w:val="0"/>
          <w:divBdr>
            <w:top w:val="none" w:sz="0" w:space="0" w:color="auto"/>
            <w:left w:val="none" w:sz="0" w:space="0" w:color="auto"/>
            <w:bottom w:val="none" w:sz="0" w:space="0" w:color="auto"/>
            <w:right w:val="none" w:sz="0" w:space="0" w:color="auto"/>
          </w:divBdr>
        </w:div>
        <w:div w:id="1740321009">
          <w:marLeft w:val="0"/>
          <w:marRight w:val="0"/>
          <w:marTop w:val="0"/>
          <w:marBottom w:val="0"/>
          <w:divBdr>
            <w:top w:val="none" w:sz="0" w:space="0" w:color="auto"/>
            <w:left w:val="none" w:sz="0" w:space="0" w:color="auto"/>
            <w:bottom w:val="none" w:sz="0" w:space="0" w:color="auto"/>
            <w:right w:val="none" w:sz="0" w:space="0" w:color="auto"/>
          </w:divBdr>
        </w:div>
        <w:div w:id="709184743">
          <w:marLeft w:val="0"/>
          <w:marRight w:val="0"/>
          <w:marTop w:val="0"/>
          <w:marBottom w:val="0"/>
          <w:divBdr>
            <w:top w:val="none" w:sz="0" w:space="0" w:color="auto"/>
            <w:left w:val="none" w:sz="0" w:space="0" w:color="auto"/>
            <w:bottom w:val="none" w:sz="0" w:space="0" w:color="auto"/>
            <w:right w:val="none" w:sz="0" w:space="0" w:color="auto"/>
          </w:divBdr>
        </w:div>
        <w:div w:id="1821997528">
          <w:marLeft w:val="0"/>
          <w:marRight w:val="0"/>
          <w:marTop w:val="0"/>
          <w:marBottom w:val="0"/>
          <w:divBdr>
            <w:top w:val="none" w:sz="0" w:space="0" w:color="auto"/>
            <w:left w:val="none" w:sz="0" w:space="0" w:color="auto"/>
            <w:bottom w:val="none" w:sz="0" w:space="0" w:color="auto"/>
            <w:right w:val="none" w:sz="0" w:space="0" w:color="auto"/>
          </w:divBdr>
          <w:divsChild>
            <w:div w:id="56706683">
              <w:marLeft w:val="-75"/>
              <w:marRight w:val="0"/>
              <w:marTop w:val="30"/>
              <w:marBottom w:val="30"/>
              <w:divBdr>
                <w:top w:val="none" w:sz="0" w:space="0" w:color="auto"/>
                <w:left w:val="none" w:sz="0" w:space="0" w:color="auto"/>
                <w:bottom w:val="none" w:sz="0" w:space="0" w:color="auto"/>
                <w:right w:val="none" w:sz="0" w:space="0" w:color="auto"/>
              </w:divBdr>
              <w:divsChild>
                <w:div w:id="2068719952">
                  <w:marLeft w:val="0"/>
                  <w:marRight w:val="0"/>
                  <w:marTop w:val="0"/>
                  <w:marBottom w:val="0"/>
                  <w:divBdr>
                    <w:top w:val="none" w:sz="0" w:space="0" w:color="auto"/>
                    <w:left w:val="none" w:sz="0" w:space="0" w:color="auto"/>
                    <w:bottom w:val="none" w:sz="0" w:space="0" w:color="auto"/>
                    <w:right w:val="none" w:sz="0" w:space="0" w:color="auto"/>
                  </w:divBdr>
                  <w:divsChild>
                    <w:div w:id="1343625541">
                      <w:marLeft w:val="0"/>
                      <w:marRight w:val="0"/>
                      <w:marTop w:val="0"/>
                      <w:marBottom w:val="0"/>
                      <w:divBdr>
                        <w:top w:val="none" w:sz="0" w:space="0" w:color="auto"/>
                        <w:left w:val="none" w:sz="0" w:space="0" w:color="auto"/>
                        <w:bottom w:val="none" w:sz="0" w:space="0" w:color="auto"/>
                        <w:right w:val="none" w:sz="0" w:space="0" w:color="auto"/>
                      </w:divBdr>
                    </w:div>
                  </w:divsChild>
                </w:div>
                <w:div w:id="1190219538">
                  <w:marLeft w:val="0"/>
                  <w:marRight w:val="0"/>
                  <w:marTop w:val="0"/>
                  <w:marBottom w:val="0"/>
                  <w:divBdr>
                    <w:top w:val="none" w:sz="0" w:space="0" w:color="auto"/>
                    <w:left w:val="none" w:sz="0" w:space="0" w:color="auto"/>
                    <w:bottom w:val="none" w:sz="0" w:space="0" w:color="auto"/>
                    <w:right w:val="none" w:sz="0" w:space="0" w:color="auto"/>
                  </w:divBdr>
                  <w:divsChild>
                    <w:div w:id="1961571277">
                      <w:marLeft w:val="0"/>
                      <w:marRight w:val="0"/>
                      <w:marTop w:val="0"/>
                      <w:marBottom w:val="0"/>
                      <w:divBdr>
                        <w:top w:val="none" w:sz="0" w:space="0" w:color="auto"/>
                        <w:left w:val="none" w:sz="0" w:space="0" w:color="auto"/>
                        <w:bottom w:val="none" w:sz="0" w:space="0" w:color="auto"/>
                        <w:right w:val="none" w:sz="0" w:space="0" w:color="auto"/>
                      </w:divBdr>
                    </w:div>
                  </w:divsChild>
                </w:div>
                <w:div w:id="2144497298">
                  <w:marLeft w:val="0"/>
                  <w:marRight w:val="0"/>
                  <w:marTop w:val="0"/>
                  <w:marBottom w:val="0"/>
                  <w:divBdr>
                    <w:top w:val="none" w:sz="0" w:space="0" w:color="auto"/>
                    <w:left w:val="none" w:sz="0" w:space="0" w:color="auto"/>
                    <w:bottom w:val="none" w:sz="0" w:space="0" w:color="auto"/>
                    <w:right w:val="none" w:sz="0" w:space="0" w:color="auto"/>
                  </w:divBdr>
                  <w:divsChild>
                    <w:div w:id="142893276">
                      <w:marLeft w:val="0"/>
                      <w:marRight w:val="0"/>
                      <w:marTop w:val="0"/>
                      <w:marBottom w:val="0"/>
                      <w:divBdr>
                        <w:top w:val="none" w:sz="0" w:space="0" w:color="auto"/>
                        <w:left w:val="none" w:sz="0" w:space="0" w:color="auto"/>
                        <w:bottom w:val="none" w:sz="0" w:space="0" w:color="auto"/>
                        <w:right w:val="none" w:sz="0" w:space="0" w:color="auto"/>
                      </w:divBdr>
                    </w:div>
                  </w:divsChild>
                </w:div>
                <w:div w:id="1955945131">
                  <w:marLeft w:val="0"/>
                  <w:marRight w:val="0"/>
                  <w:marTop w:val="0"/>
                  <w:marBottom w:val="0"/>
                  <w:divBdr>
                    <w:top w:val="none" w:sz="0" w:space="0" w:color="auto"/>
                    <w:left w:val="none" w:sz="0" w:space="0" w:color="auto"/>
                    <w:bottom w:val="none" w:sz="0" w:space="0" w:color="auto"/>
                    <w:right w:val="none" w:sz="0" w:space="0" w:color="auto"/>
                  </w:divBdr>
                  <w:divsChild>
                    <w:div w:id="271401874">
                      <w:marLeft w:val="0"/>
                      <w:marRight w:val="0"/>
                      <w:marTop w:val="0"/>
                      <w:marBottom w:val="0"/>
                      <w:divBdr>
                        <w:top w:val="none" w:sz="0" w:space="0" w:color="auto"/>
                        <w:left w:val="none" w:sz="0" w:space="0" w:color="auto"/>
                        <w:bottom w:val="none" w:sz="0" w:space="0" w:color="auto"/>
                        <w:right w:val="none" w:sz="0" w:space="0" w:color="auto"/>
                      </w:divBdr>
                    </w:div>
                    <w:div w:id="1277984561">
                      <w:marLeft w:val="0"/>
                      <w:marRight w:val="0"/>
                      <w:marTop w:val="0"/>
                      <w:marBottom w:val="0"/>
                      <w:divBdr>
                        <w:top w:val="none" w:sz="0" w:space="0" w:color="auto"/>
                        <w:left w:val="none" w:sz="0" w:space="0" w:color="auto"/>
                        <w:bottom w:val="none" w:sz="0" w:space="0" w:color="auto"/>
                        <w:right w:val="none" w:sz="0" w:space="0" w:color="auto"/>
                      </w:divBdr>
                    </w:div>
                    <w:div w:id="565386085">
                      <w:marLeft w:val="0"/>
                      <w:marRight w:val="0"/>
                      <w:marTop w:val="0"/>
                      <w:marBottom w:val="0"/>
                      <w:divBdr>
                        <w:top w:val="none" w:sz="0" w:space="0" w:color="auto"/>
                        <w:left w:val="none" w:sz="0" w:space="0" w:color="auto"/>
                        <w:bottom w:val="none" w:sz="0" w:space="0" w:color="auto"/>
                        <w:right w:val="none" w:sz="0" w:space="0" w:color="auto"/>
                      </w:divBdr>
                    </w:div>
                  </w:divsChild>
                </w:div>
                <w:div w:id="1421101486">
                  <w:marLeft w:val="0"/>
                  <w:marRight w:val="0"/>
                  <w:marTop w:val="0"/>
                  <w:marBottom w:val="0"/>
                  <w:divBdr>
                    <w:top w:val="none" w:sz="0" w:space="0" w:color="auto"/>
                    <w:left w:val="none" w:sz="0" w:space="0" w:color="auto"/>
                    <w:bottom w:val="none" w:sz="0" w:space="0" w:color="auto"/>
                    <w:right w:val="none" w:sz="0" w:space="0" w:color="auto"/>
                  </w:divBdr>
                  <w:divsChild>
                    <w:div w:id="2026247352">
                      <w:marLeft w:val="0"/>
                      <w:marRight w:val="0"/>
                      <w:marTop w:val="0"/>
                      <w:marBottom w:val="0"/>
                      <w:divBdr>
                        <w:top w:val="none" w:sz="0" w:space="0" w:color="auto"/>
                        <w:left w:val="none" w:sz="0" w:space="0" w:color="auto"/>
                        <w:bottom w:val="none" w:sz="0" w:space="0" w:color="auto"/>
                        <w:right w:val="none" w:sz="0" w:space="0" w:color="auto"/>
                      </w:divBdr>
                    </w:div>
                  </w:divsChild>
                </w:div>
                <w:div w:id="610404011">
                  <w:marLeft w:val="0"/>
                  <w:marRight w:val="0"/>
                  <w:marTop w:val="0"/>
                  <w:marBottom w:val="0"/>
                  <w:divBdr>
                    <w:top w:val="none" w:sz="0" w:space="0" w:color="auto"/>
                    <w:left w:val="none" w:sz="0" w:space="0" w:color="auto"/>
                    <w:bottom w:val="none" w:sz="0" w:space="0" w:color="auto"/>
                    <w:right w:val="none" w:sz="0" w:space="0" w:color="auto"/>
                  </w:divBdr>
                  <w:divsChild>
                    <w:div w:id="705982139">
                      <w:marLeft w:val="0"/>
                      <w:marRight w:val="0"/>
                      <w:marTop w:val="0"/>
                      <w:marBottom w:val="0"/>
                      <w:divBdr>
                        <w:top w:val="none" w:sz="0" w:space="0" w:color="auto"/>
                        <w:left w:val="none" w:sz="0" w:space="0" w:color="auto"/>
                        <w:bottom w:val="none" w:sz="0" w:space="0" w:color="auto"/>
                        <w:right w:val="none" w:sz="0" w:space="0" w:color="auto"/>
                      </w:divBdr>
                    </w:div>
                  </w:divsChild>
                </w:div>
                <w:div w:id="1102990849">
                  <w:marLeft w:val="0"/>
                  <w:marRight w:val="0"/>
                  <w:marTop w:val="0"/>
                  <w:marBottom w:val="0"/>
                  <w:divBdr>
                    <w:top w:val="none" w:sz="0" w:space="0" w:color="auto"/>
                    <w:left w:val="none" w:sz="0" w:space="0" w:color="auto"/>
                    <w:bottom w:val="none" w:sz="0" w:space="0" w:color="auto"/>
                    <w:right w:val="none" w:sz="0" w:space="0" w:color="auto"/>
                  </w:divBdr>
                  <w:divsChild>
                    <w:div w:id="1216773514">
                      <w:marLeft w:val="0"/>
                      <w:marRight w:val="0"/>
                      <w:marTop w:val="0"/>
                      <w:marBottom w:val="0"/>
                      <w:divBdr>
                        <w:top w:val="none" w:sz="0" w:space="0" w:color="auto"/>
                        <w:left w:val="none" w:sz="0" w:space="0" w:color="auto"/>
                        <w:bottom w:val="none" w:sz="0" w:space="0" w:color="auto"/>
                        <w:right w:val="none" w:sz="0" w:space="0" w:color="auto"/>
                      </w:divBdr>
                    </w:div>
                  </w:divsChild>
                </w:div>
                <w:div w:id="1098453007">
                  <w:marLeft w:val="0"/>
                  <w:marRight w:val="0"/>
                  <w:marTop w:val="0"/>
                  <w:marBottom w:val="0"/>
                  <w:divBdr>
                    <w:top w:val="none" w:sz="0" w:space="0" w:color="auto"/>
                    <w:left w:val="none" w:sz="0" w:space="0" w:color="auto"/>
                    <w:bottom w:val="none" w:sz="0" w:space="0" w:color="auto"/>
                    <w:right w:val="none" w:sz="0" w:space="0" w:color="auto"/>
                  </w:divBdr>
                  <w:divsChild>
                    <w:div w:id="42306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091948">
          <w:marLeft w:val="0"/>
          <w:marRight w:val="0"/>
          <w:marTop w:val="0"/>
          <w:marBottom w:val="0"/>
          <w:divBdr>
            <w:top w:val="none" w:sz="0" w:space="0" w:color="auto"/>
            <w:left w:val="none" w:sz="0" w:space="0" w:color="auto"/>
            <w:bottom w:val="none" w:sz="0" w:space="0" w:color="auto"/>
            <w:right w:val="none" w:sz="0" w:space="0" w:color="auto"/>
          </w:divBdr>
        </w:div>
        <w:div w:id="741684218">
          <w:marLeft w:val="0"/>
          <w:marRight w:val="0"/>
          <w:marTop w:val="0"/>
          <w:marBottom w:val="0"/>
          <w:divBdr>
            <w:top w:val="none" w:sz="0" w:space="0" w:color="auto"/>
            <w:left w:val="none" w:sz="0" w:space="0" w:color="auto"/>
            <w:bottom w:val="none" w:sz="0" w:space="0" w:color="auto"/>
            <w:right w:val="none" w:sz="0" w:space="0" w:color="auto"/>
          </w:divBdr>
        </w:div>
        <w:div w:id="313028459">
          <w:marLeft w:val="0"/>
          <w:marRight w:val="0"/>
          <w:marTop w:val="0"/>
          <w:marBottom w:val="0"/>
          <w:divBdr>
            <w:top w:val="none" w:sz="0" w:space="0" w:color="auto"/>
            <w:left w:val="none" w:sz="0" w:space="0" w:color="auto"/>
            <w:bottom w:val="none" w:sz="0" w:space="0" w:color="auto"/>
            <w:right w:val="none" w:sz="0" w:space="0" w:color="auto"/>
          </w:divBdr>
        </w:div>
      </w:divsChild>
    </w:div>
    <w:div w:id="206261588">
      <w:bodyDiv w:val="1"/>
      <w:marLeft w:val="0"/>
      <w:marRight w:val="0"/>
      <w:marTop w:val="0"/>
      <w:marBottom w:val="0"/>
      <w:divBdr>
        <w:top w:val="none" w:sz="0" w:space="0" w:color="auto"/>
        <w:left w:val="none" w:sz="0" w:space="0" w:color="auto"/>
        <w:bottom w:val="none" w:sz="0" w:space="0" w:color="auto"/>
        <w:right w:val="none" w:sz="0" w:space="0" w:color="auto"/>
      </w:divBdr>
    </w:div>
    <w:div w:id="258609867">
      <w:bodyDiv w:val="1"/>
      <w:marLeft w:val="0"/>
      <w:marRight w:val="0"/>
      <w:marTop w:val="0"/>
      <w:marBottom w:val="0"/>
      <w:divBdr>
        <w:top w:val="none" w:sz="0" w:space="0" w:color="auto"/>
        <w:left w:val="none" w:sz="0" w:space="0" w:color="auto"/>
        <w:bottom w:val="none" w:sz="0" w:space="0" w:color="auto"/>
        <w:right w:val="none" w:sz="0" w:space="0" w:color="auto"/>
      </w:divBdr>
    </w:div>
    <w:div w:id="393352420">
      <w:bodyDiv w:val="1"/>
      <w:marLeft w:val="0"/>
      <w:marRight w:val="0"/>
      <w:marTop w:val="0"/>
      <w:marBottom w:val="0"/>
      <w:divBdr>
        <w:top w:val="none" w:sz="0" w:space="0" w:color="auto"/>
        <w:left w:val="none" w:sz="0" w:space="0" w:color="auto"/>
        <w:bottom w:val="none" w:sz="0" w:space="0" w:color="auto"/>
        <w:right w:val="none" w:sz="0" w:space="0" w:color="auto"/>
      </w:divBdr>
    </w:div>
    <w:div w:id="527379622">
      <w:bodyDiv w:val="1"/>
      <w:marLeft w:val="0"/>
      <w:marRight w:val="0"/>
      <w:marTop w:val="0"/>
      <w:marBottom w:val="0"/>
      <w:divBdr>
        <w:top w:val="none" w:sz="0" w:space="0" w:color="auto"/>
        <w:left w:val="none" w:sz="0" w:space="0" w:color="auto"/>
        <w:bottom w:val="none" w:sz="0" w:space="0" w:color="auto"/>
        <w:right w:val="none" w:sz="0" w:space="0" w:color="auto"/>
      </w:divBdr>
    </w:div>
    <w:div w:id="552812296">
      <w:bodyDiv w:val="1"/>
      <w:marLeft w:val="0"/>
      <w:marRight w:val="0"/>
      <w:marTop w:val="0"/>
      <w:marBottom w:val="0"/>
      <w:divBdr>
        <w:top w:val="none" w:sz="0" w:space="0" w:color="auto"/>
        <w:left w:val="none" w:sz="0" w:space="0" w:color="auto"/>
        <w:bottom w:val="none" w:sz="0" w:space="0" w:color="auto"/>
        <w:right w:val="none" w:sz="0" w:space="0" w:color="auto"/>
      </w:divBdr>
    </w:div>
    <w:div w:id="851455433">
      <w:bodyDiv w:val="1"/>
      <w:marLeft w:val="0"/>
      <w:marRight w:val="0"/>
      <w:marTop w:val="0"/>
      <w:marBottom w:val="0"/>
      <w:divBdr>
        <w:top w:val="none" w:sz="0" w:space="0" w:color="auto"/>
        <w:left w:val="none" w:sz="0" w:space="0" w:color="auto"/>
        <w:bottom w:val="none" w:sz="0" w:space="0" w:color="auto"/>
        <w:right w:val="none" w:sz="0" w:space="0" w:color="auto"/>
      </w:divBdr>
      <w:divsChild>
        <w:div w:id="938368532">
          <w:marLeft w:val="0"/>
          <w:marRight w:val="0"/>
          <w:marTop w:val="0"/>
          <w:marBottom w:val="0"/>
          <w:divBdr>
            <w:top w:val="none" w:sz="0" w:space="0" w:color="auto"/>
            <w:left w:val="none" w:sz="0" w:space="0" w:color="auto"/>
            <w:bottom w:val="none" w:sz="0" w:space="0" w:color="auto"/>
            <w:right w:val="none" w:sz="0" w:space="0" w:color="auto"/>
          </w:divBdr>
        </w:div>
        <w:div w:id="647705967">
          <w:marLeft w:val="0"/>
          <w:marRight w:val="0"/>
          <w:marTop w:val="0"/>
          <w:marBottom w:val="0"/>
          <w:divBdr>
            <w:top w:val="none" w:sz="0" w:space="0" w:color="auto"/>
            <w:left w:val="none" w:sz="0" w:space="0" w:color="auto"/>
            <w:bottom w:val="none" w:sz="0" w:space="0" w:color="auto"/>
            <w:right w:val="none" w:sz="0" w:space="0" w:color="auto"/>
          </w:divBdr>
        </w:div>
        <w:div w:id="1879514551">
          <w:marLeft w:val="0"/>
          <w:marRight w:val="0"/>
          <w:marTop w:val="0"/>
          <w:marBottom w:val="0"/>
          <w:divBdr>
            <w:top w:val="none" w:sz="0" w:space="0" w:color="auto"/>
            <w:left w:val="none" w:sz="0" w:space="0" w:color="auto"/>
            <w:bottom w:val="none" w:sz="0" w:space="0" w:color="auto"/>
            <w:right w:val="none" w:sz="0" w:space="0" w:color="auto"/>
          </w:divBdr>
        </w:div>
        <w:div w:id="2047563632">
          <w:marLeft w:val="0"/>
          <w:marRight w:val="0"/>
          <w:marTop w:val="0"/>
          <w:marBottom w:val="0"/>
          <w:divBdr>
            <w:top w:val="none" w:sz="0" w:space="0" w:color="auto"/>
            <w:left w:val="none" w:sz="0" w:space="0" w:color="auto"/>
            <w:bottom w:val="none" w:sz="0" w:space="0" w:color="auto"/>
            <w:right w:val="none" w:sz="0" w:space="0" w:color="auto"/>
          </w:divBdr>
        </w:div>
        <w:div w:id="37360579">
          <w:marLeft w:val="0"/>
          <w:marRight w:val="0"/>
          <w:marTop w:val="0"/>
          <w:marBottom w:val="0"/>
          <w:divBdr>
            <w:top w:val="none" w:sz="0" w:space="0" w:color="auto"/>
            <w:left w:val="none" w:sz="0" w:space="0" w:color="auto"/>
            <w:bottom w:val="none" w:sz="0" w:space="0" w:color="auto"/>
            <w:right w:val="none" w:sz="0" w:space="0" w:color="auto"/>
          </w:divBdr>
        </w:div>
        <w:div w:id="463741636">
          <w:marLeft w:val="0"/>
          <w:marRight w:val="0"/>
          <w:marTop w:val="0"/>
          <w:marBottom w:val="0"/>
          <w:divBdr>
            <w:top w:val="none" w:sz="0" w:space="0" w:color="auto"/>
            <w:left w:val="none" w:sz="0" w:space="0" w:color="auto"/>
            <w:bottom w:val="none" w:sz="0" w:space="0" w:color="auto"/>
            <w:right w:val="none" w:sz="0" w:space="0" w:color="auto"/>
          </w:divBdr>
        </w:div>
        <w:div w:id="1570774428">
          <w:marLeft w:val="0"/>
          <w:marRight w:val="0"/>
          <w:marTop w:val="0"/>
          <w:marBottom w:val="0"/>
          <w:divBdr>
            <w:top w:val="none" w:sz="0" w:space="0" w:color="auto"/>
            <w:left w:val="none" w:sz="0" w:space="0" w:color="auto"/>
            <w:bottom w:val="none" w:sz="0" w:space="0" w:color="auto"/>
            <w:right w:val="none" w:sz="0" w:space="0" w:color="auto"/>
          </w:divBdr>
        </w:div>
        <w:div w:id="221529846">
          <w:marLeft w:val="0"/>
          <w:marRight w:val="0"/>
          <w:marTop w:val="0"/>
          <w:marBottom w:val="0"/>
          <w:divBdr>
            <w:top w:val="none" w:sz="0" w:space="0" w:color="auto"/>
            <w:left w:val="none" w:sz="0" w:space="0" w:color="auto"/>
            <w:bottom w:val="none" w:sz="0" w:space="0" w:color="auto"/>
            <w:right w:val="none" w:sz="0" w:space="0" w:color="auto"/>
          </w:divBdr>
        </w:div>
        <w:div w:id="2073119559">
          <w:marLeft w:val="0"/>
          <w:marRight w:val="0"/>
          <w:marTop w:val="0"/>
          <w:marBottom w:val="0"/>
          <w:divBdr>
            <w:top w:val="none" w:sz="0" w:space="0" w:color="auto"/>
            <w:left w:val="none" w:sz="0" w:space="0" w:color="auto"/>
            <w:bottom w:val="none" w:sz="0" w:space="0" w:color="auto"/>
            <w:right w:val="none" w:sz="0" w:space="0" w:color="auto"/>
          </w:divBdr>
        </w:div>
        <w:div w:id="301733224">
          <w:marLeft w:val="0"/>
          <w:marRight w:val="0"/>
          <w:marTop w:val="0"/>
          <w:marBottom w:val="0"/>
          <w:divBdr>
            <w:top w:val="none" w:sz="0" w:space="0" w:color="auto"/>
            <w:left w:val="none" w:sz="0" w:space="0" w:color="auto"/>
            <w:bottom w:val="none" w:sz="0" w:space="0" w:color="auto"/>
            <w:right w:val="none" w:sz="0" w:space="0" w:color="auto"/>
          </w:divBdr>
        </w:div>
      </w:divsChild>
    </w:div>
    <w:div w:id="983849327">
      <w:bodyDiv w:val="1"/>
      <w:marLeft w:val="0"/>
      <w:marRight w:val="0"/>
      <w:marTop w:val="0"/>
      <w:marBottom w:val="0"/>
      <w:divBdr>
        <w:top w:val="none" w:sz="0" w:space="0" w:color="auto"/>
        <w:left w:val="none" w:sz="0" w:space="0" w:color="auto"/>
        <w:bottom w:val="none" w:sz="0" w:space="0" w:color="auto"/>
        <w:right w:val="none" w:sz="0" w:space="0" w:color="auto"/>
      </w:divBdr>
    </w:div>
    <w:div w:id="1040476590">
      <w:bodyDiv w:val="1"/>
      <w:marLeft w:val="0"/>
      <w:marRight w:val="0"/>
      <w:marTop w:val="0"/>
      <w:marBottom w:val="0"/>
      <w:divBdr>
        <w:top w:val="none" w:sz="0" w:space="0" w:color="auto"/>
        <w:left w:val="none" w:sz="0" w:space="0" w:color="auto"/>
        <w:bottom w:val="none" w:sz="0" w:space="0" w:color="auto"/>
        <w:right w:val="none" w:sz="0" w:space="0" w:color="auto"/>
      </w:divBdr>
    </w:div>
    <w:div w:id="1099107718">
      <w:bodyDiv w:val="1"/>
      <w:marLeft w:val="0"/>
      <w:marRight w:val="0"/>
      <w:marTop w:val="0"/>
      <w:marBottom w:val="0"/>
      <w:divBdr>
        <w:top w:val="none" w:sz="0" w:space="0" w:color="auto"/>
        <w:left w:val="none" w:sz="0" w:space="0" w:color="auto"/>
        <w:bottom w:val="none" w:sz="0" w:space="0" w:color="auto"/>
        <w:right w:val="none" w:sz="0" w:space="0" w:color="auto"/>
      </w:divBdr>
    </w:div>
    <w:div w:id="1132092812">
      <w:bodyDiv w:val="1"/>
      <w:marLeft w:val="0"/>
      <w:marRight w:val="0"/>
      <w:marTop w:val="0"/>
      <w:marBottom w:val="0"/>
      <w:divBdr>
        <w:top w:val="none" w:sz="0" w:space="0" w:color="auto"/>
        <w:left w:val="none" w:sz="0" w:space="0" w:color="auto"/>
        <w:bottom w:val="none" w:sz="0" w:space="0" w:color="auto"/>
        <w:right w:val="none" w:sz="0" w:space="0" w:color="auto"/>
      </w:divBdr>
    </w:div>
    <w:div w:id="1209226945">
      <w:bodyDiv w:val="1"/>
      <w:marLeft w:val="0"/>
      <w:marRight w:val="0"/>
      <w:marTop w:val="0"/>
      <w:marBottom w:val="0"/>
      <w:divBdr>
        <w:top w:val="none" w:sz="0" w:space="0" w:color="auto"/>
        <w:left w:val="none" w:sz="0" w:space="0" w:color="auto"/>
        <w:bottom w:val="none" w:sz="0" w:space="0" w:color="auto"/>
        <w:right w:val="none" w:sz="0" w:space="0" w:color="auto"/>
      </w:divBdr>
      <w:divsChild>
        <w:div w:id="1729956974">
          <w:marLeft w:val="446"/>
          <w:marRight w:val="0"/>
          <w:marTop w:val="120"/>
          <w:marBottom w:val="120"/>
          <w:divBdr>
            <w:top w:val="none" w:sz="0" w:space="0" w:color="auto"/>
            <w:left w:val="none" w:sz="0" w:space="0" w:color="auto"/>
            <w:bottom w:val="none" w:sz="0" w:space="0" w:color="auto"/>
            <w:right w:val="none" w:sz="0" w:space="0" w:color="auto"/>
          </w:divBdr>
        </w:div>
        <w:div w:id="784540850">
          <w:marLeft w:val="446"/>
          <w:marRight w:val="0"/>
          <w:marTop w:val="120"/>
          <w:marBottom w:val="120"/>
          <w:divBdr>
            <w:top w:val="none" w:sz="0" w:space="0" w:color="auto"/>
            <w:left w:val="none" w:sz="0" w:space="0" w:color="auto"/>
            <w:bottom w:val="none" w:sz="0" w:space="0" w:color="auto"/>
            <w:right w:val="none" w:sz="0" w:space="0" w:color="auto"/>
          </w:divBdr>
        </w:div>
        <w:div w:id="31224614">
          <w:marLeft w:val="446"/>
          <w:marRight w:val="0"/>
          <w:marTop w:val="120"/>
          <w:marBottom w:val="120"/>
          <w:divBdr>
            <w:top w:val="none" w:sz="0" w:space="0" w:color="auto"/>
            <w:left w:val="none" w:sz="0" w:space="0" w:color="auto"/>
            <w:bottom w:val="none" w:sz="0" w:space="0" w:color="auto"/>
            <w:right w:val="none" w:sz="0" w:space="0" w:color="auto"/>
          </w:divBdr>
        </w:div>
        <w:div w:id="1991909940">
          <w:marLeft w:val="446"/>
          <w:marRight w:val="0"/>
          <w:marTop w:val="120"/>
          <w:marBottom w:val="120"/>
          <w:divBdr>
            <w:top w:val="none" w:sz="0" w:space="0" w:color="auto"/>
            <w:left w:val="none" w:sz="0" w:space="0" w:color="auto"/>
            <w:bottom w:val="none" w:sz="0" w:space="0" w:color="auto"/>
            <w:right w:val="none" w:sz="0" w:space="0" w:color="auto"/>
          </w:divBdr>
        </w:div>
        <w:div w:id="312025374">
          <w:marLeft w:val="446"/>
          <w:marRight w:val="0"/>
          <w:marTop w:val="120"/>
          <w:marBottom w:val="120"/>
          <w:divBdr>
            <w:top w:val="none" w:sz="0" w:space="0" w:color="auto"/>
            <w:left w:val="none" w:sz="0" w:space="0" w:color="auto"/>
            <w:bottom w:val="none" w:sz="0" w:space="0" w:color="auto"/>
            <w:right w:val="none" w:sz="0" w:space="0" w:color="auto"/>
          </w:divBdr>
        </w:div>
        <w:div w:id="1721434760">
          <w:marLeft w:val="446"/>
          <w:marRight w:val="0"/>
          <w:marTop w:val="120"/>
          <w:marBottom w:val="120"/>
          <w:divBdr>
            <w:top w:val="none" w:sz="0" w:space="0" w:color="auto"/>
            <w:left w:val="none" w:sz="0" w:space="0" w:color="auto"/>
            <w:bottom w:val="none" w:sz="0" w:space="0" w:color="auto"/>
            <w:right w:val="none" w:sz="0" w:space="0" w:color="auto"/>
          </w:divBdr>
        </w:div>
      </w:divsChild>
    </w:div>
    <w:div w:id="1276909397">
      <w:bodyDiv w:val="1"/>
      <w:marLeft w:val="0"/>
      <w:marRight w:val="0"/>
      <w:marTop w:val="0"/>
      <w:marBottom w:val="0"/>
      <w:divBdr>
        <w:top w:val="none" w:sz="0" w:space="0" w:color="auto"/>
        <w:left w:val="none" w:sz="0" w:space="0" w:color="auto"/>
        <w:bottom w:val="none" w:sz="0" w:space="0" w:color="auto"/>
        <w:right w:val="none" w:sz="0" w:space="0" w:color="auto"/>
      </w:divBdr>
    </w:div>
    <w:div w:id="1303733891">
      <w:bodyDiv w:val="1"/>
      <w:marLeft w:val="0"/>
      <w:marRight w:val="0"/>
      <w:marTop w:val="0"/>
      <w:marBottom w:val="0"/>
      <w:divBdr>
        <w:top w:val="none" w:sz="0" w:space="0" w:color="auto"/>
        <w:left w:val="none" w:sz="0" w:space="0" w:color="auto"/>
        <w:bottom w:val="none" w:sz="0" w:space="0" w:color="auto"/>
        <w:right w:val="none" w:sz="0" w:space="0" w:color="auto"/>
      </w:divBdr>
    </w:div>
    <w:div w:id="1356808220">
      <w:bodyDiv w:val="1"/>
      <w:marLeft w:val="0"/>
      <w:marRight w:val="0"/>
      <w:marTop w:val="0"/>
      <w:marBottom w:val="0"/>
      <w:divBdr>
        <w:top w:val="none" w:sz="0" w:space="0" w:color="auto"/>
        <w:left w:val="none" w:sz="0" w:space="0" w:color="auto"/>
        <w:bottom w:val="none" w:sz="0" w:space="0" w:color="auto"/>
        <w:right w:val="none" w:sz="0" w:space="0" w:color="auto"/>
      </w:divBdr>
    </w:div>
    <w:div w:id="1481312164">
      <w:bodyDiv w:val="1"/>
      <w:marLeft w:val="0"/>
      <w:marRight w:val="0"/>
      <w:marTop w:val="0"/>
      <w:marBottom w:val="0"/>
      <w:divBdr>
        <w:top w:val="none" w:sz="0" w:space="0" w:color="auto"/>
        <w:left w:val="none" w:sz="0" w:space="0" w:color="auto"/>
        <w:bottom w:val="none" w:sz="0" w:space="0" w:color="auto"/>
        <w:right w:val="none" w:sz="0" w:space="0" w:color="auto"/>
      </w:divBdr>
    </w:div>
    <w:div w:id="1485320621">
      <w:bodyDiv w:val="1"/>
      <w:marLeft w:val="0"/>
      <w:marRight w:val="0"/>
      <w:marTop w:val="0"/>
      <w:marBottom w:val="0"/>
      <w:divBdr>
        <w:top w:val="none" w:sz="0" w:space="0" w:color="auto"/>
        <w:left w:val="none" w:sz="0" w:space="0" w:color="auto"/>
        <w:bottom w:val="none" w:sz="0" w:space="0" w:color="auto"/>
        <w:right w:val="none" w:sz="0" w:space="0" w:color="auto"/>
      </w:divBdr>
    </w:div>
    <w:div w:id="1537161545">
      <w:bodyDiv w:val="1"/>
      <w:marLeft w:val="0"/>
      <w:marRight w:val="0"/>
      <w:marTop w:val="0"/>
      <w:marBottom w:val="0"/>
      <w:divBdr>
        <w:top w:val="none" w:sz="0" w:space="0" w:color="auto"/>
        <w:left w:val="none" w:sz="0" w:space="0" w:color="auto"/>
        <w:bottom w:val="none" w:sz="0" w:space="0" w:color="auto"/>
        <w:right w:val="none" w:sz="0" w:space="0" w:color="auto"/>
      </w:divBdr>
    </w:div>
    <w:div w:id="1586496945">
      <w:bodyDiv w:val="1"/>
      <w:marLeft w:val="0"/>
      <w:marRight w:val="0"/>
      <w:marTop w:val="0"/>
      <w:marBottom w:val="0"/>
      <w:divBdr>
        <w:top w:val="none" w:sz="0" w:space="0" w:color="auto"/>
        <w:left w:val="none" w:sz="0" w:space="0" w:color="auto"/>
        <w:bottom w:val="none" w:sz="0" w:space="0" w:color="auto"/>
        <w:right w:val="none" w:sz="0" w:space="0" w:color="auto"/>
      </w:divBdr>
    </w:div>
    <w:div w:id="1631204311">
      <w:bodyDiv w:val="1"/>
      <w:marLeft w:val="0"/>
      <w:marRight w:val="0"/>
      <w:marTop w:val="0"/>
      <w:marBottom w:val="0"/>
      <w:divBdr>
        <w:top w:val="none" w:sz="0" w:space="0" w:color="auto"/>
        <w:left w:val="none" w:sz="0" w:space="0" w:color="auto"/>
        <w:bottom w:val="none" w:sz="0" w:space="0" w:color="auto"/>
        <w:right w:val="none" w:sz="0" w:space="0" w:color="auto"/>
      </w:divBdr>
    </w:div>
    <w:div w:id="1634872029">
      <w:bodyDiv w:val="1"/>
      <w:marLeft w:val="0"/>
      <w:marRight w:val="0"/>
      <w:marTop w:val="0"/>
      <w:marBottom w:val="0"/>
      <w:divBdr>
        <w:top w:val="none" w:sz="0" w:space="0" w:color="auto"/>
        <w:left w:val="none" w:sz="0" w:space="0" w:color="auto"/>
        <w:bottom w:val="none" w:sz="0" w:space="0" w:color="auto"/>
        <w:right w:val="none" w:sz="0" w:space="0" w:color="auto"/>
      </w:divBdr>
    </w:div>
    <w:div w:id="1657144530">
      <w:bodyDiv w:val="1"/>
      <w:marLeft w:val="0"/>
      <w:marRight w:val="0"/>
      <w:marTop w:val="0"/>
      <w:marBottom w:val="0"/>
      <w:divBdr>
        <w:top w:val="none" w:sz="0" w:space="0" w:color="auto"/>
        <w:left w:val="none" w:sz="0" w:space="0" w:color="auto"/>
        <w:bottom w:val="none" w:sz="0" w:space="0" w:color="auto"/>
        <w:right w:val="none" w:sz="0" w:space="0" w:color="auto"/>
      </w:divBdr>
    </w:div>
    <w:div w:id="1712850595">
      <w:bodyDiv w:val="1"/>
      <w:marLeft w:val="0"/>
      <w:marRight w:val="0"/>
      <w:marTop w:val="0"/>
      <w:marBottom w:val="0"/>
      <w:divBdr>
        <w:top w:val="none" w:sz="0" w:space="0" w:color="auto"/>
        <w:left w:val="none" w:sz="0" w:space="0" w:color="auto"/>
        <w:bottom w:val="none" w:sz="0" w:space="0" w:color="auto"/>
        <w:right w:val="none" w:sz="0" w:space="0" w:color="auto"/>
      </w:divBdr>
    </w:div>
    <w:div w:id="1763839658">
      <w:bodyDiv w:val="1"/>
      <w:marLeft w:val="0"/>
      <w:marRight w:val="0"/>
      <w:marTop w:val="0"/>
      <w:marBottom w:val="0"/>
      <w:divBdr>
        <w:top w:val="none" w:sz="0" w:space="0" w:color="auto"/>
        <w:left w:val="none" w:sz="0" w:space="0" w:color="auto"/>
        <w:bottom w:val="none" w:sz="0" w:space="0" w:color="auto"/>
        <w:right w:val="none" w:sz="0" w:space="0" w:color="auto"/>
      </w:divBdr>
    </w:div>
    <w:div w:id="1886140435">
      <w:bodyDiv w:val="1"/>
      <w:marLeft w:val="0"/>
      <w:marRight w:val="0"/>
      <w:marTop w:val="0"/>
      <w:marBottom w:val="0"/>
      <w:divBdr>
        <w:top w:val="none" w:sz="0" w:space="0" w:color="auto"/>
        <w:left w:val="none" w:sz="0" w:space="0" w:color="auto"/>
        <w:bottom w:val="none" w:sz="0" w:space="0" w:color="auto"/>
        <w:right w:val="none" w:sz="0" w:space="0" w:color="auto"/>
      </w:divBdr>
      <w:divsChild>
        <w:div w:id="246380246">
          <w:marLeft w:val="0"/>
          <w:marRight w:val="0"/>
          <w:marTop w:val="0"/>
          <w:marBottom w:val="0"/>
          <w:divBdr>
            <w:top w:val="none" w:sz="0" w:space="0" w:color="auto"/>
            <w:left w:val="none" w:sz="0" w:space="0" w:color="auto"/>
            <w:bottom w:val="none" w:sz="0" w:space="0" w:color="auto"/>
            <w:right w:val="none" w:sz="0" w:space="0" w:color="auto"/>
          </w:divBdr>
          <w:divsChild>
            <w:div w:id="1637949126">
              <w:marLeft w:val="0"/>
              <w:marRight w:val="0"/>
              <w:marTop w:val="0"/>
              <w:marBottom w:val="0"/>
              <w:divBdr>
                <w:top w:val="none" w:sz="0" w:space="0" w:color="auto"/>
                <w:left w:val="none" w:sz="0" w:space="0" w:color="auto"/>
                <w:bottom w:val="none" w:sz="0" w:space="0" w:color="auto"/>
                <w:right w:val="none" w:sz="0" w:space="0" w:color="auto"/>
              </w:divBdr>
            </w:div>
            <w:div w:id="880359515">
              <w:marLeft w:val="0"/>
              <w:marRight w:val="0"/>
              <w:marTop w:val="0"/>
              <w:marBottom w:val="0"/>
              <w:divBdr>
                <w:top w:val="none" w:sz="0" w:space="0" w:color="auto"/>
                <w:left w:val="none" w:sz="0" w:space="0" w:color="auto"/>
                <w:bottom w:val="none" w:sz="0" w:space="0" w:color="auto"/>
                <w:right w:val="none" w:sz="0" w:space="0" w:color="auto"/>
              </w:divBdr>
            </w:div>
            <w:div w:id="115754571">
              <w:marLeft w:val="0"/>
              <w:marRight w:val="0"/>
              <w:marTop w:val="0"/>
              <w:marBottom w:val="0"/>
              <w:divBdr>
                <w:top w:val="none" w:sz="0" w:space="0" w:color="auto"/>
                <w:left w:val="none" w:sz="0" w:space="0" w:color="auto"/>
                <w:bottom w:val="none" w:sz="0" w:space="0" w:color="auto"/>
                <w:right w:val="none" w:sz="0" w:space="0" w:color="auto"/>
              </w:divBdr>
            </w:div>
            <w:div w:id="943000947">
              <w:marLeft w:val="0"/>
              <w:marRight w:val="0"/>
              <w:marTop w:val="0"/>
              <w:marBottom w:val="0"/>
              <w:divBdr>
                <w:top w:val="none" w:sz="0" w:space="0" w:color="auto"/>
                <w:left w:val="none" w:sz="0" w:space="0" w:color="auto"/>
                <w:bottom w:val="none" w:sz="0" w:space="0" w:color="auto"/>
                <w:right w:val="none" w:sz="0" w:space="0" w:color="auto"/>
              </w:divBdr>
            </w:div>
            <w:div w:id="2044164794">
              <w:marLeft w:val="0"/>
              <w:marRight w:val="0"/>
              <w:marTop w:val="0"/>
              <w:marBottom w:val="0"/>
              <w:divBdr>
                <w:top w:val="none" w:sz="0" w:space="0" w:color="auto"/>
                <w:left w:val="none" w:sz="0" w:space="0" w:color="auto"/>
                <w:bottom w:val="none" w:sz="0" w:space="0" w:color="auto"/>
                <w:right w:val="none" w:sz="0" w:space="0" w:color="auto"/>
              </w:divBdr>
            </w:div>
            <w:div w:id="1745756978">
              <w:marLeft w:val="0"/>
              <w:marRight w:val="0"/>
              <w:marTop w:val="0"/>
              <w:marBottom w:val="0"/>
              <w:divBdr>
                <w:top w:val="none" w:sz="0" w:space="0" w:color="auto"/>
                <w:left w:val="none" w:sz="0" w:space="0" w:color="auto"/>
                <w:bottom w:val="none" w:sz="0" w:space="0" w:color="auto"/>
                <w:right w:val="none" w:sz="0" w:space="0" w:color="auto"/>
              </w:divBdr>
            </w:div>
            <w:div w:id="1146777347">
              <w:marLeft w:val="0"/>
              <w:marRight w:val="0"/>
              <w:marTop w:val="0"/>
              <w:marBottom w:val="0"/>
              <w:divBdr>
                <w:top w:val="none" w:sz="0" w:space="0" w:color="auto"/>
                <w:left w:val="none" w:sz="0" w:space="0" w:color="auto"/>
                <w:bottom w:val="none" w:sz="0" w:space="0" w:color="auto"/>
                <w:right w:val="none" w:sz="0" w:space="0" w:color="auto"/>
              </w:divBdr>
            </w:div>
            <w:div w:id="1950814591">
              <w:marLeft w:val="0"/>
              <w:marRight w:val="0"/>
              <w:marTop w:val="0"/>
              <w:marBottom w:val="0"/>
              <w:divBdr>
                <w:top w:val="none" w:sz="0" w:space="0" w:color="auto"/>
                <w:left w:val="none" w:sz="0" w:space="0" w:color="auto"/>
                <w:bottom w:val="none" w:sz="0" w:space="0" w:color="auto"/>
                <w:right w:val="none" w:sz="0" w:space="0" w:color="auto"/>
              </w:divBdr>
            </w:div>
            <w:div w:id="854882028">
              <w:marLeft w:val="0"/>
              <w:marRight w:val="0"/>
              <w:marTop w:val="0"/>
              <w:marBottom w:val="0"/>
              <w:divBdr>
                <w:top w:val="none" w:sz="0" w:space="0" w:color="auto"/>
                <w:left w:val="none" w:sz="0" w:space="0" w:color="auto"/>
                <w:bottom w:val="none" w:sz="0" w:space="0" w:color="auto"/>
                <w:right w:val="none" w:sz="0" w:space="0" w:color="auto"/>
              </w:divBdr>
            </w:div>
            <w:div w:id="1354841551">
              <w:marLeft w:val="0"/>
              <w:marRight w:val="0"/>
              <w:marTop w:val="0"/>
              <w:marBottom w:val="0"/>
              <w:divBdr>
                <w:top w:val="none" w:sz="0" w:space="0" w:color="auto"/>
                <w:left w:val="none" w:sz="0" w:space="0" w:color="auto"/>
                <w:bottom w:val="none" w:sz="0" w:space="0" w:color="auto"/>
                <w:right w:val="none" w:sz="0" w:space="0" w:color="auto"/>
              </w:divBdr>
            </w:div>
            <w:div w:id="1938294209">
              <w:marLeft w:val="0"/>
              <w:marRight w:val="0"/>
              <w:marTop w:val="0"/>
              <w:marBottom w:val="0"/>
              <w:divBdr>
                <w:top w:val="none" w:sz="0" w:space="0" w:color="auto"/>
                <w:left w:val="none" w:sz="0" w:space="0" w:color="auto"/>
                <w:bottom w:val="none" w:sz="0" w:space="0" w:color="auto"/>
                <w:right w:val="none" w:sz="0" w:space="0" w:color="auto"/>
              </w:divBdr>
            </w:div>
            <w:div w:id="294991838">
              <w:marLeft w:val="0"/>
              <w:marRight w:val="0"/>
              <w:marTop w:val="0"/>
              <w:marBottom w:val="0"/>
              <w:divBdr>
                <w:top w:val="none" w:sz="0" w:space="0" w:color="auto"/>
                <w:left w:val="none" w:sz="0" w:space="0" w:color="auto"/>
                <w:bottom w:val="none" w:sz="0" w:space="0" w:color="auto"/>
                <w:right w:val="none" w:sz="0" w:space="0" w:color="auto"/>
              </w:divBdr>
            </w:div>
            <w:div w:id="1641300628">
              <w:marLeft w:val="0"/>
              <w:marRight w:val="0"/>
              <w:marTop w:val="0"/>
              <w:marBottom w:val="0"/>
              <w:divBdr>
                <w:top w:val="none" w:sz="0" w:space="0" w:color="auto"/>
                <w:left w:val="none" w:sz="0" w:space="0" w:color="auto"/>
                <w:bottom w:val="none" w:sz="0" w:space="0" w:color="auto"/>
                <w:right w:val="none" w:sz="0" w:space="0" w:color="auto"/>
              </w:divBdr>
            </w:div>
            <w:div w:id="1546060856">
              <w:marLeft w:val="0"/>
              <w:marRight w:val="0"/>
              <w:marTop w:val="0"/>
              <w:marBottom w:val="0"/>
              <w:divBdr>
                <w:top w:val="none" w:sz="0" w:space="0" w:color="auto"/>
                <w:left w:val="none" w:sz="0" w:space="0" w:color="auto"/>
                <w:bottom w:val="none" w:sz="0" w:space="0" w:color="auto"/>
                <w:right w:val="none" w:sz="0" w:space="0" w:color="auto"/>
              </w:divBdr>
            </w:div>
            <w:div w:id="1768306319">
              <w:marLeft w:val="0"/>
              <w:marRight w:val="0"/>
              <w:marTop w:val="0"/>
              <w:marBottom w:val="0"/>
              <w:divBdr>
                <w:top w:val="none" w:sz="0" w:space="0" w:color="auto"/>
                <w:left w:val="none" w:sz="0" w:space="0" w:color="auto"/>
                <w:bottom w:val="none" w:sz="0" w:space="0" w:color="auto"/>
                <w:right w:val="none" w:sz="0" w:space="0" w:color="auto"/>
              </w:divBdr>
            </w:div>
            <w:div w:id="503013720">
              <w:marLeft w:val="0"/>
              <w:marRight w:val="0"/>
              <w:marTop w:val="0"/>
              <w:marBottom w:val="0"/>
              <w:divBdr>
                <w:top w:val="none" w:sz="0" w:space="0" w:color="auto"/>
                <w:left w:val="none" w:sz="0" w:space="0" w:color="auto"/>
                <w:bottom w:val="none" w:sz="0" w:space="0" w:color="auto"/>
                <w:right w:val="none" w:sz="0" w:space="0" w:color="auto"/>
              </w:divBdr>
            </w:div>
            <w:div w:id="531192914">
              <w:marLeft w:val="0"/>
              <w:marRight w:val="0"/>
              <w:marTop w:val="0"/>
              <w:marBottom w:val="0"/>
              <w:divBdr>
                <w:top w:val="none" w:sz="0" w:space="0" w:color="auto"/>
                <w:left w:val="none" w:sz="0" w:space="0" w:color="auto"/>
                <w:bottom w:val="none" w:sz="0" w:space="0" w:color="auto"/>
                <w:right w:val="none" w:sz="0" w:space="0" w:color="auto"/>
              </w:divBdr>
            </w:div>
            <w:div w:id="1645698226">
              <w:marLeft w:val="0"/>
              <w:marRight w:val="0"/>
              <w:marTop w:val="0"/>
              <w:marBottom w:val="0"/>
              <w:divBdr>
                <w:top w:val="none" w:sz="0" w:space="0" w:color="auto"/>
                <w:left w:val="none" w:sz="0" w:space="0" w:color="auto"/>
                <w:bottom w:val="none" w:sz="0" w:space="0" w:color="auto"/>
                <w:right w:val="none" w:sz="0" w:space="0" w:color="auto"/>
              </w:divBdr>
            </w:div>
            <w:div w:id="1961253651">
              <w:marLeft w:val="0"/>
              <w:marRight w:val="0"/>
              <w:marTop w:val="0"/>
              <w:marBottom w:val="0"/>
              <w:divBdr>
                <w:top w:val="none" w:sz="0" w:space="0" w:color="auto"/>
                <w:left w:val="none" w:sz="0" w:space="0" w:color="auto"/>
                <w:bottom w:val="none" w:sz="0" w:space="0" w:color="auto"/>
                <w:right w:val="none" w:sz="0" w:space="0" w:color="auto"/>
              </w:divBdr>
            </w:div>
          </w:divsChild>
        </w:div>
        <w:div w:id="1136721989">
          <w:marLeft w:val="0"/>
          <w:marRight w:val="0"/>
          <w:marTop w:val="0"/>
          <w:marBottom w:val="0"/>
          <w:divBdr>
            <w:top w:val="none" w:sz="0" w:space="0" w:color="auto"/>
            <w:left w:val="none" w:sz="0" w:space="0" w:color="auto"/>
            <w:bottom w:val="none" w:sz="0" w:space="0" w:color="auto"/>
            <w:right w:val="none" w:sz="0" w:space="0" w:color="auto"/>
          </w:divBdr>
          <w:divsChild>
            <w:div w:id="132798495">
              <w:marLeft w:val="0"/>
              <w:marRight w:val="0"/>
              <w:marTop w:val="0"/>
              <w:marBottom w:val="0"/>
              <w:divBdr>
                <w:top w:val="none" w:sz="0" w:space="0" w:color="auto"/>
                <w:left w:val="none" w:sz="0" w:space="0" w:color="auto"/>
                <w:bottom w:val="none" w:sz="0" w:space="0" w:color="auto"/>
                <w:right w:val="none" w:sz="0" w:space="0" w:color="auto"/>
              </w:divBdr>
            </w:div>
            <w:div w:id="1688826052">
              <w:marLeft w:val="0"/>
              <w:marRight w:val="0"/>
              <w:marTop w:val="0"/>
              <w:marBottom w:val="0"/>
              <w:divBdr>
                <w:top w:val="none" w:sz="0" w:space="0" w:color="auto"/>
                <w:left w:val="none" w:sz="0" w:space="0" w:color="auto"/>
                <w:bottom w:val="none" w:sz="0" w:space="0" w:color="auto"/>
                <w:right w:val="none" w:sz="0" w:space="0" w:color="auto"/>
              </w:divBdr>
            </w:div>
            <w:div w:id="825978209">
              <w:marLeft w:val="0"/>
              <w:marRight w:val="0"/>
              <w:marTop w:val="0"/>
              <w:marBottom w:val="0"/>
              <w:divBdr>
                <w:top w:val="none" w:sz="0" w:space="0" w:color="auto"/>
                <w:left w:val="none" w:sz="0" w:space="0" w:color="auto"/>
                <w:bottom w:val="none" w:sz="0" w:space="0" w:color="auto"/>
                <w:right w:val="none" w:sz="0" w:space="0" w:color="auto"/>
              </w:divBdr>
            </w:div>
            <w:div w:id="1218318942">
              <w:marLeft w:val="0"/>
              <w:marRight w:val="0"/>
              <w:marTop w:val="0"/>
              <w:marBottom w:val="0"/>
              <w:divBdr>
                <w:top w:val="none" w:sz="0" w:space="0" w:color="auto"/>
                <w:left w:val="none" w:sz="0" w:space="0" w:color="auto"/>
                <w:bottom w:val="none" w:sz="0" w:space="0" w:color="auto"/>
                <w:right w:val="none" w:sz="0" w:space="0" w:color="auto"/>
              </w:divBdr>
            </w:div>
            <w:div w:id="881212868">
              <w:marLeft w:val="0"/>
              <w:marRight w:val="0"/>
              <w:marTop w:val="0"/>
              <w:marBottom w:val="0"/>
              <w:divBdr>
                <w:top w:val="none" w:sz="0" w:space="0" w:color="auto"/>
                <w:left w:val="none" w:sz="0" w:space="0" w:color="auto"/>
                <w:bottom w:val="none" w:sz="0" w:space="0" w:color="auto"/>
                <w:right w:val="none" w:sz="0" w:space="0" w:color="auto"/>
              </w:divBdr>
            </w:div>
            <w:div w:id="1595168289">
              <w:marLeft w:val="0"/>
              <w:marRight w:val="0"/>
              <w:marTop w:val="0"/>
              <w:marBottom w:val="0"/>
              <w:divBdr>
                <w:top w:val="none" w:sz="0" w:space="0" w:color="auto"/>
                <w:left w:val="none" w:sz="0" w:space="0" w:color="auto"/>
                <w:bottom w:val="none" w:sz="0" w:space="0" w:color="auto"/>
                <w:right w:val="none" w:sz="0" w:space="0" w:color="auto"/>
              </w:divBdr>
            </w:div>
            <w:div w:id="2048944260">
              <w:marLeft w:val="0"/>
              <w:marRight w:val="0"/>
              <w:marTop w:val="0"/>
              <w:marBottom w:val="0"/>
              <w:divBdr>
                <w:top w:val="none" w:sz="0" w:space="0" w:color="auto"/>
                <w:left w:val="none" w:sz="0" w:space="0" w:color="auto"/>
                <w:bottom w:val="none" w:sz="0" w:space="0" w:color="auto"/>
                <w:right w:val="none" w:sz="0" w:space="0" w:color="auto"/>
              </w:divBdr>
            </w:div>
            <w:div w:id="1619024335">
              <w:marLeft w:val="0"/>
              <w:marRight w:val="0"/>
              <w:marTop w:val="0"/>
              <w:marBottom w:val="0"/>
              <w:divBdr>
                <w:top w:val="none" w:sz="0" w:space="0" w:color="auto"/>
                <w:left w:val="none" w:sz="0" w:space="0" w:color="auto"/>
                <w:bottom w:val="none" w:sz="0" w:space="0" w:color="auto"/>
                <w:right w:val="none" w:sz="0" w:space="0" w:color="auto"/>
              </w:divBdr>
            </w:div>
            <w:div w:id="70003624">
              <w:marLeft w:val="0"/>
              <w:marRight w:val="0"/>
              <w:marTop w:val="0"/>
              <w:marBottom w:val="0"/>
              <w:divBdr>
                <w:top w:val="none" w:sz="0" w:space="0" w:color="auto"/>
                <w:left w:val="none" w:sz="0" w:space="0" w:color="auto"/>
                <w:bottom w:val="none" w:sz="0" w:space="0" w:color="auto"/>
                <w:right w:val="none" w:sz="0" w:space="0" w:color="auto"/>
              </w:divBdr>
            </w:div>
            <w:div w:id="1312977378">
              <w:marLeft w:val="0"/>
              <w:marRight w:val="0"/>
              <w:marTop w:val="0"/>
              <w:marBottom w:val="0"/>
              <w:divBdr>
                <w:top w:val="none" w:sz="0" w:space="0" w:color="auto"/>
                <w:left w:val="none" w:sz="0" w:space="0" w:color="auto"/>
                <w:bottom w:val="none" w:sz="0" w:space="0" w:color="auto"/>
                <w:right w:val="none" w:sz="0" w:space="0" w:color="auto"/>
              </w:divBdr>
            </w:div>
            <w:div w:id="112790831">
              <w:marLeft w:val="0"/>
              <w:marRight w:val="0"/>
              <w:marTop w:val="0"/>
              <w:marBottom w:val="0"/>
              <w:divBdr>
                <w:top w:val="none" w:sz="0" w:space="0" w:color="auto"/>
                <w:left w:val="none" w:sz="0" w:space="0" w:color="auto"/>
                <w:bottom w:val="none" w:sz="0" w:space="0" w:color="auto"/>
                <w:right w:val="none" w:sz="0" w:space="0" w:color="auto"/>
              </w:divBdr>
            </w:div>
            <w:div w:id="1516267576">
              <w:marLeft w:val="0"/>
              <w:marRight w:val="0"/>
              <w:marTop w:val="0"/>
              <w:marBottom w:val="0"/>
              <w:divBdr>
                <w:top w:val="none" w:sz="0" w:space="0" w:color="auto"/>
                <w:left w:val="none" w:sz="0" w:space="0" w:color="auto"/>
                <w:bottom w:val="none" w:sz="0" w:space="0" w:color="auto"/>
                <w:right w:val="none" w:sz="0" w:space="0" w:color="auto"/>
              </w:divBdr>
            </w:div>
            <w:div w:id="1690370177">
              <w:marLeft w:val="0"/>
              <w:marRight w:val="0"/>
              <w:marTop w:val="0"/>
              <w:marBottom w:val="0"/>
              <w:divBdr>
                <w:top w:val="none" w:sz="0" w:space="0" w:color="auto"/>
                <w:left w:val="none" w:sz="0" w:space="0" w:color="auto"/>
                <w:bottom w:val="none" w:sz="0" w:space="0" w:color="auto"/>
                <w:right w:val="none" w:sz="0" w:space="0" w:color="auto"/>
              </w:divBdr>
            </w:div>
            <w:div w:id="1862819543">
              <w:marLeft w:val="0"/>
              <w:marRight w:val="0"/>
              <w:marTop w:val="0"/>
              <w:marBottom w:val="0"/>
              <w:divBdr>
                <w:top w:val="none" w:sz="0" w:space="0" w:color="auto"/>
                <w:left w:val="none" w:sz="0" w:space="0" w:color="auto"/>
                <w:bottom w:val="none" w:sz="0" w:space="0" w:color="auto"/>
                <w:right w:val="none" w:sz="0" w:space="0" w:color="auto"/>
              </w:divBdr>
            </w:div>
            <w:div w:id="595673890">
              <w:marLeft w:val="0"/>
              <w:marRight w:val="0"/>
              <w:marTop w:val="0"/>
              <w:marBottom w:val="0"/>
              <w:divBdr>
                <w:top w:val="none" w:sz="0" w:space="0" w:color="auto"/>
                <w:left w:val="none" w:sz="0" w:space="0" w:color="auto"/>
                <w:bottom w:val="none" w:sz="0" w:space="0" w:color="auto"/>
                <w:right w:val="none" w:sz="0" w:space="0" w:color="auto"/>
              </w:divBdr>
            </w:div>
            <w:div w:id="717897581">
              <w:marLeft w:val="0"/>
              <w:marRight w:val="0"/>
              <w:marTop w:val="0"/>
              <w:marBottom w:val="0"/>
              <w:divBdr>
                <w:top w:val="none" w:sz="0" w:space="0" w:color="auto"/>
                <w:left w:val="none" w:sz="0" w:space="0" w:color="auto"/>
                <w:bottom w:val="none" w:sz="0" w:space="0" w:color="auto"/>
                <w:right w:val="none" w:sz="0" w:space="0" w:color="auto"/>
              </w:divBdr>
            </w:div>
            <w:div w:id="1258631370">
              <w:marLeft w:val="0"/>
              <w:marRight w:val="0"/>
              <w:marTop w:val="0"/>
              <w:marBottom w:val="0"/>
              <w:divBdr>
                <w:top w:val="none" w:sz="0" w:space="0" w:color="auto"/>
                <w:left w:val="none" w:sz="0" w:space="0" w:color="auto"/>
                <w:bottom w:val="none" w:sz="0" w:space="0" w:color="auto"/>
                <w:right w:val="none" w:sz="0" w:space="0" w:color="auto"/>
              </w:divBdr>
            </w:div>
            <w:div w:id="1251616867">
              <w:marLeft w:val="0"/>
              <w:marRight w:val="0"/>
              <w:marTop w:val="0"/>
              <w:marBottom w:val="0"/>
              <w:divBdr>
                <w:top w:val="none" w:sz="0" w:space="0" w:color="auto"/>
                <w:left w:val="none" w:sz="0" w:space="0" w:color="auto"/>
                <w:bottom w:val="none" w:sz="0" w:space="0" w:color="auto"/>
                <w:right w:val="none" w:sz="0" w:space="0" w:color="auto"/>
              </w:divBdr>
            </w:div>
            <w:div w:id="1690176055">
              <w:marLeft w:val="0"/>
              <w:marRight w:val="0"/>
              <w:marTop w:val="0"/>
              <w:marBottom w:val="0"/>
              <w:divBdr>
                <w:top w:val="none" w:sz="0" w:space="0" w:color="auto"/>
                <w:left w:val="none" w:sz="0" w:space="0" w:color="auto"/>
                <w:bottom w:val="none" w:sz="0" w:space="0" w:color="auto"/>
                <w:right w:val="none" w:sz="0" w:space="0" w:color="auto"/>
              </w:divBdr>
            </w:div>
            <w:div w:id="1898393478">
              <w:marLeft w:val="0"/>
              <w:marRight w:val="0"/>
              <w:marTop w:val="0"/>
              <w:marBottom w:val="0"/>
              <w:divBdr>
                <w:top w:val="none" w:sz="0" w:space="0" w:color="auto"/>
                <w:left w:val="none" w:sz="0" w:space="0" w:color="auto"/>
                <w:bottom w:val="none" w:sz="0" w:space="0" w:color="auto"/>
                <w:right w:val="none" w:sz="0" w:space="0" w:color="auto"/>
              </w:divBdr>
            </w:div>
          </w:divsChild>
        </w:div>
        <w:div w:id="1829327467">
          <w:marLeft w:val="0"/>
          <w:marRight w:val="0"/>
          <w:marTop w:val="0"/>
          <w:marBottom w:val="0"/>
          <w:divBdr>
            <w:top w:val="none" w:sz="0" w:space="0" w:color="auto"/>
            <w:left w:val="none" w:sz="0" w:space="0" w:color="auto"/>
            <w:bottom w:val="none" w:sz="0" w:space="0" w:color="auto"/>
            <w:right w:val="none" w:sz="0" w:space="0" w:color="auto"/>
          </w:divBdr>
        </w:div>
        <w:div w:id="1698698569">
          <w:marLeft w:val="0"/>
          <w:marRight w:val="0"/>
          <w:marTop w:val="0"/>
          <w:marBottom w:val="0"/>
          <w:divBdr>
            <w:top w:val="none" w:sz="0" w:space="0" w:color="auto"/>
            <w:left w:val="none" w:sz="0" w:space="0" w:color="auto"/>
            <w:bottom w:val="none" w:sz="0" w:space="0" w:color="auto"/>
            <w:right w:val="none" w:sz="0" w:space="0" w:color="auto"/>
          </w:divBdr>
        </w:div>
        <w:div w:id="473374078">
          <w:marLeft w:val="0"/>
          <w:marRight w:val="0"/>
          <w:marTop w:val="0"/>
          <w:marBottom w:val="0"/>
          <w:divBdr>
            <w:top w:val="none" w:sz="0" w:space="0" w:color="auto"/>
            <w:left w:val="none" w:sz="0" w:space="0" w:color="auto"/>
            <w:bottom w:val="none" w:sz="0" w:space="0" w:color="auto"/>
            <w:right w:val="none" w:sz="0" w:space="0" w:color="auto"/>
          </w:divBdr>
        </w:div>
        <w:div w:id="1926451251">
          <w:marLeft w:val="0"/>
          <w:marRight w:val="0"/>
          <w:marTop w:val="0"/>
          <w:marBottom w:val="0"/>
          <w:divBdr>
            <w:top w:val="none" w:sz="0" w:space="0" w:color="auto"/>
            <w:left w:val="none" w:sz="0" w:space="0" w:color="auto"/>
            <w:bottom w:val="none" w:sz="0" w:space="0" w:color="auto"/>
            <w:right w:val="none" w:sz="0" w:space="0" w:color="auto"/>
          </w:divBdr>
        </w:div>
        <w:div w:id="1239973492">
          <w:marLeft w:val="0"/>
          <w:marRight w:val="0"/>
          <w:marTop w:val="0"/>
          <w:marBottom w:val="0"/>
          <w:divBdr>
            <w:top w:val="none" w:sz="0" w:space="0" w:color="auto"/>
            <w:left w:val="none" w:sz="0" w:space="0" w:color="auto"/>
            <w:bottom w:val="none" w:sz="0" w:space="0" w:color="auto"/>
            <w:right w:val="none" w:sz="0" w:space="0" w:color="auto"/>
          </w:divBdr>
        </w:div>
        <w:div w:id="1180581978">
          <w:marLeft w:val="0"/>
          <w:marRight w:val="0"/>
          <w:marTop w:val="0"/>
          <w:marBottom w:val="0"/>
          <w:divBdr>
            <w:top w:val="none" w:sz="0" w:space="0" w:color="auto"/>
            <w:left w:val="none" w:sz="0" w:space="0" w:color="auto"/>
            <w:bottom w:val="none" w:sz="0" w:space="0" w:color="auto"/>
            <w:right w:val="none" w:sz="0" w:space="0" w:color="auto"/>
          </w:divBdr>
        </w:div>
        <w:div w:id="1560482984">
          <w:marLeft w:val="0"/>
          <w:marRight w:val="0"/>
          <w:marTop w:val="0"/>
          <w:marBottom w:val="0"/>
          <w:divBdr>
            <w:top w:val="none" w:sz="0" w:space="0" w:color="auto"/>
            <w:left w:val="none" w:sz="0" w:space="0" w:color="auto"/>
            <w:bottom w:val="none" w:sz="0" w:space="0" w:color="auto"/>
            <w:right w:val="none" w:sz="0" w:space="0" w:color="auto"/>
          </w:divBdr>
        </w:div>
        <w:div w:id="2078899271">
          <w:marLeft w:val="0"/>
          <w:marRight w:val="0"/>
          <w:marTop w:val="0"/>
          <w:marBottom w:val="0"/>
          <w:divBdr>
            <w:top w:val="none" w:sz="0" w:space="0" w:color="auto"/>
            <w:left w:val="none" w:sz="0" w:space="0" w:color="auto"/>
            <w:bottom w:val="none" w:sz="0" w:space="0" w:color="auto"/>
            <w:right w:val="none" w:sz="0" w:space="0" w:color="auto"/>
          </w:divBdr>
        </w:div>
        <w:div w:id="1344430232">
          <w:marLeft w:val="0"/>
          <w:marRight w:val="0"/>
          <w:marTop w:val="0"/>
          <w:marBottom w:val="0"/>
          <w:divBdr>
            <w:top w:val="none" w:sz="0" w:space="0" w:color="auto"/>
            <w:left w:val="none" w:sz="0" w:space="0" w:color="auto"/>
            <w:bottom w:val="none" w:sz="0" w:space="0" w:color="auto"/>
            <w:right w:val="none" w:sz="0" w:space="0" w:color="auto"/>
          </w:divBdr>
        </w:div>
        <w:div w:id="1145320919">
          <w:marLeft w:val="0"/>
          <w:marRight w:val="0"/>
          <w:marTop w:val="0"/>
          <w:marBottom w:val="0"/>
          <w:divBdr>
            <w:top w:val="none" w:sz="0" w:space="0" w:color="auto"/>
            <w:left w:val="none" w:sz="0" w:space="0" w:color="auto"/>
            <w:bottom w:val="none" w:sz="0" w:space="0" w:color="auto"/>
            <w:right w:val="none" w:sz="0" w:space="0" w:color="auto"/>
          </w:divBdr>
        </w:div>
        <w:div w:id="401559970">
          <w:marLeft w:val="0"/>
          <w:marRight w:val="0"/>
          <w:marTop w:val="0"/>
          <w:marBottom w:val="0"/>
          <w:divBdr>
            <w:top w:val="none" w:sz="0" w:space="0" w:color="auto"/>
            <w:left w:val="none" w:sz="0" w:space="0" w:color="auto"/>
            <w:bottom w:val="none" w:sz="0" w:space="0" w:color="auto"/>
            <w:right w:val="none" w:sz="0" w:space="0" w:color="auto"/>
          </w:divBdr>
          <w:divsChild>
            <w:div w:id="145169707">
              <w:marLeft w:val="-75"/>
              <w:marRight w:val="0"/>
              <w:marTop w:val="30"/>
              <w:marBottom w:val="30"/>
              <w:divBdr>
                <w:top w:val="none" w:sz="0" w:space="0" w:color="auto"/>
                <w:left w:val="none" w:sz="0" w:space="0" w:color="auto"/>
                <w:bottom w:val="none" w:sz="0" w:space="0" w:color="auto"/>
                <w:right w:val="none" w:sz="0" w:space="0" w:color="auto"/>
              </w:divBdr>
              <w:divsChild>
                <w:div w:id="388040032">
                  <w:marLeft w:val="0"/>
                  <w:marRight w:val="0"/>
                  <w:marTop w:val="0"/>
                  <w:marBottom w:val="0"/>
                  <w:divBdr>
                    <w:top w:val="none" w:sz="0" w:space="0" w:color="auto"/>
                    <w:left w:val="none" w:sz="0" w:space="0" w:color="auto"/>
                    <w:bottom w:val="none" w:sz="0" w:space="0" w:color="auto"/>
                    <w:right w:val="none" w:sz="0" w:space="0" w:color="auto"/>
                  </w:divBdr>
                  <w:divsChild>
                    <w:div w:id="383793206">
                      <w:marLeft w:val="0"/>
                      <w:marRight w:val="0"/>
                      <w:marTop w:val="0"/>
                      <w:marBottom w:val="0"/>
                      <w:divBdr>
                        <w:top w:val="none" w:sz="0" w:space="0" w:color="auto"/>
                        <w:left w:val="none" w:sz="0" w:space="0" w:color="auto"/>
                        <w:bottom w:val="none" w:sz="0" w:space="0" w:color="auto"/>
                        <w:right w:val="none" w:sz="0" w:space="0" w:color="auto"/>
                      </w:divBdr>
                    </w:div>
                  </w:divsChild>
                </w:div>
                <w:div w:id="689992447">
                  <w:marLeft w:val="0"/>
                  <w:marRight w:val="0"/>
                  <w:marTop w:val="0"/>
                  <w:marBottom w:val="0"/>
                  <w:divBdr>
                    <w:top w:val="none" w:sz="0" w:space="0" w:color="auto"/>
                    <w:left w:val="none" w:sz="0" w:space="0" w:color="auto"/>
                    <w:bottom w:val="none" w:sz="0" w:space="0" w:color="auto"/>
                    <w:right w:val="none" w:sz="0" w:space="0" w:color="auto"/>
                  </w:divBdr>
                  <w:divsChild>
                    <w:div w:id="1158694131">
                      <w:marLeft w:val="0"/>
                      <w:marRight w:val="0"/>
                      <w:marTop w:val="0"/>
                      <w:marBottom w:val="0"/>
                      <w:divBdr>
                        <w:top w:val="none" w:sz="0" w:space="0" w:color="auto"/>
                        <w:left w:val="none" w:sz="0" w:space="0" w:color="auto"/>
                        <w:bottom w:val="none" w:sz="0" w:space="0" w:color="auto"/>
                        <w:right w:val="none" w:sz="0" w:space="0" w:color="auto"/>
                      </w:divBdr>
                    </w:div>
                  </w:divsChild>
                </w:div>
                <w:div w:id="158086682">
                  <w:marLeft w:val="0"/>
                  <w:marRight w:val="0"/>
                  <w:marTop w:val="0"/>
                  <w:marBottom w:val="0"/>
                  <w:divBdr>
                    <w:top w:val="none" w:sz="0" w:space="0" w:color="auto"/>
                    <w:left w:val="none" w:sz="0" w:space="0" w:color="auto"/>
                    <w:bottom w:val="none" w:sz="0" w:space="0" w:color="auto"/>
                    <w:right w:val="none" w:sz="0" w:space="0" w:color="auto"/>
                  </w:divBdr>
                  <w:divsChild>
                    <w:div w:id="1096176753">
                      <w:marLeft w:val="0"/>
                      <w:marRight w:val="0"/>
                      <w:marTop w:val="0"/>
                      <w:marBottom w:val="0"/>
                      <w:divBdr>
                        <w:top w:val="none" w:sz="0" w:space="0" w:color="auto"/>
                        <w:left w:val="none" w:sz="0" w:space="0" w:color="auto"/>
                        <w:bottom w:val="none" w:sz="0" w:space="0" w:color="auto"/>
                        <w:right w:val="none" w:sz="0" w:space="0" w:color="auto"/>
                      </w:divBdr>
                    </w:div>
                  </w:divsChild>
                </w:div>
                <w:div w:id="1968584540">
                  <w:marLeft w:val="0"/>
                  <w:marRight w:val="0"/>
                  <w:marTop w:val="0"/>
                  <w:marBottom w:val="0"/>
                  <w:divBdr>
                    <w:top w:val="none" w:sz="0" w:space="0" w:color="auto"/>
                    <w:left w:val="none" w:sz="0" w:space="0" w:color="auto"/>
                    <w:bottom w:val="none" w:sz="0" w:space="0" w:color="auto"/>
                    <w:right w:val="none" w:sz="0" w:space="0" w:color="auto"/>
                  </w:divBdr>
                  <w:divsChild>
                    <w:div w:id="340359686">
                      <w:marLeft w:val="0"/>
                      <w:marRight w:val="0"/>
                      <w:marTop w:val="0"/>
                      <w:marBottom w:val="0"/>
                      <w:divBdr>
                        <w:top w:val="none" w:sz="0" w:space="0" w:color="auto"/>
                        <w:left w:val="none" w:sz="0" w:space="0" w:color="auto"/>
                        <w:bottom w:val="none" w:sz="0" w:space="0" w:color="auto"/>
                        <w:right w:val="none" w:sz="0" w:space="0" w:color="auto"/>
                      </w:divBdr>
                    </w:div>
                    <w:div w:id="1608461471">
                      <w:marLeft w:val="0"/>
                      <w:marRight w:val="0"/>
                      <w:marTop w:val="0"/>
                      <w:marBottom w:val="0"/>
                      <w:divBdr>
                        <w:top w:val="none" w:sz="0" w:space="0" w:color="auto"/>
                        <w:left w:val="none" w:sz="0" w:space="0" w:color="auto"/>
                        <w:bottom w:val="none" w:sz="0" w:space="0" w:color="auto"/>
                        <w:right w:val="none" w:sz="0" w:space="0" w:color="auto"/>
                      </w:divBdr>
                    </w:div>
                    <w:div w:id="1996453339">
                      <w:marLeft w:val="0"/>
                      <w:marRight w:val="0"/>
                      <w:marTop w:val="0"/>
                      <w:marBottom w:val="0"/>
                      <w:divBdr>
                        <w:top w:val="none" w:sz="0" w:space="0" w:color="auto"/>
                        <w:left w:val="none" w:sz="0" w:space="0" w:color="auto"/>
                        <w:bottom w:val="none" w:sz="0" w:space="0" w:color="auto"/>
                        <w:right w:val="none" w:sz="0" w:space="0" w:color="auto"/>
                      </w:divBdr>
                    </w:div>
                  </w:divsChild>
                </w:div>
                <w:div w:id="1530414035">
                  <w:marLeft w:val="0"/>
                  <w:marRight w:val="0"/>
                  <w:marTop w:val="0"/>
                  <w:marBottom w:val="0"/>
                  <w:divBdr>
                    <w:top w:val="none" w:sz="0" w:space="0" w:color="auto"/>
                    <w:left w:val="none" w:sz="0" w:space="0" w:color="auto"/>
                    <w:bottom w:val="none" w:sz="0" w:space="0" w:color="auto"/>
                    <w:right w:val="none" w:sz="0" w:space="0" w:color="auto"/>
                  </w:divBdr>
                  <w:divsChild>
                    <w:div w:id="1487162225">
                      <w:marLeft w:val="0"/>
                      <w:marRight w:val="0"/>
                      <w:marTop w:val="0"/>
                      <w:marBottom w:val="0"/>
                      <w:divBdr>
                        <w:top w:val="none" w:sz="0" w:space="0" w:color="auto"/>
                        <w:left w:val="none" w:sz="0" w:space="0" w:color="auto"/>
                        <w:bottom w:val="none" w:sz="0" w:space="0" w:color="auto"/>
                        <w:right w:val="none" w:sz="0" w:space="0" w:color="auto"/>
                      </w:divBdr>
                    </w:div>
                  </w:divsChild>
                </w:div>
                <w:div w:id="1914776686">
                  <w:marLeft w:val="0"/>
                  <w:marRight w:val="0"/>
                  <w:marTop w:val="0"/>
                  <w:marBottom w:val="0"/>
                  <w:divBdr>
                    <w:top w:val="none" w:sz="0" w:space="0" w:color="auto"/>
                    <w:left w:val="none" w:sz="0" w:space="0" w:color="auto"/>
                    <w:bottom w:val="none" w:sz="0" w:space="0" w:color="auto"/>
                    <w:right w:val="none" w:sz="0" w:space="0" w:color="auto"/>
                  </w:divBdr>
                  <w:divsChild>
                    <w:div w:id="2133399356">
                      <w:marLeft w:val="0"/>
                      <w:marRight w:val="0"/>
                      <w:marTop w:val="0"/>
                      <w:marBottom w:val="0"/>
                      <w:divBdr>
                        <w:top w:val="none" w:sz="0" w:space="0" w:color="auto"/>
                        <w:left w:val="none" w:sz="0" w:space="0" w:color="auto"/>
                        <w:bottom w:val="none" w:sz="0" w:space="0" w:color="auto"/>
                        <w:right w:val="none" w:sz="0" w:space="0" w:color="auto"/>
                      </w:divBdr>
                    </w:div>
                  </w:divsChild>
                </w:div>
                <w:div w:id="1090078244">
                  <w:marLeft w:val="0"/>
                  <w:marRight w:val="0"/>
                  <w:marTop w:val="0"/>
                  <w:marBottom w:val="0"/>
                  <w:divBdr>
                    <w:top w:val="none" w:sz="0" w:space="0" w:color="auto"/>
                    <w:left w:val="none" w:sz="0" w:space="0" w:color="auto"/>
                    <w:bottom w:val="none" w:sz="0" w:space="0" w:color="auto"/>
                    <w:right w:val="none" w:sz="0" w:space="0" w:color="auto"/>
                  </w:divBdr>
                  <w:divsChild>
                    <w:div w:id="92870632">
                      <w:marLeft w:val="0"/>
                      <w:marRight w:val="0"/>
                      <w:marTop w:val="0"/>
                      <w:marBottom w:val="0"/>
                      <w:divBdr>
                        <w:top w:val="none" w:sz="0" w:space="0" w:color="auto"/>
                        <w:left w:val="none" w:sz="0" w:space="0" w:color="auto"/>
                        <w:bottom w:val="none" w:sz="0" w:space="0" w:color="auto"/>
                        <w:right w:val="none" w:sz="0" w:space="0" w:color="auto"/>
                      </w:divBdr>
                    </w:div>
                  </w:divsChild>
                </w:div>
                <w:div w:id="1094210200">
                  <w:marLeft w:val="0"/>
                  <w:marRight w:val="0"/>
                  <w:marTop w:val="0"/>
                  <w:marBottom w:val="0"/>
                  <w:divBdr>
                    <w:top w:val="none" w:sz="0" w:space="0" w:color="auto"/>
                    <w:left w:val="none" w:sz="0" w:space="0" w:color="auto"/>
                    <w:bottom w:val="none" w:sz="0" w:space="0" w:color="auto"/>
                    <w:right w:val="none" w:sz="0" w:space="0" w:color="auto"/>
                  </w:divBdr>
                  <w:divsChild>
                    <w:div w:id="42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059547">
          <w:marLeft w:val="0"/>
          <w:marRight w:val="0"/>
          <w:marTop w:val="0"/>
          <w:marBottom w:val="0"/>
          <w:divBdr>
            <w:top w:val="none" w:sz="0" w:space="0" w:color="auto"/>
            <w:left w:val="none" w:sz="0" w:space="0" w:color="auto"/>
            <w:bottom w:val="none" w:sz="0" w:space="0" w:color="auto"/>
            <w:right w:val="none" w:sz="0" w:space="0" w:color="auto"/>
          </w:divBdr>
        </w:div>
        <w:div w:id="466096127">
          <w:marLeft w:val="0"/>
          <w:marRight w:val="0"/>
          <w:marTop w:val="0"/>
          <w:marBottom w:val="0"/>
          <w:divBdr>
            <w:top w:val="none" w:sz="0" w:space="0" w:color="auto"/>
            <w:left w:val="none" w:sz="0" w:space="0" w:color="auto"/>
            <w:bottom w:val="none" w:sz="0" w:space="0" w:color="auto"/>
            <w:right w:val="none" w:sz="0" w:space="0" w:color="auto"/>
          </w:divBdr>
        </w:div>
        <w:div w:id="591011111">
          <w:marLeft w:val="0"/>
          <w:marRight w:val="0"/>
          <w:marTop w:val="0"/>
          <w:marBottom w:val="0"/>
          <w:divBdr>
            <w:top w:val="none" w:sz="0" w:space="0" w:color="auto"/>
            <w:left w:val="none" w:sz="0" w:space="0" w:color="auto"/>
            <w:bottom w:val="none" w:sz="0" w:space="0" w:color="auto"/>
            <w:right w:val="none" w:sz="0" w:space="0" w:color="auto"/>
          </w:divBdr>
        </w:div>
      </w:divsChild>
    </w:div>
    <w:div w:id="2006126508">
      <w:bodyDiv w:val="1"/>
      <w:marLeft w:val="0"/>
      <w:marRight w:val="0"/>
      <w:marTop w:val="0"/>
      <w:marBottom w:val="0"/>
      <w:divBdr>
        <w:top w:val="none" w:sz="0" w:space="0" w:color="auto"/>
        <w:left w:val="none" w:sz="0" w:space="0" w:color="auto"/>
        <w:bottom w:val="none" w:sz="0" w:space="0" w:color="auto"/>
        <w:right w:val="none" w:sz="0" w:space="0" w:color="auto"/>
      </w:divBdr>
    </w:div>
    <w:div w:id="2026982889">
      <w:bodyDiv w:val="1"/>
      <w:marLeft w:val="0"/>
      <w:marRight w:val="0"/>
      <w:marTop w:val="0"/>
      <w:marBottom w:val="0"/>
      <w:divBdr>
        <w:top w:val="none" w:sz="0" w:space="0" w:color="auto"/>
        <w:left w:val="none" w:sz="0" w:space="0" w:color="auto"/>
        <w:bottom w:val="none" w:sz="0" w:space="0" w:color="auto"/>
        <w:right w:val="none" w:sz="0" w:space="0" w:color="auto"/>
      </w:divBdr>
    </w:div>
    <w:div w:id="2063748416">
      <w:bodyDiv w:val="1"/>
      <w:marLeft w:val="0"/>
      <w:marRight w:val="0"/>
      <w:marTop w:val="0"/>
      <w:marBottom w:val="0"/>
      <w:divBdr>
        <w:top w:val="none" w:sz="0" w:space="0" w:color="auto"/>
        <w:left w:val="none" w:sz="0" w:space="0" w:color="auto"/>
        <w:bottom w:val="none" w:sz="0" w:space="0" w:color="auto"/>
        <w:right w:val="none" w:sz="0" w:space="0" w:color="auto"/>
      </w:divBdr>
    </w:div>
    <w:div w:id="2098817361">
      <w:bodyDiv w:val="1"/>
      <w:marLeft w:val="0"/>
      <w:marRight w:val="0"/>
      <w:marTop w:val="0"/>
      <w:marBottom w:val="0"/>
      <w:divBdr>
        <w:top w:val="none" w:sz="0" w:space="0" w:color="auto"/>
        <w:left w:val="none" w:sz="0" w:space="0" w:color="auto"/>
        <w:bottom w:val="none" w:sz="0" w:space="0" w:color="auto"/>
        <w:right w:val="none" w:sz="0" w:space="0" w:color="auto"/>
      </w:divBdr>
    </w:div>
    <w:div w:id="2133014260">
      <w:bodyDiv w:val="1"/>
      <w:marLeft w:val="0"/>
      <w:marRight w:val="0"/>
      <w:marTop w:val="0"/>
      <w:marBottom w:val="0"/>
      <w:divBdr>
        <w:top w:val="none" w:sz="0" w:space="0" w:color="auto"/>
        <w:left w:val="none" w:sz="0" w:space="0" w:color="auto"/>
        <w:bottom w:val="none" w:sz="0" w:space="0" w:color="auto"/>
        <w:right w:val="none" w:sz="0" w:space="0" w:color="auto"/>
      </w:divBdr>
    </w:div>
    <w:div w:id="213964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eader" Target="header3.xml"/><Relationship Id="rId26" Type="http://schemas.openxmlformats.org/officeDocument/2006/relationships/hyperlink" Target="https://www.tiaa.co.uk/blog/safeguarding-responsibilities-cannot-be-outsourced-lessons-from-the-portsmouth-ombudsman-investigation/" TargetMode="External"/><Relationship Id="rId39" Type="http://schemas.openxmlformats.org/officeDocument/2006/relationships/hyperlink" Target="https://www.tiaa.co.uk/blog/workforce-planning-lessons-for-building-a-resilient-and-future-ready-organisation/" TargetMode="External"/><Relationship Id="rId21" Type="http://schemas.openxmlformats.org/officeDocument/2006/relationships/footer" Target="footer5.xml"/><Relationship Id="rId34" Type="http://schemas.openxmlformats.org/officeDocument/2006/relationships/hyperlink" Target="https://www.tiaa.co.uk/blog/patient-data-privacy-under-scrutiny-lessons-in-governance-and-accountability/" TargetMode="External"/><Relationship Id="rId42" Type="http://schemas.openxmlformats.org/officeDocument/2006/relationships/hyperlink" Target="https://www.tiaa.co.uk/blog/security-matters-chinese-espionage-threat-highlights-importance-of-insider-risk-awareness/" TargetMode="External"/><Relationship Id="rId47" Type="http://schemas.openxmlformats.org/officeDocument/2006/relationships/hyperlink" Target="https://www.tiaa.co.uk/blog/tiaa-sponsors-military-miles-2026-making-a-difference-through-walking/"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tiaa.co.uk/blog/case-study-grievance-hr-investigation-private-sector/" TargetMode="External"/><Relationship Id="rId11" Type="http://schemas.openxmlformats.org/officeDocument/2006/relationships/header" Target="header1.xml"/><Relationship Id="rId24" Type="http://schemas.openxmlformats.org/officeDocument/2006/relationships/hyperlink" Target="https://www.tiaa.co.uk/blog/learned-society-of-wales-and-medr-renew-strategic-partnership-to-strengthen-research-and-innovation/" TargetMode="External"/><Relationship Id="rId32" Type="http://schemas.openxmlformats.org/officeDocument/2006/relationships/hyperlink" Target="https://www.tiaa.co.uk/blog/department-for-education-confirms-cyber-incident-affecting-more-than-600000-records/" TargetMode="External"/><Relationship Id="rId37" Type="http://schemas.openxmlformats.org/officeDocument/2006/relationships/hyperlink" Target="https://www.tiaa.co.uk/blog/independent-hr-investigations-getting-it-right-the-first-time/" TargetMode="External"/><Relationship Id="rId40" Type="http://schemas.openxmlformats.org/officeDocument/2006/relationships/hyperlink" Target="https://www.tiaa.co.uk/blog/are-your-delegations-and-committee-arrangements-fit-for-a-new-administration/" TargetMode="External"/><Relationship Id="rId45" Type="http://schemas.openxmlformats.org/officeDocument/2006/relationships/hyperlink" Target="https://www.tiaa.co.uk/blog/romance-fraud-on-the-rise-what-you-need-to-know/"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yperlink" Target="https://www.tiaa.co.uk/blog/nearly-100-nhs-staff-left-in-limbo-following-repeated-procurement-delays/" TargetMode="External"/><Relationship Id="rId36" Type="http://schemas.openxmlformats.org/officeDocument/2006/relationships/hyperlink" Target="https://www.tiaa.co.uk/blog/how-audit-committees-can-provide-confidence-during-post-election-transition/" TargetMode="External"/><Relationship Id="rId49" Type="http://schemas.openxmlformats.org/officeDocument/2006/relationships/hyperlink" Target="https://www.tiaa.co.uk/blog/martyns-law-is-coming-is-the-heritage-sector-ready-for-enforcement/"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tiaa.co.uk/blog/homes-england-reports-strongest-delivery-performance-in-five-years/" TargetMode="External"/><Relationship Id="rId44" Type="http://schemas.openxmlformats.org/officeDocument/2006/relationships/hyperlink" Target="https://www.tiaa.co.uk/publications/fraud-stop-all-sectors-issue-9/" TargetMode="External"/><Relationship Id="rId52"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https://www.tiaa.co.uk/blog/controlled-drugs-and-prescription-medication-theft-risk/" TargetMode="External"/><Relationship Id="rId30" Type="http://schemas.openxmlformats.org/officeDocument/2006/relationships/hyperlink" Target="https://www.tiaa.co.uk/blog/security-matters-social-engineering-the-security-threat-walking-through-the-front-door/" TargetMode="External"/><Relationship Id="rId35" Type="http://schemas.openxmlformats.org/officeDocument/2006/relationships/hyperlink" Target="https://www.tiaa.co.uk/blog/nhs-cyber-security-moves-to-the-top-of-the-risk-agenda/" TargetMode="External"/><Relationship Id="rId43" Type="http://schemas.openxmlformats.org/officeDocument/2006/relationships/hyperlink" Target="https://www.tiaa.co.uk/blog/nao-insight-using-ai-effectively/" TargetMode="External"/><Relationship Id="rId48" Type="http://schemas.openxmlformats.org/officeDocument/2006/relationships/hyperlink" Target="https://www.tiaa.co.uk/blog/phishing-emails-targeting-omnicell-customers/"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gbr01.safelinks.protection.outlook.com/?url=https%3A%2F%2Fd31j3n04.eu1.hs-sales-engage.com%2FCtc%2FGG%2B23284%2Fd31j3N04%2FJll8VMXNW7YbdcM6lZ3m2W8tMNXR4Bg9XKW8wCsMB3NHJMlW84CLhl7w5nfRW6lw5n32pPmc4W7mTfP23lGQdbW71MX9J9bqJrFW436Wch3vgb_CVCdmDB59zg1nW78K9tH47yT3ZV3x9mZ965_TkW2h3KB574JXrBW5y_7HC4jt-CbW4vYM3852GRdQN7MbK70rr1qNW2gBRkW12zR-SW6fjqJN19S6V2W9j5b726MfZRpW5jDtGf8LD62jW9jTJ7b7XwCQ6W8NfXhY7WNBbjVrdDgQ6VWC4KW4Yv6p168BRN2W8wSX0Y21hSgzVzhcfp1KrnNVW2Xw7Sy1GdppZW7LcqqG14xPZFW96j41b9c1nXvW8QDMYH50jqfGW3M94TJ2DxDgsW5gKSP22B6QP6W9gl7Vf5n88ynW9lXbrG5NTlFrW3-n6yF5dS0bVW8qpKkg7cY8TyW3VSD5n5DMZzSW7f_mxd5p2jCxW484LP35ZKG3xW6CXBNN1MzYLYW4FZ7dl3n5jmkW1-4JBC4FLSssW4N1Ysn5cQyMvW7D1Mbd7L05ZXW8yVTwh30dBZyN54pnHCFVwtwVTXKLN5Ft_VdW9gJvcC92dlvfW80VHgf3W9BytW5Jx_bk5TJ-NVW1ljrH54h1WFTW2ymRSP4jTpZdW3csrLj7GB-r6W470NDM6dMz0mW5WfNhl8vVw8RW1PVLJr29KLzMW55RQKN8ZkQWPW7T19j-2rl2JXW26SsdH7KWmnyW4GM8Xf6J55p0W94bVqL7PrLplW4fXndJ1lGytNW6qKgbK2tm9XkW2pngPz19tyFdW2DRvxh6kqK2PW7T844Q8qDr-5Mf7pjfbxhVdW6B-yDN3H-CBnW2c-8Ry1dB2SHW4T_xnC7MhymJW7n0yhv3pGL53W5ty6tf7CjGvvW1Lvcxd5ZwpmTW3FTtBj1mC3K0W21fDyg3FYd-RVmwFrL5Bs2rWf4MvjFH04&amp;data=05%7C02%7Ckelly.reid%40tiaa.co.uk%7Ced68854730ff4827a83908def200c3e8%7C21ae3b23c8ee4702a3dd5dc234e36a7e%7C0%7C0%7C639214282275297039%7CUnknown%7CTWFpbGZsb3d8eyJFbXB0eU1hcGkiOnRydWUsIlYiOiIwLjAuMDAwMCIsIlAiOiJXaW4zMiIsIkFOIjoiTWFpbCIsIldUIjoyfQ%3D%3D%7C0%7C%7C%7C&amp;sdata=MK03d1LisYpg7d1mOB%2FDTAjdbHR2fkxf8t3EzpS8SNs%3D&amp;reserved=0" TargetMode="External"/><Relationship Id="rId25" Type="http://schemas.openxmlformats.org/officeDocument/2006/relationships/hyperlink" Target="https://www.tiaa.co.uk/blog/martyns-law-why-organisations-should-start-preparing-now/" TargetMode="External"/><Relationship Id="rId33" Type="http://schemas.openxmlformats.org/officeDocument/2006/relationships/hyperlink" Target="https://www.tiaa.co.uk/blog/martyns-law-sia-publishes-new-guidance-for-organisations-preparing-for-compliance/" TargetMode="External"/><Relationship Id="rId38" Type="http://schemas.openxmlformats.org/officeDocument/2006/relationships/hyperlink" Target="https://www.tiaa.co.uk/blog/construction-skills-addressing-the-workforce-challenge-behind-the-uks-building-ambitions/" TargetMode="External"/><Relationship Id="rId46" Type="http://schemas.openxmlformats.org/officeDocument/2006/relationships/hyperlink" Target="https://www.tiaa.co.uk/blog/world-cup-scams-how-criminals-target-football-fans-and-how-to-stay-safe/" TargetMode="External"/><Relationship Id="rId20" Type="http://schemas.openxmlformats.org/officeDocument/2006/relationships/header" Target="header4.xml"/><Relationship Id="rId41" Type="http://schemas.openxmlformats.org/officeDocument/2006/relationships/hyperlink" Target="https://www.tiaa.co.uk/blog/charity-fraud-on-the-increase/"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08a6226-e8fb-4e46-97ad-36171c447de0" xsi:nil="true"/>
    <lcf76f155ced4ddcb4097134ff3c332f xmlns="551a88aa-f708-45f4-8f3c-daaab81fc36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19CC70484C3B4999ABE0FEB0A79123" ma:contentTypeVersion="15" ma:contentTypeDescription="Create a new document." ma:contentTypeScope="" ma:versionID="543b06447201a5018bc8a75a409f7fc8">
  <xsd:schema xmlns:xsd="http://www.w3.org/2001/XMLSchema" xmlns:xs="http://www.w3.org/2001/XMLSchema" xmlns:p="http://schemas.microsoft.com/office/2006/metadata/properties" xmlns:ns2="551a88aa-f708-45f4-8f3c-daaab81fc368" xmlns:ns3="b08a6226-e8fb-4e46-97ad-36171c447de0" targetNamespace="http://schemas.microsoft.com/office/2006/metadata/properties" ma:root="true" ma:fieldsID="07448c93ea079134c039cb08196a81c7" ns2:_="" ns3:_="">
    <xsd:import namespace="551a88aa-f708-45f4-8f3c-daaab81fc368"/>
    <xsd:import namespace="b08a6226-e8fb-4e46-97ad-36171c447d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a88aa-f708-45f4-8f3c-daaab81fc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ced2b2f-ee26-45ec-8806-56f547c2a14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8a6226-e8fb-4e46-97ad-36171c447de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29ab387-2162-416a-ae45-8ca31af8fe22}" ma:internalName="TaxCatchAll" ma:showField="CatchAllData" ma:web="b08a6226-e8fb-4e46-97ad-36171c447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6E54F-4886-4CAA-A7E9-621FDCA4681F}">
  <ds:schemaRefs>
    <ds:schemaRef ds:uri="http://schemas.microsoft.com/sharepoint/v3/contenttype/forms"/>
  </ds:schemaRefs>
</ds:datastoreItem>
</file>

<file path=customXml/itemProps2.xml><?xml version="1.0" encoding="utf-8"?>
<ds:datastoreItem xmlns:ds="http://schemas.openxmlformats.org/officeDocument/2006/customXml" ds:itemID="{0EBEE512-1BF6-4C64-B4EB-A7A3C6647DEE}">
  <ds:schemaRefs>
    <ds:schemaRef ds:uri="http://schemas.microsoft.com/office/2006/metadata/properties"/>
    <ds:schemaRef ds:uri="http://schemas.microsoft.com/office/infopath/2007/PartnerControls"/>
    <ds:schemaRef ds:uri="d4dab8e6-9313-49db-bad1-ac4038fff6b6"/>
    <ds:schemaRef ds:uri="97be4625-3363-4935-97f5-b9c7123b09c7"/>
  </ds:schemaRefs>
</ds:datastoreItem>
</file>

<file path=customXml/itemProps3.xml><?xml version="1.0" encoding="utf-8"?>
<ds:datastoreItem xmlns:ds="http://schemas.openxmlformats.org/officeDocument/2006/customXml" ds:itemID="{F4388194-379A-4354-A672-D8EDEE94C7C2}"/>
</file>

<file path=customXml/itemProps4.xml><?xml version="1.0" encoding="utf-8"?>
<ds:datastoreItem xmlns:ds="http://schemas.openxmlformats.org/officeDocument/2006/customXml" ds:itemID="{C2717752-D035-4CCF-B89E-05B6C78D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4515</Words>
  <Characters>25742</Characters>
  <Application>Microsoft Office Word</Application>
  <DocSecurity>8</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TIAA</Company>
  <LinksUpToDate>false</LinksUpToDate>
  <CharactersWithSpaces>30197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Truran</dc:creator>
  <cp:keywords/>
  <cp:lastModifiedBy>Tyla Moreno</cp:lastModifiedBy>
  <cp:revision>2</cp:revision>
  <cp:lastPrinted>2020-10-02T14:10:00Z</cp:lastPrinted>
  <dcterms:created xsi:type="dcterms:W3CDTF">2026-09-08T08:54:00Z</dcterms:created>
  <dcterms:modified xsi:type="dcterms:W3CDTF">2026-09-08T08:54:00Z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asypqq_addin_document_unique_id">
    <vt:lpwstr>4373844c-33a1-4a17-b897-987ad8520c53</vt:lpwstr>
  </property>
  <property fmtid="{D5CDD505-2E9C-101B-9397-08002B2CF9AE}" pid="3" name="ContentTypeId">
    <vt:lpwstr>0x0101003419CC70484C3B4999ABE0FEB0A79123</vt:lpwstr>
  </property>
  <property fmtid="{D5CDD505-2E9C-101B-9397-08002B2CF9AE}" pid="4" name="Order">
    <vt:r8>22759600</vt:r8>
  </property>
  <property fmtid="{D5CDD505-2E9C-101B-9397-08002B2CF9AE}" pid="5" name="MediaServiceImageTags">
    <vt:lpwstr/>
  </property>
</Properties>
</file>