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C700" w14:textId="77777777" w:rsidR="00D26302" w:rsidRPr="00D26302" w:rsidRDefault="00D26302" w:rsidP="005C173F">
      <w:pPr>
        <w:rPr>
          <w:rFonts w:ascii="Arial" w:hAnsi="Arial" w:cs="Arial"/>
          <w:b/>
          <w:sz w:val="24"/>
          <w:szCs w:val="24"/>
        </w:rPr>
      </w:pPr>
    </w:p>
    <w:p w14:paraId="3F890E83" w14:textId="77777777" w:rsidR="00D26302" w:rsidRPr="00D26302" w:rsidRDefault="00EF0FF3" w:rsidP="00D26302">
      <w:pPr>
        <w:jc w:val="center"/>
        <w:rPr>
          <w:rFonts w:ascii="Arial" w:hAnsi="Arial" w:cs="Arial"/>
          <w:b/>
          <w:sz w:val="24"/>
          <w:szCs w:val="24"/>
          <w:u w:val="single"/>
        </w:rPr>
      </w:pPr>
      <w:r>
        <w:rPr>
          <w:rFonts w:ascii="Arial" w:hAnsi="Arial" w:cs="Arial"/>
          <w:b/>
          <w:sz w:val="24"/>
          <w:szCs w:val="24"/>
          <w:u w:val="single"/>
        </w:rPr>
        <w:t>OFFICE OF POLICE AND CRIME COMMISSIONER</w:t>
      </w:r>
    </w:p>
    <w:p w14:paraId="07FE8452" w14:textId="7E6DE260" w:rsidR="00D26302" w:rsidRPr="00F4622F" w:rsidRDefault="00D26302" w:rsidP="00947E0C">
      <w:pPr>
        <w:ind w:left="1440" w:hanging="1440"/>
        <w:rPr>
          <w:rFonts w:ascii="Arial" w:hAnsi="Arial" w:cs="Arial"/>
          <w:b/>
          <w:sz w:val="24"/>
          <w:szCs w:val="24"/>
        </w:rPr>
      </w:pPr>
      <w:r w:rsidRPr="00D26302">
        <w:rPr>
          <w:rFonts w:ascii="Arial" w:hAnsi="Arial" w:cs="Arial"/>
          <w:b/>
          <w:sz w:val="24"/>
          <w:szCs w:val="24"/>
        </w:rPr>
        <w:t>TITLE:</w:t>
      </w:r>
      <w:r w:rsidR="00BC5418">
        <w:rPr>
          <w:rFonts w:ascii="Arial" w:hAnsi="Arial" w:cs="Arial"/>
          <w:b/>
          <w:sz w:val="24"/>
          <w:szCs w:val="24"/>
        </w:rPr>
        <w:t xml:space="preserve"> </w:t>
      </w:r>
      <w:r w:rsidR="00F4622F">
        <w:rPr>
          <w:rFonts w:ascii="Arial" w:hAnsi="Arial" w:cs="Arial"/>
          <w:b/>
          <w:sz w:val="24"/>
          <w:szCs w:val="24"/>
        </w:rPr>
        <w:tab/>
      </w:r>
      <w:r w:rsidR="00947E0C">
        <w:rPr>
          <w:rFonts w:ascii="Arial" w:hAnsi="Arial" w:cs="Arial"/>
          <w:b/>
          <w:sz w:val="24"/>
          <w:szCs w:val="24"/>
        </w:rPr>
        <w:t>Police and Crime Commissioner</w:t>
      </w:r>
      <w:r w:rsidR="00AF4F7F" w:rsidRPr="00F4622F">
        <w:rPr>
          <w:rFonts w:ascii="Arial" w:hAnsi="Arial" w:cs="Arial"/>
          <w:b/>
          <w:sz w:val="24"/>
          <w:szCs w:val="24"/>
        </w:rPr>
        <w:t xml:space="preserve"> </w:t>
      </w:r>
      <w:r w:rsidR="000309EF" w:rsidRPr="00F4622F">
        <w:rPr>
          <w:rFonts w:ascii="Arial" w:hAnsi="Arial" w:cs="Arial"/>
          <w:b/>
          <w:sz w:val="24"/>
          <w:szCs w:val="24"/>
        </w:rPr>
        <w:t>Treasury Management Strategy</w:t>
      </w:r>
      <w:r w:rsidR="00F00EB3">
        <w:rPr>
          <w:rFonts w:ascii="Arial" w:hAnsi="Arial" w:cs="Arial"/>
          <w:b/>
          <w:sz w:val="24"/>
          <w:szCs w:val="24"/>
        </w:rPr>
        <w:t xml:space="preserve"> 20</w:t>
      </w:r>
      <w:r w:rsidR="00695C55">
        <w:rPr>
          <w:rFonts w:ascii="Arial" w:hAnsi="Arial" w:cs="Arial"/>
          <w:b/>
          <w:sz w:val="24"/>
          <w:szCs w:val="24"/>
        </w:rPr>
        <w:t>2</w:t>
      </w:r>
      <w:r w:rsidR="00947E0C">
        <w:rPr>
          <w:rFonts w:ascii="Arial" w:hAnsi="Arial" w:cs="Arial"/>
          <w:b/>
          <w:sz w:val="24"/>
          <w:szCs w:val="24"/>
        </w:rPr>
        <w:t>6</w:t>
      </w:r>
      <w:r w:rsidR="00B91DB6">
        <w:rPr>
          <w:rFonts w:ascii="Arial" w:hAnsi="Arial" w:cs="Arial"/>
          <w:b/>
          <w:sz w:val="24"/>
          <w:szCs w:val="24"/>
        </w:rPr>
        <w:t>/</w:t>
      </w:r>
      <w:r w:rsidR="007601E1">
        <w:rPr>
          <w:rFonts w:ascii="Arial" w:hAnsi="Arial" w:cs="Arial"/>
          <w:b/>
          <w:sz w:val="24"/>
          <w:szCs w:val="24"/>
        </w:rPr>
        <w:t>2</w:t>
      </w:r>
      <w:r w:rsidR="00947E0C">
        <w:rPr>
          <w:rFonts w:ascii="Arial" w:hAnsi="Arial" w:cs="Arial"/>
          <w:b/>
          <w:sz w:val="24"/>
          <w:szCs w:val="24"/>
        </w:rPr>
        <w:t>7</w:t>
      </w:r>
      <w:r w:rsidR="00766097">
        <w:rPr>
          <w:rFonts w:ascii="Arial" w:hAnsi="Arial" w:cs="Arial"/>
          <w:b/>
          <w:sz w:val="24"/>
          <w:szCs w:val="24"/>
        </w:rPr>
        <w:t xml:space="preserve"> to 20</w:t>
      </w:r>
      <w:r w:rsidR="00776EFC">
        <w:rPr>
          <w:rFonts w:ascii="Arial" w:hAnsi="Arial" w:cs="Arial"/>
          <w:b/>
          <w:sz w:val="24"/>
          <w:szCs w:val="24"/>
        </w:rPr>
        <w:t>2</w:t>
      </w:r>
      <w:r w:rsidR="00947E0C">
        <w:rPr>
          <w:rFonts w:ascii="Arial" w:hAnsi="Arial" w:cs="Arial"/>
          <w:b/>
          <w:sz w:val="24"/>
          <w:szCs w:val="24"/>
        </w:rPr>
        <w:t>8</w:t>
      </w:r>
      <w:r w:rsidR="00166E2E">
        <w:rPr>
          <w:rFonts w:ascii="Arial" w:hAnsi="Arial" w:cs="Arial"/>
          <w:b/>
          <w:sz w:val="24"/>
          <w:szCs w:val="24"/>
        </w:rPr>
        <w:t>/2</w:t>
      </w:r>
      <w:r w:rsidR="00947E0C">
        <w:rPr>
          <w:rFonts w:ascii="Arial" w:hAnsi="Arial" w:cs="Arial"/>
          <w:b/>
          <w:sz w:val="24"/>
          <w:szCs w:val="24"/>
        </w:rPr>
        <w:t>9</w:t>
      </w:r>
      <w:r w:rsidRPr="00F4622F">
        <w:rPr>
          <w:rFonts w:ascii="Arial" w:hAnsi="Arial" w:cs="Arial"/>
          <w:b/>
          <w:sz w:val="24"/>
          <w:szCs w:val="24"/>
        </w:rPr>
        <w:tab/>
      </w:r>
    </w:p>
    <w:p w14:paraId="4A26F144" w14:textId="580F24E1" w:rsidR="00AF4F7F" w:rsidRPr="00F4622F" w:rsidRDefault="00BC5418">
      <w:pPr>
        <w:rPr>
          <w:rFonts w:ascii="Arial" w:hAnsi="Arial" w:cs="Arial"/>
          <w:b/>
          <w:sz w:val="24"/>
          <w:szCs w:val="24"/>
        </w:rPr>
      </w:pPr>
      <w:r w:rsidRPr="00F4622F">
        <w:rPr>
          <w:rFonts w:ascii="Arial" w:hAnsi="Arial" w:cs="Arial"/>
          <w:b/>
          <w:sz w:val="24"/>
          <w:szCs w:val="24"/>
        </w:rPr>
        <w:t>DATE:</w:t>
      </w:r>
      <w:r w:rsidR="006C6B85" w:rsidRPr="00F4622F">
        <w:rPr>
          <w:rFonts w:ascii="Arial" w:hAnsi="Arial" w:cs="Arial"/>
          <w:b/>
          <w:sz w:val="24"/>
          <w:szCs w:val="24"/>
        </w:rPr>
        <w:t xml:space="preserve"> </w:t>
      </w:r>
      <w:r w:rsidR="00166E2E">
        <w:rPr>
          <w:rFonts w:ascii="Arial" w:hAnsi="Arial" w:cs="Arial"/>
          <w:b/>
          <w:sz w:val="24"/>
          <w:szCs w:val="24"/>
        </w:rPr>
        <w:tab/>
      </w:r>
      <w:r w:rsidR="003D15FF">
        <w:rPr>
          <w:rFonts w:ascii="Arial" w:hAnsi="Arial" w:cs="Arial"/>
          <w:b/>
          <w:sz w:val="24"/>
          <w:szCs w:val="24"/>
        </w:rPr>
        <w:t>11</w:t>
      </w:r>
      <w:r w:rsidR="00947E0C" w:rsidRPr="00947E0C">
        <w:rPr>
          <w:rFonts w:ascii="Arial" w:hAnsi="Arial" w:cs="Arial"/>
          <w:b/>
          <w:sz w:val="24"/>
          <w:szCs w:val="24"/>
          <w:vertAlign w:val="superscript"/>
        </w:rPr>
        <w:t>th</w:t>
      </w:r>
      <w:r w:rsidR="00947E0C">
        <w:rPr>
          <w:rFonts w:ascii="Arial" w:hAnsi="Arial" w:cs="Arial"/>
          <w:b/>
          <w:sz w:val="24"/>
          <w:szCs w:val="24"/>
        </w:rPr>
        <w:t xml:space="preserve"> </w:t>
      </w:r>
      <w:r w:rsidR="003D15FF">
        <w:rPr>
          <w:rFonts w:ascii="Arial" w:hAnsi="Arial" w:cs="Arial"/>
          <w:b/>
          <w:sz w:val="24"/>
          <w:szCs w:val="24"/>
        </w:rPr>
        <w:t>March</w:t>
      </w:r>
      <w:r w:rsidR="00947E0C">
        <w:rPr>
          <w:rFonts w:ascii="Arial" w:hAnsi="Arial" w:cs="Arial"/>
          <w:b/>
          <w:sz w:val="24"/>
          <w:szCs w:val="24"/>
        </w:rPr>
        <w:t xml:space="preserve"> 2026</w:t>
      </w:r>
    </w:p>
    <w:p w14:paraId="53028F60" w14:textId="7364150A" w:rsidR="00BC5418" w:rsidRPr="00F4622F" w:rsidRDefault="00BC5418" w:rsidP="00F4622F">
      <w:pPr>
        <w:spacing w:after="0" w:line="240" w:lineRule="auto"/>
        <w:ind w:left="1440" w:hanging="1440"/>
        <w:jc w:val="both"/>
        <w:rPr>
          <w:rFonts w:ascii="Arial" w:hAnsi="Arial" w:cs="Arial"/>
          <w:b/>
          <w:sz w:val="24"/>
          <w:szCs w:val="24"/>
        </w:rPr>
      </w:pPr>
      <w:r w:rsidRPr="00F4622F">
        <w:rPr>
          <w:rFonts w:ascii="Arial" w:hAnsi="Arial" w:cs="Arial"/>
          <w:b/>
          <w:sz w:val="24"/>
          <w:szCs w:val="24"/>
        </w:rPr>
        <w:t>TIMING:</w:t>
      </w:r>
      <w:r w:rsidR="00AF4F7F" w:rsidRPr="00F4622F">
        <w:rPr>
          <w:rFonts w:ascii="Arial" w:hAnsi="Arial" w:cs="Arial"/>
          <w:b/>
          <w:sz w:val="24"/>
          <w:szCs w:val="24"/>
        </w:rPr>
        <w:t xml:space="preserve"> </w:t>
      </w:r>
      <w:r w:rsidR="00F4622F" w:rsidRPr="00F4622F">
        <w:rPr>
          <w:rFonts w:ascii="Arial" w:hAnsi="Arial" w:cs="Arial"/>
          <w:b/>
          <w:sz w:val="24"/>
          <w:szCs w:val="24"/>
        </w:rPr>
        <w:tab/>
      </w:r>
      <w:r w:rsidR="00947E0C">
        <w:rPr>
          <w:rFonts w:ascii="Arial" w:hAnsi="Arial" w:cs="Arial"/>
          <w:b/>
          <w:sz w:val="24"/>
          <w:szCs w:val="24"/>
        </w:rPr>
        <w:t>Annually as part of the Annual Budget Setting Process</w:t>
      </w:r>
      <w:r w:rsidRPr="00F4622F">
        <w:rPr>
          <w:rFonts w:ascii="Arial" w:hAnsi="Arial" w:cs="Arial"/>
          <w:b/>
          <w:sz w:val="24"/>
          <w:szCs w:val="24"/>
        </w:rPr>
        <w:t xml:space="preserve"> </w:t>
      </w:r>
    </w:p>
    <w:p w14:paraId="24432F44" w14:textId="77777777" w:rsidR="00AF4F7F" w:rsidRPr="00F4622F" w:rsidRDefault="00AF4F7F" w:rsidP="00BC5418">
      <w:pPr>
        <w:spacing w:after="0" w:line="240" w:lineRule="auto"/>
        <w:jc w:val="both"/>
        <w:rPr>
          <w:rFonts w:ascii="Arial" w:hAnsi="Arial" w:cs="Arial"/>
          <w:b/>
          <w:i/>
          <w:szCs w:val="24"/>
        </w:rPr>
      </w:pPr>
    </w:p>
    <w:p w14:paraId="407911EE" w14:textId="77777777" w:rsidR="00BC5418" w:rsidRPr="00F4622F" w:rsidRDefault="00BC5418" w:rsidP="00BC5418">
      <w:pPr>
        <w:spacing w:after="0" w:line="240" w:lineRule="auto"/>
        <w:jc w:val="both"/>
        <w:rPr>
          <w:rFonts w:cs="Arial"/>
          <w:b/>
          <w:sz w:val="24"/>
          <w:szCs w:val="24"/>
        </w:rPr>
      </w:pPr>
      <w:r w:rsidRPr="00F4622F">
        <w:rPr>
          <w:rFonts w:ascii="Arial" w:hAnsi="Arial" w:cs="Arial"/>
          <w:b/>
          <w:sz w:val="24"/>
          <w:szCs w:val="24"/>
        </w:rPr>
        <w:t>PURPOSE:</w:t>
      </w:r>
      <w:r w:rsidRPr="00F4622F">
        <w:rPr>
          <w:rFonts w:ascii="Arial" w:hAnsi="Arial" w:cs="Arial"/>
          <w:b/>
          <w:i/>
          <w:szCs w:val="24"/>
        </w:rPr>
        <w:t xml:space="preserve"> </w:t>
      </w:r>
      <w:r w:rsidR="00F4622F" w:rsidRPr="00F4622F">
        <w:rPr>
          <w:rFonts w:ascii="Arial" w:hAnsi="Arial" w:cs="Arial"/>
          <w:b/>
          <w:i/>
          <w:szCs w:val="24"/>
        </w:rPr>
        <w:tab/>
      </w:r>
      <w:r w:rsidR="00F4622F">
        <w:rPr>
          <w:rFonts w:ascii="Arial" w:hAnsi="Arial" w:cs="Arial"/>
          <w:b/>
          <w:sz w:val="24"/>
          <w:szCs w:val="24"/>
        </w:rPr>
        <w:t xml:space="preserve">For </w:t>
      </w:r>
      <w:r w:rsidR="00B91DB6">
        <w:rPr>
          <w:rFonts w:ascii="Arial" w:hAnsi="Arial" w:cs="Arial"/>
          <w:b/>
          <w:sz w:val="24"/>
          <w:szCs w:val="24"/>
        </w:rPr>
        <w:t>Consideration</w:t>
      </w:r>
    </w:p>
    <w:p w14:paraId="7FB1A336" w14:textId="77777777" w:rsidR="00BC5418" w:rsidRDefault="00BC5418" w:rsidP="00BC5418">
      <w:pPr>
        <w:spacing w:after="0" w:line="240" w:lineRule="auto"/>
        <w:jc w:val="both"/>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390"/>
      </w:tblGrid>
      <w:tr w:rsidR="00D26302" w:rsidRPr="00055BFA" w14:paraId="044A6DE3" w14:textId="77777777" w:rsidTr="00055BFA">
        <w:tc>
          <w:tcPr>
            <w:tcW w:w="675" w:type="dxa"/>
          </w:tcPr>
          <w:p w14:paraId="5CCF40F5" w14:textId="77777777" w:rsidR="00D26302" w:rsidRPr="00055BFA" w:rsidRDefault="005C173F" w:rsidP="00055BFA">
            <w:pPr>
              <w:spacing w:after="0"/>
              <w:rPr>
                <w:rFonts w:ascii="Arial" w:hAnsi="Arial" w:cs="Arial"/>
                <w:b/>
                <w:sz w:val="24"/>
                <w:szCs w:val="24"/>
              </w:rPr>
            </w:pPr>
            <w:r>
              <w:rPr>
                <w:rFonts w:ascii="Arial" w:hAnsi="Arial" w:cs="Arial"/>
                <w:b/>
                <w:sz w:val="24"/>
                <w:szCs w:val="24"/>
              </w:rPr>
              <w:t>1</w:t>
            </w:r>
            <w:r w:rsidR="00D26302" w:rsidRPr="00055BFA">
              <w:rPr>
                <w:rFonts w:ascii="Arial" w:hAnsi="Arial" w:cs="Arial"/>
                <w:b/>
                <w:sz w:val="24"/>
                <w:szCs w:val="24"/>
              </w:rPr>
              <w:t>.</w:t>
            </w:r>
          </w:p>
        </w:tc>
        <w:tc>
          <w:tcPr>
            <w:tcW w:w="8611" w:type="dxa"/>
          </w:tcPr>
          <w:p w14:paraId="15FBD80A" w14:textId="77777777" w:rsidR="00D26302" w:rsidRPr="00055BFA" w:rsidRDefault="00D26302" w:rsidP="009E19DB">
            <w:pPr>
              <w:spacing w:after="0"/>
              <w:jc w:val="both"/>
              <w:rPr>
                <w:rFonts w:ascii="Arial" w:hAnsi="Arial" w:cs="Arial"/>
                <w:b/>
                <w:sz w:val="24"/>
                <w:szCs w:val="24"/>
                <w:u w:val="single"/>
              </w:rPr>
            </w:pPr>
            <w:r w:rsidRPr="00055BFA">
              <w:rPr>
                <w:rFonts w:ascii="Arial" w:hAnsi="Arial" w:cs="Arial"/>
                <w:b/>
                <w:sz w:val="24"/>
                <w:szCs w:val="24"/>
                <w:u w:val="single"/>
              </w:rPr>
              <w:t>RECOMMENDATION</w:t>
            </w:r>
          </w:p>
          <w:p w14:paraId="37C8E2C5" w14:textId="0FBBAF31" w:rsidR="00947E0C" w:rsidRDefault="00947E0C" w:rsidP="00947E0C">
            <w:pPr>
              <w:spacing w:after="0" w:line="240" w:lineRule="auto"/>
              <w:jc w:val="both"/>
              <w:rPr>
                <w:rFonts w:ascii="Arial" w:hAnsi="Arial" w:cs="Arial"/>
                <w:sz w:val="24"/>
                <w:szCs w:val="24"/>
              </w:rPr>
            </w:pPr>
            <w:r w:rsidRPr="00517C4B">
              <w:rPr>
                <w:rFonts w:ascii="Arial" w:hAnsi="Arial" w:cs="Arial"/>
                <w:sz w:val="24"/>
                <w:szCs w:val="24"/>
              </w:rPr>
              <w:t xml:space="preserve">To provide Members of the Joint Audit Committee </w:t>
            </w:r>
            <w:r>
              <w:rPr>
                <w:rFonts w:ascii="Arial" w:hAnsi="Arial" w:cs="Arial"/>
                <w:sz w:val="24"/>
                <w:szCs w:val="24"/>
              </w:rPr>
              <w:t xml:space="preserve">(JAC) </w:t>
            </w:r>
            <w:r w:rsidRPr="00517C4B">
              <w:rPr>
                <w:rFonts w:ascii="Arial" w:hAnsi="Arial" w:cs="Arial"/>
                <w:sz w:val="24"/>
                <w:szCs w:val="24"/>
              </w:rPr>
              <w:t xml:space="preserve">with the Police and Crime Commissioner’s (Commissioner) </w:t>
            </w:r>
            <w:r>
              <w:rPr>
                <w:rFonts w:ascii="Arial" w:hAnsi="Arial" w:cs="Arial"/>
                <w:sz w:val="24"/>
                <w:szCs w:val="24"/>
              </w:rPr>
              <w:t>Treasury Management Strategy</w:t>
            </w:r>
            <w:r w:rsidRPr="00517C4B">
              <w:rPr>
                <w:rFonts w:ascii="Arial" w:hAnsi="Arial" w:cs="Arial"/>
                <w:sz w:val="24"/>
                <w:szCs w:val="24"/>
              </w:rPr>
              <w:t xml:space="preserve"> 20</w:t>
            </w:r>
            <w:r>
              <w:rPr>
                <w:rFonts w:ascii="Arial" w:hAnsi="Arial" w:cs="Arial"/>
                <w:sz w:val="24"/>
                <w:szCs w:val="24"/>
              </w:rPr>
              <w:t>26/27</w:t>
            </w:r>
            <w:r w:rsidRPr="00517C4B">
              <w:rPr>
                <w:rFonts w:ascii="Arial" w:hAnsi="Arial" w:cs="Arial"/>
                <w:sz w:val="24"/>
                <w:szCs w:val="24"/>
              </w:rPr>
              <w:t xml:space="preserve">, for their consideration.  This will enable Members to discharge their responsibilities in relation to </w:t>
            </w:r>
            <w:r>
              <w:rPr>
                <w:rFonts w:ascii="Arial" w:hAnsi="Arial" w:cs="Arial"/>
                <w:sz w:val="24"/>
                <w:szCs w:val="24"/>
              </w:rPr>
              <w:t>Treasury Management</w:t>
            </w:r>
            <w:r w:rsidRPr="00517C4B">
              <w:rPr>
                <w:rFonts w:ascii="Arial" w:hAnsi="Arial" w:cs="Arial"/>
                <w:sz w:val="24"/>
                <w:szCs w:val="24"/>
              </w:rPr>
              <w:t xml:space="preserve"> and the annual financial statements.  This strategy </w:t>
            </w:r>
            <w:r>
              <w:rPr>
                <w:rFonts w:ascii="Arial" w:hAnsi="Arial" w:cs="Arial"/>
                <w:sz w:val="24"/>
                <w:szCs w:val="24"/>
              </w:rPr>
              <w:t>was</w:t>
            </w:r>
            <w:r w:rsidRPr="00517C4B">
              <w:rPr>
                <w:rFonts w:ascii="Arial" w:hAnsi="Arial" w:cs="Arial"/>
                <w:sz w:val="24"/>
                <w:szCs w:val="24"/>
              </w:rPr>
              <w:t xml:space="preserve"> considered by the </w:t>
            </w:r>
            <w:r>
              <w:rPr>
                <w:rFonts w:ascii="Arial" w:hAnsi="Arial" w:cs="Arial"/>
                <w:sz w:val="24"/>
                <w:szCs w:val="24"/>
              </w:rPr>
              <w:t>Commissioner</w:t>
            </w:r>
            <w:r w:rsidRPr="00517C4B">
              <w:rPr>
                <w:rFonts w:ascii="Arial" w:hAnsi="Arial" w:cs="Arial"/>
                <w:sz w:val="24"/>
                <w:szCs w:val="24"/>
              </w:rPr>
              <w:t xml:space="preserve"> as part of their deliberations regarding the </w:t>
            </w:r>
            <w:r>
              <w:rPr>
                <w:rFonts w:ascii="Arial" w:hAnsi="Arial" w:cs="Arial"/>
                <w:sz w:val="24"/>
                <w:szCs w:val="24"/>
              </w:rPr>
              <w:t>Budget Requirement and</w:t>
            </w:r>
            <w:r w:rsidRPr="00517C4B">
              <w:rPr>
                <w:rFonts w:ascii="Arial" w:hAnsi="Arial" w:cs="Arial"/>
                <w:sz w:val="24"/>
                <w:szCs w:val="24"/>
              </w:rPr>
              <w:t xml:space="preserve"> </w:t>
            </w:r>
            <w:r>
              <w:rPr>
                <w:rFonts w:ascii="Arial" w:hAnsi="Arial" w:cs="Arial"/>
                <w:sz w:val="24"/>
                <w:szCs w:val="24"/>
              </w:rPr>
              <w:t xml:space="preserve">Council Tax </w:t>
            </w:r>
            <w:r w:rsidRPr="00517C4B">
              <w:rPr>
                <w:rFonts w:ascii="Arial" w:hAnsi="Arial" w:cs="Arial"/>
                <w:sz w:val="24"/>
                <w:szCs w:val="24"/>
              </w:rPr>
              <w:t>Precept proposal for 20</w:t>
            </w:r>
            <w:r>
              <w:rPr>
                <w:rFonts w:ascii="Arial" w:hAnsi="Arial" w:cs="Arial"/>
                <w:sz w:val="24"/>
                <w:szCs w:val="24"/>
              </w:rPr>
              <w:t>26/27</w:t>
            </w:r>
            <w:r w:rsidRPr="00517C4B">
              <w:rPr>
                <w:rFonts w:ascii="Arial" w:hAnsi="Arial" w:cs="Arial"/>
                <w:sz w:val="24"/>
                <w:szCs w:val="24"/>
              </w:rPr>
              <w:t>.</w:t>
            </w:r>
          </w:p>
          <w:p w14:paraId="30B074C3" w14:textId="77777777" w:rsidR="00947E0C" w:rsidRDefault="00947E0C" w:rsidP="00947E0C">
            <w:pPr>
              <w:spacing w:after="0" w:line="240" w:lineRule="auto"/>
              <w:jc w:val="both"/>
              <w:rPr>
                <w:rFonts w:ascii="Arial" w:hAnsi="Arial" w:cs="Arial"/>
                <w:sz w:val="24"/>
                <w:szCs w:val="24"/>
              </w:rPr>
            </w:pPr>
          </w:p>
          <w:p w14:paraId="5BD99E91" w14:textId="5D8177EC" w:rsidR="00947E0C" w:rsidRDefault="00947E0C" w:rsidP="00947E0C">
            <w:pPr>
              <w:spacing w:after="0"/>
              <w:jc w:val="both"/>
              <w:rPr>
                <w:rFonts w:ascii="Arial" w:hAnsi="Arial" w:cs="Arial"/>
                <w:sz w:val="24"/>
                <w:szCs w:val="24"/>
              </w:rPr>
            </w:pPr>
            <w:r w:rsidRPr="001844A3">
              <w:rPr>
                <w:rFonts w:ascii="Arial" w:hAnsi="Arial" w:cs="Arial"/>
                <w:sz w:val="24"/>
                <w:szCs w:val="24"/>
              </w:rPr>
              <w:t xml:space="preserve">Furthermore, an endorsed and publicly available </w:t>
            </w:r>
            <w:r>
              <w:rPr>
                <w:rFonts w:ascii="Arial" w:hAnsi="Arial" w:cs="Arial"/>
                <w:sz w:val="24"/>
                <w:szCs w:val="24"/>
              </w:rPr>
              <w:t>Treasury Management</w:t>
            </w:r>
            <w:r w:rsidRPr="001844A3">
              <w:rPr>
                <w:rFonts w:ascii="Arial" w:hAnsi="Arial" w:cs="Arial"/>
                <w:sz w:val="24"/>
                <w:szCs w:val="24"/>
              </w:rPr>
              <w:t xml:space="preserve"> Strategy provides context to the Commissioner’s overall financial position</w:t>
            </w:r>
            <w:r>
              <w:rPr>
                <w:rFonts w:ascii="Arial" w:hAnsi="Arial" w:cs="Arial"/>
                <w:sz w:val="24"/>
                <w:szCs w:val="24"/>
              </w:rPr>
              <w:t>.</w:t>
            </w:r>
          </w:p>
          <w:p w14:paraId="27445A56" w14:textId="77777777" w:rsidR="007601E1" w:rsidRPr="00166E2E" w:rsidRDefault="007601E1" w:rsidP="00947E0C">
            <w:pPr>
              <w:spacing w:after="0"/>
              <w:jc w:val="both"/>
              <w:rPr>
                <w:rFonts w:ascii="Arial" w:hAnsi="Arial" w:cs="Arial"/>
                <w:sz w:val="24"/>
                <w:szCs w:val="24"/>
              </w:rPr>
            </w:pPr>
          </w:p>
        </w:tc>
      </w:tr>
      <w:tr w:rsidR="00D26302" w:rsidRPr="00055BFA" w14:paraId="4ADE395A" w14:textId="77777777" w:rsidTr="00055BFA">
        <w:tc>
          <w:tcPr>
            <w:tcW w:w="675" w:type="dxa"/>
          </w:tcPr>
          <w:p w14:paraId="36664C5F" w14:textId="77777777" w:rsidR="00D26302" w:rsidRPr="00055BFA" w:rsidRDefault="005C173F"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611" w:type="dxa"/>
          </w:tcPr>
          <w:p w14:paraId="0D8CA71D" w14:textId="77777777" w:rsidR="00D26302" w:rsidRPr="00055BFA" w:rsidRDefault="00D26302" w:rsidP="009E19DB">
            <w:pPr>
              <w:spacing w:after="0"/>
              <w:jc w:val="both"/>
              <w:rPr>
                <w:rFonts w:ascii="Arial" w:hAnsi="Arial" w:cs="Arial"/>
                <w:b/>
                <w:sz w:val="24"/>
                <w:szCs w:val="24"/>
                <w:u w:val="single"/>
              </w:rPr>
            </w:pPr>
            <w:r w:rsidRPr="00055BFA">
              <w:rPr>
                <w:rFonts w:ascii="Arial" w:hAnsi="Arial" w:cs="Arial"/>
                <w:b/>
                <w:sz w:val="24"/>
                <w:szCs w:val="24"/>
                <w:u w:val="single"/>
              </w:rPr>
              <w:t>INTRODUCTION &amp; BACKGROUN</w:t>
            </w:r>
            <w:r w:rsidR="009E19DB">
              <w:rPr>
                <w:rFonts w:ascii="Arial" w:hAnsi="Arial" w:cs="Arial"/>
                <w:b/>
                <w:sz w:val="24"/>
                <w:szCs w:val="24"/>
                <w:u w:val="single"/>
              </w:rPr>
              <w:t>D</w:t>
            </w:r>
          </w:p>
          <w:p w14:paraId="67F3CBC4" w14:textId="45A60013" w:rsidR="00D77DD2" w:rsidRPr="00C4371C" w:rsidRDefault="00D77DD2" w:rsidP="00D77DD2">
            <w:pPr>
              <w:spacing w:after="0"/>
              <w:jc w:val="both"/>
              <w:rPr>
                <w:rFonts w:ascii="Arial" w:hAnsi="Arial" w:cs="Arial"/>
                <w:sz w:val="24"/>
                <w:szCs w:val="24"/>
              </w:rPr>
            </w:pPr>
            <w:r w:rsidRPr="00C4371C">
              <w:rPr>
                <w:rFonts w:ascii="Arial" w:hAnsi="Arial" w:cs="Arial"/>
                <w:sz w:val="24"/>
                <w:szCs w:val="24"/>
              </w:rPr>
              <w:t xml:space="preserve">Treasury Management </w:t>
            </w:r>
            <w:r w:rsidR="00C4371C" w:rsidRPr="00C4371C">
              <w:rPr>
                <w:rFonts w:ascii="Arial" w:hAnsi="Arial" w:cs="Arial"/>
                <w:sz w:val="24"/>
                <w:szCs w:val="24"/>
              </w:rPr>
              <w:t>is the management of the organisation’s borrowing, investments and cash flows, including its banking, money market and capital market transactions; the effective control of the risks associated with those activities and the pursuit of optimum performance consistent with those risks</w:t>
            </w:r>
            <w:r w:rsidRPr="00C4371C">
              <w:rPr>
                <w:rFonts w:ascii="Arial" w:hAnsi="Arial" w:cs="Arial"/>
                <w:sz w:val="24"/>
                <w:szCs w:val="24"/>
              </w:rPr>
              <w:t>.  This report fulfils four key annual legislative requirements:</w:t>
            </w:r>
          </w:p>
          <w:p w14:paraId="0EDCFBF1" w14:textId="77777777" w:rsidR="00D77DD2" w:rsidRDefault="00C2086A" w:rsidP="006E749D">
            <w:pPr>
              <w:numPr>
                <w:ilvl w:val="0"/>
                <w:numId w:val="5"/>
              </w:numPr>
              <w:spacing w:after="0"/>
              <w:ind w:left="743" w:hanging="567"/>
              <w:jc w:val="both"/>
              <w:rPr>
                <w:rFonts w:ascii="Arial" w:hAnsi="Arial" w:cs="Arial"/>
                <w:sz w:val="24"/>
                <w:szCs w:val="24"/>
              </w:rPr>
            </w:pPr>
            <w:r>
              <w:rPr>
                <w:rFonts w:ascii="Arial" w:hAnsi="Arial" w:cs="Arial"/>
                <w:sz w:val="24"/>
                <w:szCs w:val="24"/>
              </w:rPr>
              <w:t>T</w:t>
            </w:r>
            <w:r w:rsidR="00B54420">
              <w:rPr>
                <w:rFonts w:ascii="Arial" w:hAnsi="Arial" w:cs="Arial"/>
                <w:sz w:val="24"/>
                <w:szCs w:val="24"/>
              </w:rPr>
              <w:t xml:space="preserve">he setting </w:t>
            </w:r>
            <w:r w:rsidR="00D77DD2">
              <w:rPr>
                <w:rFonts w:ascii="Arial" w:hAnsi="Arial" w:cs="Arial"/>
                <w:sz w:val="24"/>
                <w:szCs w:val="24"/>
              </w:rPr>
              <w:t>of the Pru</w:t>
            </w:r>
            <w:r w:rsidR="00166E2E">
              <w:rPr>
                <w:rFonts w:ascii="Arial" w:hAnsi="Arial" w:cs="Arial"/>
                <w:sz w:val="24"/>
                <w:szCs w:val="24"/>
              </w:rPr>
              <w:t>dential Indicators relating to Capital E</w:t>
            </w:r>
            <w:r w:rsidR="00D77DD2">
              <w:rPr>
                <w:rFonts w:ascii="Arial" w:hAnsi="Arial" w:cs="Arial"/>
                <w:sz w:val="24"/>
                <w:szCs w:val="24"/>
              </w:rPr>
              <w:t>xpenditure;</w:t>
            </w:r>
          </w:p>
          <w:p w14:paraId="4EBA08F1" w14:textId="77777777" w:rsidR="00D77DD2" w:rsidRDefault="00C2086A" w:rsidP="00C4371C">
            <w:pPr>
              <w:numPr>
                <w:ilvl w:val="0"/>
                <w:numId w:val="5"/>
              </w:numPr>
              <w:spacing w:after="0"/>
              <w:ind w:left="743" w:hanging="567"/>
              <w:jc w:val="both"/>
              <w:rPr>
                <w:rFonts w:ascii="Arial" w:hAnsi="Arial" w:cs="Arial"/>
                <w:sz w:val="24"/>
                <w:szCs w:val="24"/>
              </w:rPr>
            </w:pPr>
            <w:r>
              <w:rPr>
                <w:rFonts w:ascii="Arial" w:hAnsi="Arial" w:cs="Arial"/>
                <w:sz w:val="24"/>
                <w:szCs w:val="24"/>
              </w:rPr>
              <w:t>T</w:t>
            </w:r>
            <w:r w:rsidR="00166E2E">
              <w:rPr>
                <w:rFonts w:ascii="Arial" w:hAnsi="Arial" w:cs="Arial"/>
                <w:sz w:val="24"/>
                <w:szCs w:val="24"/>
              </w:rPr>
              <w:t>he Minimum Revenue Provision P</w:t>
            </w:r>
            <w:r w:rsidR="00D77DD2">
              <w:rPr>
                <w:rFonts w:ascii="Arial" w:hAnsi="Arial" w:cs="Arial"/>
                <w:sz w:val="24"/>
                <w:szCs w:val="24"/>
              </w:rPr>
              <w:t>olicy;</w:t>
            </w:r>
          </w:p>
          <w:p w14:paraId="51F5EED3" w14:textId="77777777" w:rsidR="00D77DD2" w:rsidRDefault="00C2086A" w:rsidP="00C4371C">
            <w:pPr>
              <w:numPr>
                <w:ilvl w:val="0"/>
                <w:numId w:val="5"/>
              </w:numPr>
              <w:spacing w:after="0"/>
              <w:ind w:left="743" w:hanging="567"/>
              <w:jc w:val="both"/>
              <w:rPr>
                <w:rFonts w:ascii="Arial" w:hAnsi="Arial" w:cs="Arial"/>
                <w:sz w:val="24"/>
                <w:szCs w:val="24"/>
              </w:rPr>
            </w:pPr>
            <w:r>
              <w:rPr>
                <w:rFonts w:ascii="Arial" w:hAnsi="Arial" w:cs="Arial"/>
                <w:sz w:val="24"/>
                <w:szCs w:val="24"/>
              </w:rPr>
              <w:t>T</w:t>
            </w:r>
            <w:r w:rsidR="0042632F">
              <w:rPr>
                <w:rFonts w:ascii="Arial" w:hAnsi="Arial" w:cs="Arial"/>
                <w:sz w:val="24"/>
                <w:szCs w:val="24"/>
              </w:rPr>
              <w:t>he Treasury Management Strategy;</w:t>
            </w:r>
            <w:r w:rsidR="00544017">
              <w:rPr>
                <w:rFonts w:ascii="Arial" w:hAnsi="Arial" w:cs="Arial"/>
                <w:sz w:val="24"/>
                <w:szCs w:val="24"/>
              </w:rPr>
              <w:t xml:space="preserve"> and</w:t>
            </w:r>
          </w:p>
          <w:p w14:paraId="62D7F65B" w14:textId="77777777" w:rsidR="0042632F" w:rsidRDefault="00C2086A" w:rsidP="00C4371C">
            <w:pPr>
              <w:numPr>
                <w:ilvl w:val="0"/>
                <w:numId w:val="5"/>
              </w:numPr>
              <w:spacing w:after="0"/>
              <w:ind w:left="743" w:hanging="567"/>
              <w:jc w:val="both"/>
              <w:rPr>
                <w:rFonts w:ascii="Arial" w:hAnsi="Arial" w:cs="Arial"/>
                <w:sz w:val="24"/>
                <w:szCs w:val="24"/>
              </w:rPr>
            </w:pPr>
            <w:r>
              <w:rPr>
                <w:rFonts w:ascii="Arial" w:hAnsi="Arial" w:cs="Arial"/>
                <w:sz w:val="24"/>
                <w:szCs w:val="24"/>
              </w:rPr>
              <w:t>T</w:t>
            </w:r>
            <w:r w:rsidR="0042632F">
              <w:rPr>
                <w:rFonts w:ascii="Arial" w:hAnsi="Arial" w:cs="Arial"/>
                <w:sz w:val="24"/>
                <w:szCs w:val="24"/>
              </w:rPr>
              <w:t>he Investment Strategy in accordance with the Welsh Government’s Guidance on Local Government Investments</w:t>
            </w:r>
            <w:r w:rsidR="00544017">
              <w:rPr>
                <w:rFonts w:ascii="Arial" w:hAnsi="Arial" w:cs="Arial"/>
                <w:sz w:val="24"/>
                <w:szCs w:val="24"/>
              </w:rPr>
              <w:t>.</w:t>
            </w:r>
          </w:p>
          <w:p w14:paraId="31EB8CFC" w14:textId="77777777" w:rsidR="009C7CEE" w:rsidRDefault="009C7CEE" w:rsidP="009C7CEE">
            <w:pPr>
              <w:spacing w:after="0"/>
              <w:ind w:left="743"/>
              <w:jc w:val="both"/>
              <w:rPr>
                <w:rFonts w:ascii="Arial" w:hAnsi="Arial" w:cs="Arial"/>
                <w:sz w:val="24"/>
                <w:szCs w:val="24"/>
              </w:rPr>
            </w:pPr>
          </w:p>
          <w:p w14:paraId="1212FBDF" w14:textId="77777777" w:rsidR="00D26302" w:rsidRDefault="002D21A7" w:rsidP="00166E2E">
            <w:pPr>
              <w:spacing w:after="0"/>
              <w:jc w:val="both"/>
              <w:rPr>
                <w:rFonts w:ascii="Arial" w:hAnsi="Arial" w:cs="Arial"/>
                <w:sz w:val="24"/>
                <w:szCs w:val="24"/>
              </w:rPr>
            </w:pPr>
            <w:r>
              <w:rPr>
                <w:rFonts w:ascii="Arial" w:hAnsi="Arial" w:cs="Arial"/>
                <w:sz w:val="24"/>
                <w:szCs w:val="24"/>
              </w:rPr>
              <w:t>The report also seeks approval for twelve</w:t>
            </w:r>
            <w:r w:rsidR="00166E2E">
              <w:rPr>
                <w:rFonts w:ascii="Arial" w:hAnsi="Arial" w:cs="Arial"/>
                <w:sz w:val="24"/>
                <w:szCs w:val="24"/>
              </w:rPr>
              <w:t xml:space="preserve"> Treasury Management Practices.</w:t>
            </w:r>
          </w:p>
          <w:p w14:paraId="7D554252" w14:textId="77777777" w:rsidR="007601E1" w:rsidRPr="009538EA" w:rsidRDefault="007601E1" w:rsidP="00166E2E">
            <w:pPr>
              <w:spacing w:after="0"/>
              <w:jc w:val="both"/>
              <w:rPr>
                <w:rFonts w:ascii="Arial" w:hAnsi="Arial" w:cs="Arial"/>
                <w:sz w:val="24"/>
                <w:szCs w:val="24"/>
              </w:rPr>
            </w:pPr>
          </w:p>
        </w:tc>
      </w:tr>
      <w:tr w:rsidR="00D26302" w:rsidRPr="00055BFA" w14:paraId="799B29F4" w14:textId="77777777" w:rsidTr="00055BFA">
        <w:tc>
          <w:tcPr>
            <w:tcW w:w="675" w:type="dxa"/>
          </w:tcPr>
          <w:p w14:paraId="4A4B0B62" w14:textId="77777777" w:rsidR="00D26302" w:rsidRPr="00055BFA" w:rsidRDefault="005C173F" w:rsidP="00055BFA">
            <w:pPr>
              <w:spacing w:after="0"/>
              <w:rPr>
                <w:rFonts w:ascii="Arial" w:hAnsi="Arial" w:cs="Arial"/>
                <w:b/>
                <w:sz w:val="24"/>
                <w:szCs w:val="24"/>
              </w:rPr>
            </w:pPr>
            <w:r>
              <w:rPr>
                <w:rFonts w:ascii="Arial" w:hAnsi="Arial" w:cs="Arial"/>
                <w:b/>
                <w:sz w:val="24"/>
                <w:szCs w:val="24"/>
              </w:rPr>
              <w:t>3</w:t>
            </w:r>
            <w:r w:rsidR="00D26302" w:rsidRPr="00055BFA">
              <w:rPr>
                <w:rFonts w:ascii="Arial" w:hAnsi="Arial" w:cs="Arial"/>
                <w:b/>
                <w:sz w:val="24"/>
                <w:szCs w:val="24"/>
              </w:rPr>
              <w:t>.</w:t>
            </w:r>
          </w:p>
        </w:tc>
        <w:tc>
          <w:tcPr>
            <w:tcW w:w="8611" w:type="dxa"/>
          </w:tcPr>
          <w:p w14:paraId="3C0098B3" w14:textId="77777777" w:rsidR="00D26302" w:rsidRPr="00055BFA" w:rsidRDefault="00D26302" w:rsidP="009E19DB">
            <w:pPr>
              <w:spacing w:after="0"/>
              <w:jc w:val="both"/>
              <w:rPr>
                <w:rFonts w:ascii="Arial" w:hAnsi="Arial" w:cs="Arial"/>
                <w:b/>
                <w:sz w:val="24"/>
                <w:szCs w:val="24"/>
                <w:u w:val="single"/>
              </w:rPr>
            </w:pPr>
            <w:r w:rsidRPr="00055BFA">
              <w:rPr>
                <w:rFonts w:ascii="Arial" w:hAnsi="Arial" w:cs="Arial"/>
                <w:b/>
                <w:sz w:val="24"/>
                <w:szCs w:val="24"/>
                <w:u w:val="single"/>
              </w:rPr>
              <w:t>ISSUES FOR CONSIDERATION</w:t>
            </w:r>
          </w:p>
          <w:p w14:paraId="7DEEECA8" w14:textId="7F532FED" w:rsidR="00822B6A" w:rsidRDefault="003F2861" w:rsidP="007601E1">
            <w:pPr>
              <w:spacing w:after="0"/>
              <w:jc w:val="both"/>
              <w:rPr>
                <w:rFonts w:ascii="Arial" w:hAnsi="Arial" w:cs="Arial"/>
                <w:sz w:val="24"/>
                <w:szCs w:val="24"/>
              </w:rPr>
            </w:pPr>
            <w:r>
              <w:rPr>
                <w:rFonts w:ascii="Arial" w:hAnsi="Arial" w:cs="Arial"/>
                <w:sz w:val="24"/>
                <w:szCs w:val="24"/>
              </w:rPr>
              <w:t xml:space="preserve">The Commissioner is required to adopt </w:t>
            </w:r>
            <w:r w:rsidR="00CC4274">
              <w:rPr>
                <w:rFonts w:ascii="Arial" w:hAnsi="Arial" w:cs="Arial"/>
                <w:sz w:val="24"/>
                <w:szCs w:val="24"/>
              </w:rPr>
              <w:t xml:space="preserve">and comply with </w:t>
            </w:r>
            <w:r>
              <w:rPr>
                <w:rFonts w:ascii="Arial" w:hAnsi="Arial" w:cs="Arial"/>
                <w:sz w:val="24"/>
                <w:szCs w:val="24"/>
              </w:rPr>
              <w:t>the C</w:t>
            </w:r>
            <w:r w:rsidR="003C1827">
              <w:rPr>
                <w:rFonts w:ascii="Arial" w:hAnsi="Arial" w:cs="Arial"/>
                <w:sz w:val="24"/>
                <w:szCs w:val="24"/>
              </w:rPr>
              <w:t xml:space="preserve">hartered </w:t>
            </w:r>
            <w:r>
              <w:rPr>
                <w:rFonts w:ascii="Arial" w:hAnsi="Arial" w:cs="Arial"/>
                <w:sz w:val="24"/>
                <w:szCs w:val="24"/>
              </w:rPr>
              <w:t>I</w:t>
            </w:r>
            <w:r w:rsidR="003C1827">
              <w:rPr>
                <w:rFonts w:ascii="Arial" w:hAnsi="Arial" w:cs="Arial"/>
                <w:sz w:val="24"/>
                <w:szCs w:val="24"/>
              </w:rPr>
              <w:t xml:space="preserve">nstitute of </w:t>
            </w:r>
            <w:r>
              <w:rPr>
                <w:rFonts w:ascii="Arial" w:hAnsi="Arial" w:cs="Arial"/>
                <w:sz w:val="24"/>
                <w:szCs w:val="24"/>
              </w:rPr>
              <w:t>P</w:t>
            </w:r>
            <w:r w:rsidR="003C1827">
              <w:rPr>
                <w:rFonts w:ascii="Arial" w:hAnsi="Arial" w:cs="Arial"/>
                <w:sz w:val="24"/>
                <w:szCs w:val="24"/>
              </w:rPr>
              <w:t xml:space="preserve">ublic </w:t>
            </w:r>
            <w:r>
              <w:rPr>
                <w:rFonts w:ascii="Arial" w:hAnsi="Arial" w:cs="Arial"/>
                <w:sz w:val="24"/>
                <w:szCs w:val="24"/>
              </w:rPr>
              <w:t>F</w:t>
            </w:r>
            <w:r w:rsidR="003C1827">
              <w:rPr>
                <w:rFonts w:ascii="Arial" w:hAnsi="Arial" w:cs="Arial"/>
                <w:sz w:val="24"/>
                <w:szCs w:val="24"/>
              </w:rPr>
              <w:t xml:space="preserve">inance and </w:t>
            </w:r>
            <w:r>
              <w:rPr>
                <w:rFonts w:ascii="Arial" w:hAnsi="Arial" w:cs="Arial"/>
                <w:sz w:val="24"/>
                <w:szCs w:val="24"/>
              </w:rPr>
              <w:t>A</w:t>
            </w:r>
            <w:r w:rsidR="003C1827">
              <w:rPr>
                <w:rFonts w:ascii="Arial" w:hAnsi="Arial" w:cs="Arial"/>
                <w:sz w:val="24"/>
                <w:szCs w:val="24"/>
              </w:rPr>
              <w:t>ccountancy (CIPFA)</w:t>
            </w:r>
            <w:r>
              <w:rPr>
                <w:rFonts w:ascii="Arial" w:hAnsi="Arial" w:cs="Arial"/>
                <w:sz w:val="24"/>
                <w:szCs w:val="24"/>
              </w:rPr>
              <w:t xml:space="preserve"> Prudential Code </w:t>
            </w:r>
            <w:r w:rsidR="00EF17DE">
              <w:rPr>
                <w:rFonts w:ascii="Arial" w:hAnsi="Arial" w:cs="Arial"/>
                <w:sz w:val="24"/>
                <w:szCs w:val="24"/>
              </w:rPr>
              <w:t>for Capital Finance in Local Authorities</w:t>
            </w:r>
            <w:r w:rsidR="00166E2E">
              <w:rPr>
                <w:rFonts w:ascii="Arial" w:hAnsi="Arial" w:cs="Arial"/>
                <w:sz w:val="24"/>
                <w:szCs w:val="24"/>
              </w:rPr>
              <w:t xml:space="preserve"> (201</w:t>
            </w:r>
            <w:r w:rsidR="007C440C">
              <w:rPr>
                <w:rFonts w:ascii="Arial" w:hAnsi="Arial" w:cs="Arial"/>
                <w:sz w:val="24"/>
                <w:szCs w:val="24"/>
              </w:rPr>
              <w:t>1</w:t>
            </w:r>
            <w:r w:rsidR="002C37A9">
              <w:rPr>
                <w:rFonts w:ascii="Arial" w:hAnsi="Arial" w:cs="Arial"/>
                <w:sz w:val="24"/>
                <w:szCs w:val="24"/>
              </w:rPr>
              <w:t xml:space="preserve"> </w:t>
            </w:r>
            <w:r w:rsidR="007601E1">
              <w:rPr>
                <w:rFonts w:ascii="Arial" w:hAnsi="Arial" w:cs="Arial"/>
                <w:sz w:val="24"/>
                <w:szCs w:val="24"/>
              </w:rPr>
              <w:t>(as revised))</w:t>
            </w:r>
            <w:r w:rsidR="00EF17DE">
              <w:rPr>
                <w:rFonts w:ascii="Arial" w:hAnsi="Arial" w:cs="Arial"/>
                <w:sz w:val="24"/>
                <w:szCs w:val="24"/>
              </w:rPr>
              <w:t xml:space="preserve"> </w:t>
            </w:r>
            <w:r>
              <w:rPr>
                <w:rFonts w:ascii="Arial" w:hAnsi="Arial" w:cs="Arial"/>
                <w:sz w:val="24"/>
                <w:szCs w:val="24"/>
              </w:rPr>
              <w:t>and the CIPFA Code of Practice on Treasury Management</w:t>
            </w:r>
            <w:r w:rsidR="00166E2E">
              <w:rPr>
                <w:rFonts w:ascii="Arial" w:hAnsi="Arial" w:cs="Arial"/>
                <w:sz w:val="24"/>
                <w:szCs w:val="24"/>
              </w:rPr>
              <w:t xml:space="preserve"> (2011</w:t>
            </w:r>
            <w:r w:rsidR="007601E1">
              <w:rPr>
                <w:rFonts w:ascii="Arial" w:hAnsi="Arial" w:cs="Arial"/>
                <w:sz w:val="24"/>
                <w:szCs w:val="24"/>
              </w:rPr>
              <w:t xml:space="preserve"> (as revised)</w:t>
            </w:r>
            <w:r w:rsidR="00166E2E">
              <w:rPr>
                <w:rFonts w:ascii="Arial" w:hAnsi="Arial" w:cs="Arial"/>
                <w:sz w:val="24"/>
                <w:szCs w:val="24"/>
              </w:rPr>
              <w:t>)</w:t>
            </w:r>
            <w:r>
              <w:rPr>
                <w:rFonts w:ascii="Arial" w:hAnsi="Arial" w:cs="Arial"/>
                <w:sz w:val="24"/>
                <w:szCs w:val="24"/>
              </w:rPr>
              <w:t xml:space="preserve">.  </w:t>
            </w:r>
            <w:r w:rsidR="006F3449">
              <w:rPr>
                <w:rFonts w:ascii="Arial" w:hAnsi="Arial" w:cs="Arial"/>
                <w:sz w:val="24"/>
                <w:szCs w:val="24"/>
              </w:rPr>
              <w:t>The T</w:t>
            </w:r>
            <w:r w:rsidR="00166E2E">
              <w:rPr>
                <w:rFonts w:ascii="Arial" w:hAnsi="Arial" w:cs="Arial"/>
                <w:sz w:val="24"/>
                <w:szCs w:val="24"/>
              </w:rPr>
              <w:t>reasury Management S</w:t>
            </w:r>
            <w:r w:rsidR="00695C55">
              <w:rPr>
                <w:rFonts w:ascii="Arial" w:hAnsi="Arial" w:cs="Arial"/>
                <w:sz w:val="24"/>
                <w:szCs w:val="24"/>
              </w:rPr>
              <w:t>trategy 202</w:t>
            </w:r>
            <w:r w:rsidR="00CE515C">
              <w:rPr>
                <w:rFonts w:ascii="Arial" w:hAnsi="Arial" w:cs="Arial"/>
                <w:sz w:val="24"/>
                <w:szCs w:val="24"/>
              </w:rPr>
              <w:t>6</w:t>
            </w:r>
            <w:r w:rsidR="00F00EB3">
              <w:rPr>
                <w:rFonts w:ascii="Arial" w:hAnsi="Arial" w:cs="Arial"/>
                <w:sz w:val="24"/>
                <w:szCs w:val="24"/>
              </w:rPr>
              <w:t>/</w:t>
            </w:r>
            <w:r w:rsidR="007601E1">
              <w:rPr>
                <w:rFonts w:ascii="Arial" w:hAnsi="Arial" w:cs="Arial"/>
                <w:sz w:val="24"/>
                <w:szCs w:val="24"/>
              </w:rPr>
              <w:t>2</w:t>
            </w:r>
            <w:r w:rsidR="00CE515C">
              <w:rPr>
                <w:rFonts w:ascii="Arial" w:hAnsi="Arial" w:cs="Arial"/>
                <w:sz w:val="24"/>
                <w:szCs w:val="24"/>
              </w:rPr>
              <w:t>7</w:t>
            </w:r>
            <w:r w:rsidR="00F00EB3">
              <w:rPr>
                <w:rFonts w:ascii="Arial" w:hAnsi="Arial" w:cs="Arial"/>
                <w:sz w:val="24"/>
                <w:szCs w:val="24"/>
              </w:rPr>
              <w:t xml:space="preserve"> </w:t>
            </w:r>
            <w:r w:rsidR="00494F76">
              <w:rPr>
                <w:rFonts w:ascii="Arial" w:hAnsi="Arial" w:cs="Arial"/>
                <w:sz w:val="24"/>
                <w:szCs w:val="24"/>
              </w:rPr>
              <w:t xml:space="preserve">to </w:t>
            </w:r>
            <w:r w:rsidR="00776EFC">
              <w:rPr>
                <w:rFonts w:ascii="Arial" w:hAnsi="Arial" w:cs="Arial"/>
                <w:sz w:val="24"/>
                <w:szCs w:val="24"/>
              </w:rPr>
              <w:t>202</w:t>
            </w:r>
            <w:r w:rsidR="00CE515C">
              <w:rPr>
                <w:rFonts w:ascii="Arial" w:hAnsi="Arial" w:cs="Arial"/>
                <w:sz w:val="24"/>
                <w:szCs w:val="24"/>
              </w:rPr>
              <w:t>8</w:t>
            </w:r>
            <w:r w:rsidR="00776EFC">
              <w:rPr>
                <w:rFonts w:ascii="Arial" w:hAnsi="Arial" w:cs="Arial"/>
                <w:sz w:val="24"/>
                <w:szCs w:val="24"/>
              </w:rPr>
              <w:t>/2</w:t>
            </w:r>
            <w:r w:rsidR="00CE515C">
              <w:rPr>
                <w:rFonts w:ascii="Arial" w:hAnsi="Arial" w:cs="Arial"/>
                <w:sz w:val="24"/>
                <w:szCs w:val="24"/>
              </w:rPr>
              <w:t>9</w:t>
            </w:r>
            <w:r w:rsidR="006F3449">
              <w:rPr>
                <w:rFonts w:ascii="Arial" w:hAnsi="Arial" w:cs="Arial"/>
                <w:sz w:val="24"/>
                <w:szCs w:val="24"/>
              </w:rPr>
              <w:t xml:space="preserve"> (Appendix </w:t>
            </w:r>
            <w:r w:rsidR="00802487">
              <w:rPr>
                <w:rFonts w:ascii="Arial" w:hAnsi="Arial" w:cs="Arial"/>
                <w:sz w:val="24"/>
                <w:szCs w:val="24"/>
              </w:rPr>
              <w:t>A</w:t>
            </w:r>
            <w:r w:rsidR="006F3449">
              <w:rPr>
                <w:rFonts w:ascii="Arial" w:hAnsi="Arial" w:cs="Arial"/>
                <w:sz w:val="24"/>
                <w:szCs w:val="24"/>
              </w:rPr>
              <w:t>) and the Treasury Management Practices (</w:t>
            </w:r>
            <w:r w:rsidR="00802487">
              <w:rPr>
                <w:rFonts w:ascii="Arial" w:hAnsi="Arial" w:cs="Arial"/>
                <w:sz w:val="24"/>
                <w:szCs w:val="24"/>
              </w:rPr>
              <w:t>A</w:t>
            </w:r>
            <w:r w:rsidR="006F3449">
              <w:rPr>
                <w:rFonts w:ascii="Arial" w:hAnsi="Arial" w:cs="Arial"/>
                <w:sz w:val="24"/>
                <w:szCs w:val="24"/>
              </w:rPr>
              <w:t>ppendix B) are submitted for approval in compliance with the Codes.</w:t>
            </w:r>
          </w:p>
          <w:p w14:paraId="51F9DCDF" w14:textId="77777777" w:rsidR="007601E1" w:rsidRPr="009E7591" w:rsidRDefault="007601E1" w:rsidP="007601E1">
            <w:pPr>
              <w:spacing w:after="0"/>
              <w:jc w:val="both"/>
              <w:rPr>
                <w:rFonts w:ascii="Arial" w:hAnsi="Arial" w:cs="Arial"/>
                <w:sz w:val="24"/>
                <w:szCs w:val="24"/>
              </w:rPr>
            </w:pPr>
          </w:p>
        </w:tc>
      </w:tr>
      <w:tr w:rsidR="00B913D2" w:rsidRPr="00055BFA" w14:paraId="79F29B93" w14:textId="77777777" w:rsidTr="00055BFA">
        <w:tc>
          <w:tcPr>
            <w:tcW w:w="675" w:type="dxa"/>
          </w:tcPr>
          <w:p w14:paraId="50A578C4" w14:textId="77777777" w:rsidR="00B913D2" w:rsidRPr="00055BFA" w:rsidRDefault="005C173F" w:rsidP="00055BFA">
            <w:pPr>
              <w:spacing w:after="0"/>
              <w:rPr>
                <w:rFonts w:ascii="Arial" w:hAnsi="Arial" w:cs="Arial"/>
                <w:b/>
                <w:sz w:val="24"/>
                <w:szCs w:val="24"/>
              </w:rPr>
            </w:pPr>
            <w:r>
              <w:rPr>
                <w:rFonts w:ascii="Arial" w:hAnsi="Arial" w:cs="Arial"/>
                <w:b/>
                <w:sz w:val="24"/>
                <w:szCs w:val="24"/>
              </w:rPr>
              <w:t>4</w:t>
            </w:r>
            <w:r w:rsidR="00B913D2">
              <w:rPr>
                <w:rFonts w:ascii="Arial" w:hAnsi="Arial" w:cs="Arial"/>
                <w:b/>
                <w:sz w:val="24"/>
                <w:szCs w:val="24"/>
              </w:rPr>
              <w:t>.</w:t>
            </w:r>
          </w:p>
        </w:tc>
        <w:tc>
          <w:tcPr>
            <w:tcW w:w="8611" w:type="dxa"/>
          </w:tcPr>
          <w:p w14:paraId="7716CC3E" w14:textId="77777777" w:rsidR="00B913D2" w:rsidRDefault="00B913D2" w:rsidP="009E19DB">
            <w:pPr>
              <w:spacing w:after="0"/>
              <w:jc w:val="both"/>
              <w:rPr>
                <w:rFonts w:ascii="Arial" w:hAnsi="Arial" w:cs="Arial"/>
                <w:b/>
                <w:sz w:val="24"/>
                <w:szCs w:val="24"/>
                <w:u w:val="single"/>
              </w:rPr>
            </w:pPr>
            <w:r>
              <w:rPr>
                <w:rFonts w:ascii="Arial" w:hAnsi="Arial" w:cs="Arial"/>
                <w:b/>
                <w:sz w:val="24"/>
                <w:szCs w:val="24"/>
                <w:u w:val="single"/>
              </w:rPr>
              <w:t>NEXT STEPS</w:t>
            </w:r>
          </w:p>
          <w:p w14:paraId="40A66CF2" w14:textId="37173AAE" w:rsidR="00B913D2" w:rsidRDefault="00166E2E" w:rsidP="007601E1">
            <w:pPr>
              <w:spacing w:after="0"/>
              <w:jc w:val="both"/>
              <w:rPr>
                <w:rFonts w:ascii="Arial" w:hAnsi="Arial" w:cs="Arial"/>
                <w:sz w:val="24"/>
                <w:szCs w:val="24"/>
              </w:rPr>
            </w:pPr>
            <w:r>
              <w:rPr>
                <w:rFonts w:ascii="Arial" w:hAnsi="Arial" w:cs="Arial"/>
                <w:sz w:val="24"/>
                <w:szCs w:val="24"/>
              </w:rPr>
              <w:lastRenderedPageBreak/>
              <w:t>The Capital Prudential I</w:t>
            </w:r>
            <w:r w:rsidR="00AE6646">
              <w:rPr>
                <w:rFonts w:ascii="Arial" w:hAnsi="Arial" w:cs="Arial"/>
                <w:sz w:val="24"/>
                <w:szCs w:val="24"/>
              </w:rPr>
              <w:t xml:space="preserve">ndicators demonstrate </w:t>
            </w:r>
            <w:r>
              <w:rPr>
                <w:rFonts w:ascii="Arial" w:hAnsi="Arial" w:cs="Arial"/>
                <w:sz w:val="24"/>
                <w:szCs w:val="24"/>
              </w:rPr>
              <w:t>that the Capital P</w:t>
            </w:r>
            <w:r w:rsidR="0092141A">
              <w:rPr>
                <w:rFonts w:ascii="Arial" w:hAnsi="Arial" w:cs="Arial"/>
                <w:sz w:val="24"/>
                <w:szCs w:val="24"/>
              </w:rPr>
              <w:t xml:space="preserve">rogramme is affordable, prudent and sustainable and it is essential that the Commissioner is satisfied of this situation </w:t>
            </w:r>
            <w:r w:rsidR="00CE515C">
              <w:rPr>
                <w:rFonts w:ascii="Arial" w:hAnsi="Arial" w:cs="Arial"/>
                <w:sz w:val="24"/>
                <w:szCs w:val="24"/>
              </w:rPr>
              <w:t>as part of</w:t>
            </w:r>
            <w:r w:rsidR="0092141A">
              <w:rPr>
                <w:rFonts w:ascii="Arial" w:hAnsi="Arial" w:cs="Arial"/>
                <w:sz w:val="24"/>
                <w:szCs w:val="24"/>
              </w:rPr>
              <w:t xml:space="preserve"> formally setting the</w:t>
            </w:r>
            <w:r>
              <w:rPr>
                <w:rFonts w:ascii="Arial" w:hAnsi="Arial" w:cs="Arial"/>
                <w:sz w:val="24"/>
                <w:szCs w:val="24"/>
              </w:rPr>
              <w:t xml:space="preserve"> Budget and Council T</w:t>
            </w:r>
            <w:r w:rsidR="00F00EB3">
              <w:rPr>
                <w:rFonts w:ascii="Arial" w:hAnsi="Arial" w:cs="Arial"/>
                <w:sz w:val="24"/>
                <w:szCs w:val="24"/>
              </w:rPr>
              <w:t xml:space="preserve">ax </w:t>
            </w:r>
            <w:r>
              <w:rPr>
                <w:rFonts w:ascii="Arial" w:hAnsi="Arial" w:cs="Arial"/>
                <w:sz w:val="24"/>
                <w:szCs w:val="24"/>
              </w:rPr>
              <w:t>P</w:t>
            </w:r>
            <w:r w:rsidR="00EB5806">
              <w:rPr>
                <w:rFonts w:ascii="Arial" w:hAnsi="Arial" w:cs="Arial"/>
                <w:sz w:val="24"/>
                <w:szCs w:val="24"/>
              </w:rPr>
              <w:t xml:space="preserve">recept </w:t>
            </w:r>
            <w:r w:rsidR="00F00EB3">
              <w:rPr>
                <w:rFonts w:ascii="Arial" w:hAnsi="Arial" w:cs="Arial"/>
                <w:sz w:val="24"/>
                <w:szCs w:val="24"/>
              </w:rPr>
              <w:t>for 20</w:t>
            </w:r>
            <w:r w:rsidR="00695C55">
              <w:rPr>
                <w:rFonts w:ascii="Arial" w:hAnsi="Arial" w:cs="Arial"/>
                <w:sz w:val="24"/>
                <w:szCs w:val="24"/>
              </w:rPr>
              <w:t>2</w:t>
            </w:r>
            <w:r w:rsidR="00CE515C">
              <w:rPr>
                <w:rFonts w:ascii="Arial" w:hAnsi="Arial" w:cs="Arial"/>
                <w:sz w:val="24"/>
                <w:szCs w:val="24"/>
              </w:rPr>
              <w:t>6</w:t>
            </w:r>
            <w:r w:rsidR="00641019">
              <w:rPr>
                <w:rFonts w:ascii="Arial" w:hAnsi="Arial" w:cs="Arial"/>
                <w:sz w:val="24"/>
                <w:szCs w:val="24"/>
              </w:rPr>
              <w:t>/</w:t>
            </w:r>
            <w:r w:rsidR="007601E1">
              <w:rPr>
                <w:rFonts w:ascii="Arial" w:hAnsi="Arial" w:cs="Arial"/>
                <w:sz w:val="24"/>
                <w:szCs w:val="24"/>
              </w:rPr>
              <w:t>2</w:t>
            </w:r>
            <w:r w:rsidR="00CE515C">
              <w:rPr>
                <w:rFonts w:ascii="Arial" w:hAnsi="Arial" w:cs="Arial"/>
                <w:sz w:val="24"/>
                <w:szCs w:val="24"/>
              </w:rPr>
              <w:t>7</w:t>
            </w:r>
            <w:r w:rsidR="0092141A">
              <w:rPr>
                <w:rFonts w:ascii="Arial" w:hAnsi="Arial" w:cs="Arial"/>
                <w:sz w:val="24"/>
                <w:szCs w:val="24"/>
              </w:rPr>
              <w:t>.</w:t>
            </w:r>
          </w:p>
          <w:p w14:paraId="4BAE54A8" w14:textId="77777777" w:rsidR="007601E1" w:rsidRPr="002673DC" w:rsidRDefault="007601E1" w:rsidP="007601E1">
            <w:pPr>
              <w:spacing w:after="0"/>
              <w:jc w:val="both"/>
              <w:rPr>
                <w:rFonts w:ascii="Arial" w:hAnsi="Arial" w:cs="Arial"/>
                <w:sz w:val="24"/>
                <w:szCs w:val="24"/>
              </w:rPr>
            </w:pPr>
          </w:p>
        </w:tc>
      </w:tr>
      <w:tr w:rsidR="00D26302" w:rsidRPr="00055BFA" w14:paraId="661B4BAE" w14:textId="77777777" w:rsidTr="00055BFA">
        <w:tc>
          <w:tcPr>
            <w:tcW w:w="675" w:type="dxa"/>
          </w:tcPr>
          <w:p w14:paraId="6B4761D7" w14:textId="77777777" w:rsidR="00D26302" w:rsidRPr="00055BFA" w:rsidRDefault="005C173F" w:rsidP="00055BFA">
            <w:pPr>
              <w:spacing w:after="0"/>
              <w:rPr>
                <w:rFonts w:ascii="Arial" w:hAnsi="Arial" w:cs="Arial"/>
                <w:b/>
                <w:sz w:val="24"/>
                <w:szCs w:val="24"/>
              </w:rPr>
            </w:pPr>
            <w:r>
              <w:rPr>
                <w:rFonts w:ascii="Arial" w:hAnsi="Arial" w:cs="Arial"/>
                <w:b/>
                <w:sz w:val="24"/>
                <w:szCs w:val="24"/>
              </w:rPr>
              <w:lastRenderedPageBreak/>
              <w:t>5</w:t>
            </w:r>
            <w:r w:rsidR="00F8795E">
              <w:rPr>
                <w:rFonts w:ascii="Arial" w:hAnsi="Arial" w:cs="Arial"/>
                <w:b/>
                <w:sz w:val="24"/>
                <w:szCs w:val="24"/>
              </w:rPr>
              <w:t>.</w:t>
            </w:r>
          </w:p>
        </w:tc>
        <w:tc>
          <w:tcPr>
            <w:tcW w:w="8611" w:type="dxa"/>
          </w:tcPr>
          <w:p w14:paraId="2C8176A8" w14:textId="77777777" w:rsidR="00D26302" w:rsidRDefault="00F8795E" w:rsidP="00055BFA">
            <w:pPr>
              <w:spacing w:after="0"/>
              <w:rPr>
                <w:rFonts w:ascii="Arial" w:hAnsi="Arial" w:cs="Arial"/>
                <w:b/>
                <w:sz w:val="24"/>
                <w:szCs w:val="24"/>
                <w:u w:val="single"/>
              </w:rPr>
            </w:pPr>
            <w:r>
              <w:rPr>
                <w:rFonts w:ascii="Arial" w:hAnsi="Arial" w:cs="Arial"/>
                <w:b/>
                <w:sz w:val="24"/>
                <w:szCs w:val="24"/>
                <w:u w:val="single"/>
              </w:rPr>
              <w:t>FINANCIAL CONSIDERATIONS</w:t>
            </w:r>
          </w:p>
          <w:p w14:paraId="7DB1E71D" w14:textId="2620066F" w:rsidR="007601E1" w:rsidRDefault="0092141A" w:rsidP="00695C55">
            <w:pPr>
              <w:spacing w:after="0"/>
              <w:jc w:val="both"/>
              <w:rPr>
                <w:rFonts w:ascii="Arial" w:hAnsi="Arial" w:cs="Arial"/>
                <w:sz w:val="24"/>
                <w:szCs w:val="24"/>
              </w:rPr>
            </w:pPr>
            <w:r>
              <w:rPr>
                <w:rFonts w:ascii="Arial" w:hAnsi="Arial" w:cs="Arial"/>
                <w:sz w:val="24"/>
                <w:szCs w:val="24"/>
              </w:rPr>
              <w:t xml:space="preserve">This is a financial report required </w:t>
            </w:r>
            <w:r w:rsidR="00CE515C">
              <w:rPr>
                <w:rFonts w:ascii="Arial" w:hAnsi="Arial" w:cs="Arial"/>
                <w:sz w:val="24"/>
                <w:szCs w:val="24"/>
              </w:rPr>
              <w:t xml:space="preserve">as part of </w:t>
            </w:r>
            <w:r>
              <w:rPr>
                <w:rFonts w:ascii="Arial" w:hAnsi="Arial" w:cs="Arial"/>
                <w:sz w:val="24"/>
                <w:szCs w:val="24"/>
              </w:rPr>
              <w:t>setting the</w:t>
            </w:r>
            <w:r w:rsidR="00F00EB3">
              <w:rPr>
                <w:rFonts w:ascii="Arial" w:hAnsi="Arial" w:cs="Arial"/>
                <w:sz w:val="24"/>
                <w:szCs w:val="24"/>
              </w:rPr>
              <w:t xml:space="preserve"> </w:t>
            </w:r>
            <w:r w:rsidR="00CE515C">
              <w:rPr>
                <w:rFonts w:ascii="Arial" w:hAnsi="Arial" w:cs="Arial"/>
                <w:sz w:val="24"/>
                <w:szCs w:val="24"/>
              </w:rPr>
              <w:t>B</w:t>
            </w:r>
            <w:r w:rsidR="00F00EB3">
              <w:rPr>
                <w:rFonts w:ascii="Arial" w:hAnsi="Arial" w:cs="Arial"/>
                <w:sz w:val="24"/>
                <w:szCs w:val="24"/>
              </w:rPr>
              <w:t xml:space="preserve">udget </w:t>
            </w:r>
            <w:r w:rsidR="003D15FF">
              <w:rPr>
                <w:rFonts w:ascii="Arial" w:hAnsi="Arial" w:cs="Arial"/>
                <w:sz w:val="24"/>
                <w:szCs w:val="24"/>
              </w:rPr>
              <w:t xml:space="preserve">Requirement </w:t>
            </w:r>
            <w:r w:rsidR="00F00EB3">
              <w:rPr>
                <w:rFonts w:ascii="Arial" w:hAnsi="Arial" w:cs="Arial"/>
                <w:sz w:val="24"/>
                <w:szCs w:val="24"/>
              </w:rPr>
              <w:t xml:space="preserve">and </w:t>
            </w:r>
            <w:r w:rsidR="00530FDA">
              <w:rPr>
                <w:rFonts w:ascii="Arial" w:hAnsi="Arial" w:cs="Arial"/>
                <w:sz w:val="24"/>
                <w:szCs w:val="24"/>
              </w:rPr>
              <w:t>C</w:t>
            </w:r>
            <w:r w:rsidR="00F00EB3">
              <w:rPr>
                <w:rFonts w:ascii="Arial" w:hAnsi="Arial" w:cs="Arial"/>
                <w:sz w:val="24"/>
                <w:szCs w:val="24"/>
              </w:rPr>
              <w:t xml:space="preserve">ouncil </w:t>
            </w:r>
            <w:r w:rsidR="00530FDA">
              <w:rPr>
                <w:rFonts w:ascii="Arial" w:hAnsi="Arial" w:cs="Arial"/>
                <w:sz w:val="24"/>
                <w:szCs w:val="24"/>
              </w:rPr>
              <w:t>T</w:t>
            </w:r>
            <w:r w:rsidR="00F00EB3">
              <w:rPr>
                <w:rFonts w:ascii="Arial" w:hAnsi="Arial" w:cs="Arial"/>
                <w:sz w:val="24"/>
                <w:szCs w:val="24"/>
              </w:rPr>
              <w:t xml:space="preserve">ax </w:t>
            </w:r>
            <w:r w:rsidR="00530FDA">
              <w:rPr>
                <w:rFonts w:ascii="Arial" w:hAnsi="Arial" w:cs="Arial"/>
                <w:sz w:val="24"/>
                <w:szCs w:val="24"/>
              </w:rPr>
              <w:t>P</w:t>
            </w:r>
            <w:r w:rsidR="00EB5806">
              <w:rPr>
                <w:rFonts w:ascii="Arial" w:hAnsi="Arial" w:cs="Arial"/>
                <w:sz w:val="24"/>
                <w:szCs w:val="24"/>
              </w:rPr>
              <w:t xml:space="preserve">recept </w:t>
            </w:r>
            <w:r w:rsidR="00695C55">
              <w:rPr>
                <w:rFonts w:ascii="Arial" w:hAnsi="Arial" w:cs="Arial"/>
                <w:sz w:val="24"/>
                <w:szCs w:val="24"/>
              </w:rPr>
              <w:t>for 202</w:t>
            </w:r>
            <w:r w:rsidR="00CE515C">
              <w:rPr>
                <w:rFonts w:ascii="Arial" w:hAnsi="Arial" w:cs="Arial"/>
                <w:sz w:val="24"/>
                <w:szCs w:val="24"/>
              </w:rPr>
              <w:t>6</w:t>
            </w:r>
            <w:r w:rsidR="00641019">
              <w:rPr>
                <w:rFonts w:ascii="Arial" w:hAnsi="Arial" w:cs="Arial"/>
                <w:sz w:val="24"/>
                <w:szCs w:val="24"/>
              </w:rPr>
              <w:t>/</w:t>
            </w:r>
            <w:r w:rsidR="00695C55">
              <w:rPr>
                <w:rFonts w:ascii="Arial" w:hAnsi="Arial" w:cs="Arial"/>
                <w:sz w:val="24"/>
                <w:szCs w:val="24"/>
              </w:rPr>
              <w:t>2</w:t>
            </w:r>
            <w:r w:rsidR="00CE515C">
              <w:rPr>
                <w:rFonts w:ascii="Arial" w:hAnsi="Arial" w:cs="Arial"/>
                <w:sz w:val="24"/>
                <w:szCs w:val="24"/>
              </w:rPr>
              <w:t>7</w:t>
            </w:r>
            <w:r>
              <w:rPr>
                <w:rFonts w:ascii="Arial" w:hAnsi="Arial" w:cs="Arial"/>
                <w:sz w:val="24"/>
                <w:szCs w:val="24"/>
              </w:rPr>
              <w:t>.</w:t>
            </w:r>
          </w:p>
          <w:p w14:paraId="2CFC4CCE" w14:textId="77777777" w:rsidR="00E639A7" w:rsidRPr="00F8795E" w:rsidRDefault="00E639A7" w:rsidP="00695C55">
            <w:pPr>
              <w:spacing w:after="0"/>
              <w:jc w:val="both"/>
              <w:rPr>
                <w:rFonts w:ascii="Arial" w:hAnsi="Arial" w:cs="Arial"/>
                <w:sz w:val="24"/>
                <w:szCs w:val="24"/>
              </w:rPr>
            </w:pPr>
          </w:p>
        </w:tc>
      </w:tr>
      <w:tr w:rsidR="00F8795E" w:rsidRPr="00055BFA" w14:paraId="017F0865" w14:textId="77777777" w:rsidTr="00055BFA">
        <w:tc>
          <w:tcPr>
            <w:tcW w:w="675" w:type="dxa"/>
          </w:tcPr>
          <w:p w14:paraId="4033520A" w14:textId="77777777" w:rsidR="00F8795E" w:rsidRDefault="005C173F" w:rsidP="00055BFA">
            <w:pPr>
              <w:spacing w:after="0"/>
              <w:rPr>
                <w:rFonts w:ascii="Arial" w:hAnsi="Arial" w:cs="Arial"/>
                <w:b/>
                <w:sz w:val="24"/>
                <w:szCs w:val="24"/>
              </w:rPr>
            </w:pPr>
            <w:r>
              <w:rPr>
                <w:rFonts w:ascii="Arial" w:hAnsi="Arial" w:cs="Arial"/>
                <w:b/>
                <w:sz w:val="24"/>
                <w:szCs w:val="24"/>
              </w:rPr>
              <w:t>6</w:t>
            </w:r>
            <w:r w:rsidR="00F8795E">
              <w:rPr>
                <w:rFonts w:ascii="Arial" w:hAnsi="Arial" w:cs="Arial"/>
                <w:b/>
                <w:sz w:val="24"/>
                <w:szCs w:val="24"/>
              </w:rPr>
              <w:t>.</w:t>
            </w:r>
          </w:p>
        </w:tc>
        <w:tc>
          <w:tcPr>
            <w:tcW w:w="8611" w:type="dxa"/>
          </w:tcPr>
          <w:p w14:paraId="0BDF1ED4" w14:textId="77777777" w:rsidR="00F8795E" w:rsidRDefault="00F8795E" w:rsidP="00055BFA">
            <w:pPr>
              <w:spacing w:after="0"/>
              <w:rPr>
                <w:rFonts w:ascii="Arial" w:hAnsi="Arial" w:cs="Arial"/>
                <w:b/>
                <w:sz w:val="24"/>
                <w:szCs w:val="24"/>
                <w:u w:val="single"/>
              </w:rPr>
            </w:pPr>
            <w:r>
              <w:rPr>
                <w:rFonts w:ascii="Arial" w:hAnsi="Arial" w:cs="Arial"/>
                <w:b/>
                <w:sz w:val="24"/>
                <w:szCs w:val="24"/>
                <w:u w:val="single"/>
              </w:rPr>
              <w:t>PERSO</w:t>
            </w:r>
            <w:r w:rsidR="00A262EF">
              <w:rPr>
                <w:rFonts w:ascii="Arial" w:hAnsi="Arial" w:cs="Arial"/>
                <w:b/>
                <w:sz w:val="24"/>
                <w:szCs w:val="24"/>
                <w:u w:val="single"/>
              </w:rPr>
              <w:t>N</w:t>
            </w:r>
            <w:r>
              <w:rPr>
                <w:rFonts w:ascii="Arial" w:hAnsi="Arial" w:cs="Arial"/>
                <w:b/>
                <w:sz w:val="24"/>
                <w:szCs w:val="24"/>
                <w:u w:val="single"/>
              </w:rPr>
              <w:t>N</w:t>
            </w:r>
            <w:r w:rsidR="00A262EF">
              <w:rPr>
                <w:rFonts w:ascii="Arial" w:hAnsi="Arial" w:cs="Arial"/>
                <w:b/>
                <w:sz w:val="24"/>
                <w:szCs w:val="24"/>
                <w:u w:val="single"/>
              </w:rPr>
              <w:t>E</w:t>
            </w:r>
            <w:r>
              <w:rPr>
                <w:rFonts w:ascii="Arial" w:hAnsi="Arial" w:cs="Arial"/>
                <w:b/>
                <w:sz w:val="24"/>
                <w:szCs w:val="24"/>
                <w:u w:val="single"/>
              </w:rPr>
              <w:t>L CONSIDERATION</w:t>
            </w:r>
            <w:r w:rsidR="00A262EF">
              <w:rPr>
                <w:rFonts w:ascii="Arial" w:hAnsi="Arial" w:cs="Arial"/>
                <w:b/>
                <w:sz w:val="24"/>
                <w:szCs w:val="24"/>
                <w:u w:val="single"/>
              </w:rPr>
              <w:t>S</w:t>
            </w:r>
          </w:p>
          <w:p w14:paraId="09AE72A7" w14:textId="77777777" w:rsidR="00F8795E" w:rsidRDefault="006258E3" w:rsidP="001265D6">
            <w:pPr>
              <w:spacing w:after="0"/>
              <w:rPr>
                <w:rFonts w:ascii="Arial" w:hAnsi="Arial" w:cs="Arial"/>
                <w:sz w:val="24"/>
                <w:szCs w:val="24"/>
              </w:rPr>
            </w:pPr>
            <w:r>
              <w:rPr>
                <w:rFonts w:ascii="Arial" w:hAnsi="Arial" w:cs="Arial"/>
                <w:sz w:val="24"/>
                <w:szCs w:val="24"/>
              </w:rPr>
              <w:t>The</w:t>
            </w:r>
            <w:r w:rsidR="001265D6">
              <w:rPr>
                <w:rFonts w:ascii="Arial" w:hAnsi="Arial" w:cs="Arial"/>
                <w:sz w:val="24"/>
                <w:szCs w:val="24"/>
              </w:rPr>
              <w:t>re are no additional staff requirements stemming from this report.</w:t>
            </w:r>
            <w:r>
              <w:rPr>
                <w:rFonts w:ascii="Arial" w:hAnsi="Arial" w:cs="Arial"/>
                <w:sz w:val="24"/>
                <w:szCs w:val="24"/>
              </w:rPr>
              <w:t xml:space="preserve"> </w:t>
            </w:r>
          </w:p>
          <w:p w14:paraId="047116A9" w14:textId="77777777" w:rsidR="007601E1" w:rsidRPr="006258E3" w:rsidRDefault="007601E1" w:rsidP="001265D6">
            <w:pPr>
              <w:spacing w:after="0"/>
              <w:rPr>
                <w:rFonts w:ascii="Arial" w:hAnsi="Arial" w:cs="Arial"/>
                <w:sz w:val="24"/>
                <w:szCs w:val="24"/>
              </w:rPr>
            </w:pPr>
          </w:p>
        </w:tc>
      </w:tr>
      <w:tr w:rsidR="00F8795E" w:rsidRPr="00055BFA" w14:paraId="5CA5E5F3" w14:textId="77777777" w:rsidTr="00055BFA">
        <w:tc>
          <w:tcPr>
            <w:tcW w:w="675" w:type="dxa"/>
          </w:tcPr>
          <w:p w14:paraId="0171CA9C" w14:textId="77777777" w:rsidR="00F8795E" w:rsidRDefault="005C173F" w:rsidP="00055BFA">
            <w:pPr>
              <w:spacing w:after="0"/>
              <w:rPr>
                <w:rFonts w:ascii="Arial" w:hAnsi="Arial" w:cs="Arial"/>
                <w:b/>
                <w:sz w:val="24"/>
                <w:szCs w:val="24"/>
              </w:rPr>
            </w:pPr>
            <w:r>
              <w:rPr>
                <w:rFonts w:ascii="Arial" w:hAnsi="Arial" w:cs="Arial"/>
                <w:b/>
                <w:sz w:val="24"/>
                <w:szCs w:val="24"/>
              </w:rPr>
              <w:t>7</w:t>
            </w:r>
            <w:r w:rsidR="00F8795E">
              <w:rPr>
                <w:rFonts w:ascii="Arial" w:hAnsi="Arial" w:cs="Arial"/>
                <w:b/>
                <w:sz w:val="24"/>
                <w:szCs w:val="24"/>
              </w:rPr>
              <w:t>.</w:t>
            </w:r>
          </w:p>
        </w:tc>
        <w:tc>
          <w:tcPr>
            <w:tcW w:w="8611" w:type="dxa"/>
          </w:tcPr>
          <w:p w14:paraId="057673D4" w14:textId="77777777" w:rsidR="00F8795E" w:rsidRDefault="00F8795E" w:rsidP="00055BFA">
            <w:pPr>
              <w:spacing w:after="0"/>
              <w:rPr>
                <w:rFonts w:ascii="Arial" w:hAnsi="Arial" w:cs="Arial"/>
                <w:b/>
                <w:sz w:val="24"/>
                <w:szCs w:val="24"/>
                <w:u w:val="single"/>
              </w:rPr>
            </w:pPr>
            <w:r>
              <w:rPr>
                <w:rFonts w:ascii="Arial" w:hAnsi="Arial" w:cs="Arial"/>
                <w:b/>
                <w:sz w:val="24"/>
                <w:szCs w:val="24"/>
                <w:u w:val="single"/>
              </w:rPr>
              <w:t>LEGAL IMPLICATIONS</w:t>
            </w:r>
          </w:p>
          <w:p w14:paraId="2C4650FC" w14:textId="77777777" w:rsidR="001846E8" w:rsidRDefault="001846E8" w:rsidP="007B6D1D">
            <w:pPr>
              <w:spacing w:after="0"/>
              <w:jc w:val="both"/>
              <w:rPr>
                <w:rFonts w:ascii="Arial" w:hAnsi="Arial" w:cs="Arial"/>
                <w:sz w:val="24"/>
                <w:szCs w:val="24"/>
              </w:rPr>
            </w:pPr>
            <w:r>
              <w:rPr>
                <w:rFonts w:ascii="Arial" w:hAnsi="Arial" w:cs="Arial"/>
                <w:sz w:val="24"/>
                <w:szCs w:val="24"/>
              </w:rPr>
              <w:t>Approval of the Treasury Management Strategy</w:t>
            </w:r>
            <w:r w:rsidR="00E62A75">
              <w:rPr>
                <w:rFonts w:ascii="Arial" w:hAnsi="Arial" w:cs="Arial"/>
                <w:sz w:val="24"/>
                <w:szCs w:val="24"/>
              </w:rPr>
              <w:t xml:space="preserve"> by the Commissioner</w:t>
            </w:r>
            <w:r>
              <w:rPr>
                <w:rFonts w:ascii="Arial" w:hAnsi="Arial" w:cs="Arial"/>
                <w:sz w:val="24"/>
                <w:szCs w:val="24"/>
              </w:rPr>
              <w:t xml:space="preserve"> </w:t>
            </w:r>
            <w:r w:rsidR="00F533BA">
              <w:rPr>
                <w:rFonts w:ascii="Arial" w:hAnsi="Arial" w:cs="Arial"/>
                <w:sz w:val="24"/>
                <w:szCs w:val="24"/>
              </w:rPr>
              <w:t>is a sta</w:t>
            </w:r>
            <w:r>
              <w:rPr>
                <w:rFonts w:ascii="Arial" w:hAnsi="Arial" w:cs="Arial"/>
                <w:sz w:val="24"/>
                <w:szCs w:val="24"/>
              </w:rPr>
              <w:t>tutory responsibility</w:t>
            </w:r>
            <w:r w:rsidR="00F533BA">
              <w:rPr>
                <w:rFonts w:ascii="Arial" w:hAnsi="Arial" w:cs="Arial"/>
                <w:sz w:val="24"/>
                <w:szCs w:val="24"/>
              </w:rPr>
              <w:t>.</w:t>
            </w:r>
          </w:p>
          <w:p w14:paraId="209DB142" w14:textId="77777777" w:rsidR="007601E1" w:rsidRPr="00F533BA" w:rsidRDefault="007601E1" w:rsidP="007B6D1D">
            <w:pPr>
              <w:spacing w:after="0"/>
              <w:jc w:val="both"/>
              <w:rPr>
                <w:rFonts w:ascii="Arial" w:hAnsi="Arial" w:cs="Arial"/>
                <w:sz w:val="24"/>
                <w:szCs w:val="24"/>
              </w:rPr>
            </w:pPr>
          </w:p>
        </w:tc>
      </w:tr>
      <w:tr w:rsidR="00F8795E" w:rsidRPr="00055BFA" w14:paraId="50453962" w14:textId="77777777" w:rsidTr="00055BFA">
        <w:tc>
          <w:tcPr>
            <w:tcW w:w="675" w:type="dxa"/>
          </w:tcPr>
          <w:p w14:paraId="63738539" w14:textId="77777777" w:rsidR="00F8795E" w:rsidRDefault="005C173F" w:rsidP="00055BFA">
            <w:pPr>
              <w:spacing w:after="0"/>
              <w:rPr>
                <w:rFonts w:ascii="Arial" w:hAnsi="Arial" w:cs="Arial"/>
                <w:b/>
                <w:sz w:val="24"/>
                <w:szCs w:val="24"/>
              </w:rPr>
            </w:pPr>
            <w:r>
              <w:rPr>
                <w:rFonts w:ascii="Arial" w:hAnsi="Arial" w:cs="Arial"/>
                <w:b/>
                <w:sz w:val="24"/>
                <w:szCs w:val="24"/>
              </w:rPr>
              <w:t>8</w:t>
            </w:r>
            <w:r w:rsidR="00F8795E">
              <w:rPr>
                <w:rFonts w:ascii="Arial" w:hAnsi="Arial" w:cs="Arial"/>
                <w:b/>
                <w:sz w:val="24"/>
                <w:szCs w:val="24"/>
              </w:rPr>
              <w:t>.</w:t>
            </w:r>
          </w:p>
        </w:tc>
        <w:tc>
          <w:tcPr>
            <w:tcW w:w="8611" w:type="dxa"/>
          </w:tcPr>
          <w:p w14:paraId="61CAD5C3" w14:textId="77777777" w:rsidR="00F8795E" w:rsidRDefault="00BC5418" w:rsidP="00055BFA">
            <w:pPr>
              <w:spacing w:after="0"/>
              <w:rPr>
                <w:rFonts w:ascii="Arial" w:hAnsi="Arial" w:cs="Arial"/>
                <w:b/>
                <w:sz w:val="24"/>
                <w:szCs w:val="24"/>
                <w:u w:val="single"/>
              </w:rPr>
            </w:pPr>
            <w:r>
              <w:rPr>
                <w:rFonts w:ascii="Arial" w:hAnsi="Arial" w:cs="Arial"/>
                <w:b/>
                <w:sz w:val="24"/>
                <w:szCs w:val="24"/>
                <w:u w:val="single"/>
              </w:rPr>
              <w:t xml:space="preserve">EQUALITIES  AND </w:t>
            </w:r>
            <w:r w:rsidR="00F8795E">
              <w:rPr>
                <w:rFonts w:ascii="Arial" w:hAnsi="Arial" w:cs="Arial"/>
                <w:b/>
                <w:sz w:val="24"/>
                <w:szCs w:val="24"/>
                <w:u w:val="single"/>
              </w:rPr>
              <w:t>HUMAN RIGHTS CONSIDERATIONS</w:t>
            </w:r>
          </w:p>
          <w:p w14:paraId="3D7795EC" w14:textId="77777777" w:rsidR="001F41AD" w:rsidRPr="00F533BA" w:rsidRDefault="001F41AD" w:rsidP="007B6D1D">
            <w:pPr>
              <w:spacing w:after="0"/>
              <w:jc w:val="both"/>
              <w:rPr>
                <w:rFonts w:ascii="Arial" w:hAnsi="Arial"/>
                <w:snapToGrid w:val="0"/>
                <w:sz w:val="24"/>
                <w:szCs w:val="24"/>
              </w:rPr>
            </w:pPr>
            <w:r w:rsidRPr="00F533BA">
              <w:rPr>
                <w:rFonts w:ascii="Arial" w:hAnsi="Arial"/>
                <w:snapToGrid w:val="0"/>
                <w:sz w:val="24"/>
                <w:szCs w:val="24"/>
              </w:rPr>
              <w:t xml:space="preserve">This </w:t>
            </w:r>
            <w:r w:rsidR="000E6B84">
              <w:rPr>
                <w:rFonts w:ascii="Arial" w:hAnsi="Arial"/>
                <w:snapToGrid w:val="0"/>
                <w:sz w:val="24"/>
                <w:szCs w:val="24"/>
              </w:rPr>
              <w:t>report</w:t>
            </w:r>
            <w:r w:rsidRPr="00F533BA">
              <w:rPr>
                <w:rFonts w:ascii="Arial" w:hAnsi="Arial"/>
                <w:snapToGrid w:val="0"/>
                <w:sz w:val="24"/>
                <w:szCs w:val="24"/>
              </w:rPr>
              <w:t xml:space="preserve"> has been considered against the general duty to promote equality, as stipulated under the </w:t>
            </w:r>
            <w:r w:rsidR="00950DC7" w:rsidRPr="00F533BA">
              <w:rPr>
                <w:rFonts w:ascii="Arial" w:hAnsi="Arial"/>
                <w:snapToGrid w:val="0"/>
                <w:sz w:val="24"/>
                <w:szCs w:val="24"/>
              </w:rPr>
              <w:t>Strategic Equality Plan</w:t>
            </w:r>
            <w:r w:rsidRPr="00F533BA">
              <w:rPr>
                <w:rFonts w:ascii="Arial" w:hAnsi="Arial"/>
                <w:snapToGrid w:val="0"/>
                <w:sz w:val="24"/>
                <w:szCs w:val="24"/>
              </w:rPr>
              <w:t xml:space="preserve"> and has been assessed not to discriminate against any particular group. </w:t>
            </w:r>
          </w:p>
          <w:p w14:paraId="2FBF50C8" w14:textId="77777777" w:rsidR="00F8795E" w:rsidRPr="00F533BA" w:rsidRDefault="001F41AD" w:rsidP="007B6D1D">
            <w:pPr>
              <w:spacing w:after="0"/>
              <w:jc w:val="both"/>
              <w:rPr>
                <w:rFonts w:ascii="Arial" w:hAnsi="Arial" w:cs="Arial"/>
                <w:b/>
                <w:sz w:val="24"/>
                <w:szCs w:val="24"/>
                <w:u w:val="single"/>
              </w:rPr>
            </w:pPr>
            <w:r w:rsidRPr="00F533BA">
              <w:rPr>
                <w:rFonts w:ascii="Arial" w:hAnsi="Arial"/>
                <w:snapToGrid w:val="0"/>
                <w:sz w:val="24"/>
                <w:szCs w:val="24"/>
              </w:rPr>
              <w:t xml:space="preserve"> </w:t>
            </w:r>
          </w:p>
          <w:p w14:paraId="598ADE86" w14:textId="77777777" w:rsidR="00F8795E" w:rsidRDefault="001F41AD" w:rsidP="007B6D1D">
            <w:pPr>
              <w:spacing w:after="0"/>
              <w:jc w:val="both"/>
              <w:rPr>
                <w:rFonts w:ascii="Arial" w:hAnsi="Arial" w:cs="Arial"/>
                <w:bCs/>
                <w:iCs/>
                <w:sz w:val="24"/>
                <w:szCs w:val="24"/>
              </w:rPr>
            </w:pPr>
            <w:r w:rsidRPr="00F533BA">
              <w:rPr>
                <w:rFonts w:ascii="Arial" w:hAnsi="Arial" w:cs="Arial"/>
                <w:bCs/>
                <w:iCs/>
                <w:sz w:val="24"/>
                <w:szCs w:val="24"/>
              </w:rPr>
              <w:t>Consideration has been given to requirements of the Articles contained in the European Convention on Human Rights and the Human Rights Act 1998 in preparing this report.</w:t>
            </w:r>
          </w:p>
          <w:p w14:paraId="3F879AAA" w14:textId="77777777" w:rsidR="007601E1" w:rsidRPr="00F8795E" w:rsidRDefault="007601E1" w:rsidP="007B6D1D">
            <w:pPr>
              <w:spacing w:after="0"/>
              <w:jc w:val="both"/>
              <w:rPr>
                <w:rFonts w:ascii="Arial" w:hAnsi="Arial" w:cs="Arial"/>
                <w:sz w:val="24"/>
                <w:szCs w:val="24"/>
              </w:rPr>
            </w:pPr>
          </w:p>
        </w:tc>
      </w:tr>
      <w:tr w:rsidR="00D22780" w:rsidRPr="00055BFA" w14:paraId="1A7B25E7" w14:textId="77777777" w:rsidTr="00055BFA">
        <w:tc>
          <w:tcPr>
            <w:tcW w:w="675" w:type="dxa"/>
          </w:tcPr>
          <w:p w14:paraId="0AB74556" w14:textId="77777777" w:rsidR="00D22780" w:rsidRDefault="005C173F" w:rsidP="00055BFA">
            <w:pPr>
              <w:spacing w:after="0"/>
              <w:rPr>
                <w:rFonts w:ascii="Arial" w:hAnsi="Arial" w:cs="Arial"/>
                <w:b/>
                <w:sz w:val="24"/>
                <w:szCs w:val="24"/>
              </w:rPr>
            </w:pPr>
            <w:r>
              <w:rPr>
                <w:rFonts w:ascii="Arial" w:hAnsi="Arial" w:cs="Arial"/>
                <w:b/>
                <w:sz w:val="24"/>
                <w:szCs w:val="24"/>
              </w:rPr>
              <w:t>9</w:t>
            </w:r>
            <w:r w:rsidR="00D22780">
              <w:rPr>
                <w:rFonts w:ascii="Arial" w:hAnsi="Arial" w:cs="Arial"/>
                <w:b/>
                <w:sz w:val="24"/>
                <w:szCs w:val="24"/>
              </w:rPr>
              <w:t>.</w:t>
            </w:r>
          </w:p>
        </w:tc>
        <w:tc>
          <w:tcPr>
            <w:tcW w:w="8611" w:type="dxa"/>
          </w:tcPr>
          <w:p w14:paraId="33EBBAD3"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RISK</w:t>
            </w:r>
          </w:p>
          <w:p w14:paraId="756B0E89" w14:textId="77777777" w:rsidR="00D22780" w:rsidRDefault="00FD55D4" w:rsidP="007B6D1D">
            <w:pPr>
              <w:spacing w:after="0"/>
              <w:jc w:val="both"/>
              <w:rPr>
                <w:rFonts w:ascii="Arial" w:hAnsi="Arial" w:cs="Arial"/>
                <w:sz w:val="24"/>
                <w:szCs w:val="24"/>
              </w:rPr>
            </w:pPr>
            <w:r>
              <w:rPr>
                <w:rFonts w:ascii="Arial" w:hAnsi="Arial" w:cs="Arial"/>
                <w:sz w:val="24"/>
                <w:szCs w:val="24"/>
              </w:rPr>
              <w:t xml:space="preserve">Treasury Management can never be risk free.  In borrowing, the risk is that interest payable might be higher than necessary and in lending there is the risk of default on repayment and the risk that a better rate of return could have been achieved.  Adherence to the CIPFA Code of Practice on Treasury Management is best practice in terms of balancing risk and return. </w:t>
            </w:r>
          </w:p>
          <w:p w14:paraId="27198E77" w14:textId="77777777" w:rsidR="007601E1" w:rsidRPr="00F533BA" w:rsidRDefault="007601E1" w:rsidP="007B6D1D">
            <w:pPr>
              <w:spacing w:after="0"/>
              <w:jc w:val="both"/>
              <w:rPr>
                <w:rFonts w:ascii="Arial" w:hAnsi="Arial" w:cs="Arial"/>
                <w:sz w:val="24"/>
                <w:szCs w:val="24"/>
              </w:rPr>
            </w:pPr>
          </w:p>
        </w:tc>
      </w:tr>
      <w:tr w:rsidR="00D22780" w:rsidRPr="00055BFA" w14:paraId="47FB31CD" w14:textId="77777777" w:rsidTr="00055BFA">
        <w:tc>
          <w:tcPr>
            <w:tcW w:w="675" w:type="dxa"/>
          </w:tcPr>
          <w:p w14:paraId="0169CB04" w14:textId="77777777" w:rsidR="00D22780" w:rsidRDefault="00B913D2" w:rsidP="005C173F">
            <w:pPr>
              <w:spacing w:after="0"/>
              <w:rPr>
                <w:rFonts w:ascii="Arial" w:hAnsi="Arial" w:cs="Arial"/>
                <w:b/>
                <w:sz w:val="24"/>
                <w:szCs w:val="24"/>
              </w:rPr>
            </w:pPr>
            <w:r>
              <w:rPr>
                <w:rFonts w:ascii="Arial" w:hAnsi="Arial" w:cs="Arial"/>
                <w:b/>
                <w:sz w:val="24"/>
                <w:szCs w:val="24"/>
              </w:rPr>
              <w:t>1</w:t>
            </w:r>
            <w:r w:rsidR="005C173F">
              <w:rPr>
                <w:rFonts w:ascii="Arial" w:hAnsi="Arial" w:cs="Arial"/>
                <w:b/>
                <w:sz w:val="24"/>
                <w:szCs w:val="24"/>
              </w:rPr>
              <w:t>0</w:t>
            </w:r>
            <w:r w:rsidR="00D22780">
              <w:rPr>
                <w:rFonts w:ascii="Arial" w:hAnsi="Arial" w:cs="Arial"/>
                <w:b/>
                <w:sz w:val="24"/>
                <w:szCs w:val="24"/>
              </w:rPr>
              <w:t>.</w:t>
            </w:r>
          </w:p>
        </w:tc>
        <w:tc>
          <w:tcPr>
            <w:tcW w:w="8611" w:type="dxa"/>
          </w:tcPr>
          <w:p w14:paraId="529DFF7D"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PUBLIC INTEREST</w:t>
            </w:r>
          </w:p>
          <w:p w14:paraId="125F509B" w14:textId="77777777" w:rsidR="007601E1" w:rsidRDefault="00EE65E2" w:rsidP="007B6D1D">
            <w:pPr>
              <w:spacing w:after="0"/>
              <w:jc w:val="both"/>
              <w:rPr>
                <w:rFonts w:ascii="Arial" w:hAnsi="Arial" w:cs="Arial"/>
                <w:sz w:val="24"/>
                <w:szCs w:val="24"/>
              </w:rPr>
            </w:pPr>
            <w:r>
              <w:rPr>
                <w:rFonts w:ascii="Arial" w:hAnsi="Arial" w:cs="Arial"/>
                <w:sz w:val="24"/>
                <w:szCs w:val="24"/>
              </w:rPr>
              <w:t xml:space="preserve">Once approved the Treasury Management Strategy will be published on the </w:t>
            </w:r>
            <w:r w:rsidR="007601E1">
              <w:rPr>
                <w:rFonts w:ascii="Arial" w:hAnsi="Arial" w:cs="Arial"/>
                <w:sz w:val="24"/>
                <w:szCs w:val="24"/>
              </w:rPr>
              <w:t xml:space="preserve">Commissioner’s </w:t>
            </w:r>
            <w:r>
              <w:rPr>
                <w:rFonts w:ascii="Arial" w:hAnsi="Arial" w:cs="Arial"/>
                <w:sz w:val="24"/>
                <w:szCs w:val="24"/>
              </w:rPr>
              <w:t>website.</w:t>
            </w:r>
          </w:p>
          <w:p w14:paraId="6DA4025A" w14:textId="77777777" w:rsidR="00D22780" w:rsidRPr="00F533BA" w:rsidRDefault="00EE65E2" w:rsidP="007B6D1D">
            <w:pPr>
              <w:spacing w:after="0"/>
              <w:jc w:val="both"/>
              <w:rPr>
                <w:rFonts w:ascii="Arial" w:hAnsi="Arial" w:cs="Arial"/>
                <w:sz w:val="24"/>
                <w:szCs w:val="24"/>
              </w:rPr>
            </w:pPr>
            <w:r>
              <w:rPr>
                <w:rFonts w:ascii="Arial" w:hAnsi="Arial" w:cs="Arial"/>
                <w:sz w:val="24"/>
                <w:szCs w:val="24"/>
              </w:rPr>
              <w:t xml:space="preserve"> </w:t>
            </w:r>
          </w:p>
        </w:tc>
      </w:tr>
      <w:tr w:rsidR="00D22780" w:rsidRPr="00055BFA" w14:paraId="7F0CA188" w14:textId="77777777" w:rsidTr="00055BFA">
        <w:tc>
          <w:tcPr>
            <w:tcW w:w="675" w:type="dxa"/>
          </w:tcPr>
          <w:p w14:paraId="0AB27019" w14:textId="77777777" w:rsidR="00D22780" w:rsidRDefault="005C173F" w:rsidP="00055BFA">
            <w:pPr>
              <w:spacing w:after="0"/>
              <w:rPr>
                <w:rFonts w:ascii="Arial" w:hAnsi="Arial" w:cs="Arial"/>
                <w:b/>
                <w:sz w:val="24"/>
                <w:szCs w:val="24"/>
              </w:rPr>
            </w:pPr>
            <w:r>
              <w:rPr>
                <w:rFonts w:ascii="Arial" w:hAnsi="Arial" w:cs="Arial"/>
                <w:b/>
                <w:sz w:val="24"/>
                <w:szCs w:val="24"/>
              </w:rPr>
              <w:t>11</w:t>
            </w:r>
            <w:r w:rsidR="00D22780">
              <w:rPr>
                <w:rFonts w:ascii="Arial" w:hAnsi="Arial" w:cs="Arial"/>
                <w:b/>
                <w:sz w:val="24"/>
                <w:szCs w:val="24"/>
              </w:rPr>
              <w:t>.</w:t>
            </w:r>
          </w:p>
        </w:tc>
        <w:tc>
          <w:tcPr>
            <w:tcW w:w="8611" w:type="dxa"/>
          </w:tcPr>
          <w:p w14:paraId="7A8334C3"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168C1A33" w14:textId="77777777" w:rsidR="00D22780" w:rsidRDefault="00766097" w:rsidP="007B6D1D">
            <w:pPr>
              <w:spacing w:after="0"/>
              <w:jc w:val="both"/>
              <w:rPr>
                <w:rFonts w:ascii="Arial" w:hAnsi="Arial" w:cs="Arial"/>
                <w:sz w:val="24"/>
                <w:szCs w:val="24"/>
              </w:rPr>
            </w:pPr>
            <w:r>
              <w:rPr>
                <w:rFonts w:ascii="Arial" w:hAnsi="Arial" w:cs="Arial"/>
                <w:sz w:val="24"/>
                <w:szCs w:val="24"/>
              </w:rPr>
              <w:t>Darren Garwood-Pa</w:t>
            </w:r>
            <w:r w:rsidR="00EB5806">
              <w:rPr>
                <w:rFonts w:ascii="Arial" w:hAnsi="Arial" w:cs="Arial"/>
                <w:sz w:val="24"/>
                <w:szCs w:val="24"/>
              </w:rPr>
              <w:t>s</w:t>
            </w:r>
            <w:r>
              <w:rPr>
                <w:rFonts w:ascii="Arial" w:hAnsi="Arial" w:cs="Arial"/>
                <w:sz w:val="24"/>
                <w:szCs w:val="24"/>
              </w:rPr>
              <w:t xml:space="preserve">k, Chief Finance Officer </w:t>
            </w:r>
            <w:r w:rsidR="00E97E8C">
              <w:rPr>
                <w:rFonts w:ascii="Arial" w:hAnsi="Arial" w:cs="Arial"/>
                <w:sz w:val="24"/>
                <w:szCs w:val="24"/>
              </w:rPr>
              <w:t xml:space="preserve">(Section 151 Officer) </w:t>
            </w:r>
            <w:r>
              <w:rPr>
                <w:rFonts w:ascii="Arial" w:hAnsi="Arial" w:cs="Arial"/>
                <w:sz w:val="24"/>
                <w:szCs w:val="24"/>
              </w:rPr>
              <w:t xml:space="preserve">to the </w:t>
            </w:r>
            <w:r w:rsidR="00E62A75">
              <w:rPr>
                <w:rFonts w:ascii="Arial" w:hAnsi="Arial" w:cs="Arial"/>
                <w:sz w:val="24"/>
                <w:szCs w:val="24"/>
              </w:rPr>
              <w:t>Commissioner</w:t>
            </w:r>
            <w:r>
              <w:rPr>
                <w:rFonts w:ascii="Arial" w:hAnsi="Arial" w:cs="Arial"/>
                <w:sz w:val="24"/>
                <w:szCs w:val="24"/>
              </w:rPr>
              <w:t>.</w:t>
            </w:r>
          </w:p>
          <w:p w14:paraId="17D5C5A9" w14:textId="77777777" w:rsidR="007601E1" w:rsidRPr="00F533BA" w:rsidRDefault="007601E1" w:rsidP="007B6D1D">
            <w:pPr>
              <w:spacing w:after="0"/>
              <w:jc w:val="both"/>
              <w:rPr>
                <w:rFonts w:ascii="Arial" w:hAnsi="Arial" w:cs="Arial"/>
                <w:sz w:val="24"/>
                <w:szCs w:val="24"/>
              </w:rPr>
            </w:pPr>
          </w:p>
        </w:tc>
      </w:tr>
      <w:tr w:rsidR="00B45594" w:rsidRPr="00055BFA" w14:paraId="12F259AA" w14:textId="77777777" w:rsidTr="00055BFA">
        <w:tc>
          <w:tcPr>
            <w:tcW w:w="675" w:type="dxa"/>
          </w:tcPr>
          <w:p w14:paraId="229DE701" w14:textId="77777777" w:rsidR="00B45594" w:rsidRDefault="005C173F" w:rsidP="00055BFA">
            <w:pPr>
              <w:spacing w:after="0"/>
              <w:rPr>
                <w:rFonts w:ascii="Arial" w:hAnsi="Arial" w:cs="Arial"/>
                <w:b/>
                <w:sz w:val="24"/>
                <w:szCs w:val="24"/>
              </w:rPr>
            </w:pPr>
            <w:r>
              <w:rPr>
                <w:rFonts w:ascii="Arial" w:hAnsi="Arial" w:cs="Arial"/>
                <w:b/>
                <w:sz w:val="24"/>
                <w:szCs w:val="24"/>
              </w:rPr>
              <w:t>12</w:t>
            </w:r>
            <w:r w:rsidR="00B45594">
              <w:rPr>
                <w:rFonts w:ascii="Arial" w:hAnsi="Arial" w:cs="Arial"/>
                <w:b/>
                <w:sz w:val="24"/>
                <w:szCs w:val="24"/>
              </w:rPr>
              <w:t>.</w:t>
            </w:r>
          </w:p>
        </w:tc>
        <w:tc>
          <w:tcPr>
            <w:tcW w:w="8611" w:type="dxa"/>
          </w:tcPr>
          <w:p w14:paraId="1EB3C9F0"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7256B4FB" w14:textId="77777777" w:rsidR="00B45594" w:rsidRDefault="0054321D" w:rsidP="007B6D1D">
            <w:pPr>
              <w:spacing w:after="0"/>
              <w:jc w:val="both"/>
              <w:rPr>
                <w:rFonts w:ascii="Arial" w:hAnsi="Arial" w:cs="Arial"/>
                <w:sz w:val="24"/>
                <w:szCs w:val="24"/>
              </w:rPr>
            </w:pPr>
            <w:r>
              <w:rPr>
                <w:rFonts w:ascii="Arial" w:hAnsi="Arial" w:cs="Arial"/>
                <w:sz w:val="24"/>
                <w:szCs w:val="24"/>
              </w:rPr>
              <w:t>The Appendices</w:t>
            </w:r>
            <w:r w:rsidR="00986BE7">
              <w:rPr>
                <w:rFonts w:ascii="Arial" w:hAnsi="Arial" w:cs="Arial"/>
                <w:sz w:val="24"/>
                <w:szCs w:val="24"/>
              </w:rPr>
              <w:t xml:space="preserve"> to this report </w:t>
            </w:r>
            <w:r w:rsidR="0044587F">
              <w:rPr>
                <w:rFonts w:ascii="Arial" w:hAnsi="Arial" w:cs="Arial"/>
                <w:sz w:val="24"/>
                <w:szCs w:val="24"/>
              </w:rPr>
              <w:t>provide</w:t>
            </w:r>
            <w:r w:rsidR="00986BE7">
              <w:rPr>
                <w:rFonts w:ascii="Arial" w:hAnsi="Arial" w:cs="Arial"/>
                <w:sz w:val="24"/>
                <w:szCs w:val="24"/>
              </w:rPr>
              <w:t xml:space="preserve"> more details on the proposal. </w:t>
            </w:r>
          </w:p>
          <w:p w14:paraId="0369F540" w14:textId="77777777" w:rsidR="007601E1" w:rsidRPr="00F533BA" w:rsidRDefault="007601E1" w:rsidP="007B6D1D">
            <w:pPr>
              <w:spacing w:after="0"/>
              <w:jc w:val="both"/>
              <w:rPr>
                <w:rFonts w:ascii="Arial" w:hAnsi="Arial" w:cs="Arial"/>
                <w:sz w:val="24"/>
                <w:szCs w:val="24"/>
              </w:rPr>
            </w:pPr>
          </w:p>
        </w:tc>
      </w:tr>
    </w:tbl>
    <w:p w14:paraId="7666982F" w14:textId="77777777" w:rsidR="0034123A" w:rsidRDefault="0034123A" w:rsidP="00CC3070">
      <w:pPr>
        <w:rPr>
          <w:rFonts w:ascii="Arial" w:hAnsi="Arial" w:cs="Arial"/>
          <w:b/>
          <w:color w:val="A6A6A6"/>
        </w:rPr>
      </w:pPr>
    </w:p>
    <w:sectPr w:rsidR="0034123A" w:rsidSect="00D22780">
      <w:headerReference w:type="even" r:id="rId11"/>
      <w:headerReference w:type="default" r:id="rId12"/>
      <w:footerReference w:type="even" r:id="rId13"/>
      <w:footerReference w:type="default" r:id="rId14"/>
      <w:headerReference w:type="first" r:id="rId15"/>
      <w:footerReference w:type="first" r:id="rId16"/>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0626" w14:textId="77777777" w:rsidR="00D436D4" w:rsidRDefault="00D436D4" w:rsidP="00D26302">
      <w:pPr>
        <w:spacing w:after="0" w:line="240" w:lineRule="auto"/>
      </w:pPr>
      <w:r>
        <w:separator/>
      </w:r>
    </w:p>
  </w:endnote>
  <w:endnote w:type="continuationSeparator" w:id="0">
    <w:p w14:paraId="7A9EF8A6" w14:textId="77777777" w:rsidR="00D436D4" w:rsidRDefault="00D436D4"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0E53" w14:textId="77777777" w:rsidR="00B54420" w:rsidRDefault="00B54420" w:rsidP="00D26302">
    <w:pPr>
      <w:pStyle w:val="Footer"/>
      <w:spacing w:after="0"/>
      <w:jc w:val="center"/>
      <w:rPr>
        <w:rFonts w:ascii="Arial" w:hAnsi="Arial" w:cs="Arial"/>
        <w:b/>
        <w:color w:val="FF0000"/>
        <w:sz w:val="24"/>
      </w:rPr>
    </w:pPr>
    <w:bookmarkStart w:id="2" w:name="aliashDefaultHeaderandFo1FooterEvenPages"/>
  </w:p>
  <w:bookmarkEnd w:id="2"/>
  <w:p w14:paraId="07FA5A00" w14:textId="77777777" w:rsidR="00B54420" w:rsidRDefault="00B54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5A0E" w14:textId="77777777" w:rsidR="00B54420" w:rsidRDefault="00B54420" w:rsidP="00D26302">
    <w:pPr>
      <w:pStyle w:val="Footer"/>
      <w:spacing w:after="0"/>
      <w:jc w:val="center"/>
      <w:rPr>
        <w:rFonts w:ascii="Arial" w:hAnsi="Arial" w:cs="Arial"/>
        <w:b/>
        <w:color w:val="FF0000"/>
        <w:sz w:val="24"/>
      </w:rPr>
    </w:pPr>
    <w:bookmarkStart w:id="3" w:name="aliashDefaultHeaderandFoot1FooterPrimary"/>
  </w:p>
  <w:bookmarkEnd w:id="3"/>
  <w:p w14:paraId="17907B58" w14:textId="77777777" w:rsidR="00B54420" w:rsidRDefault="00B54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A357" w14:textId="77777777" w:rsidR="00B54420" w:rsidRDefault="00B54420" w:rsidP="00D26302">
    <w:pPr>
      <w:pStyle w:val="Footer"/>
      <w:spacing w:after="0"/>
      <w:jc w:val="center"/>
      <w:rPr>
        <w:rFonts w:ascii="Arial" w:hAnsi="Arial" w:cs="Arial"/>
        <w:b/>
        <w:color w:val="FF0000"/>
        <w:sz w:val="24"/>
      </w:rPr>
    </w:pPr>
    <w:bookmarkStart w:id="5" w:name="aliashDefaultHeaderandFo1FooterFirstPage"/>
  </w:p>
  <w:bookmarkEnd w:id="5"/>
  <w:p w14:paraId="34181DBE" w14:textId="77777777" w:rsidR="00B54420" w:rsidRDefault="00B54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362B" w14:textId="77777777" w:rsidR="00D436D4" w:rsidRDefault="00D436D4" w:rsidP="00D26302">
      <w:pPr>
        <w:spacing w:after="0" w:line="240" w:lineRule="auto"/>
      </w:pPr>
      <w:r>
        <w:separator/>
      </w:r>
    </w:p>
  </w:footnote>
  <w:footnote w:type="continuationSeparator" w:id="0">
    <w:p w14:paraId="02B29B9A" w14:textId="77777777" w:rsidR="00D436D4" w:rsidRDefault="00D436D4"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031" w14:textId="77777777" w:rsidR="00B54420" w:rsidRDefault="00B54420" w:rsidP="00D26302">
    <w:pPr>
      <w:pStyle w:val="Header"/>
      <w:spacing w:after="0"/>
      <w:jc w:val="center"/>
      <w:rPr>
        <w:rFonts w:ascii="Arial" w:hAnsi="Arial" w:cs="Arial"/>
        <w:b/>
        <w:color w:val="FF0000"/>
        <w:sz w:val="24"/>
      </w:rPr>
    </w:pPr>
    <w:bookmarkStart w:id="0" w:name="aliashDefaultHeaderandFo1HeaderEvenPages"/>
  </w:p>
  <w:bookmarkEnd w:id="0"/>
  <w:p w14:paraId="680F6E0B" w14:textId="77777777" w:rsidR="00B54420" w:rsidRDefault="00B54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FFE3" w14:textId="77777777" w:rsidR="00B54420" w:rsidRDefault="00B54420" w:rsidP="00D26302">
    <w:pPr>
      <w:pStyle w:val="Header"/>
      <w:spacing w:after="0"/>
      <w:jc w:val="center"/>
      <w:rPr>
        <w:rFonts w:ascii="Arial" w:hAnsi="Arial" w:cs="Arial"/>
        <w:b/>
        <w:color w:val="FF0000"/>
        <w:sz w:val="24"/>
      </w:rPr>
    </w:pPr>
    <w:bookmarkStart w:id="1" w:name="aliashDefaultHeaderandFoot1HeaderPrimary"/>
  </w:p>
  <w:bookmarkEnd w:id="1"/>
  <w:p w14:paraId="2B1F8A12" w14:textId="77777777" w:rsidR="00B54420" w:rsidRDefault="00B54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72A3" w14:textId="77777777" w:rsidR="00B54420" w:rsidRDefault="00B54420" w:rsidP="00D26302">
    <w:pPr>
      <w:pStyle w:val="Header"/>
      <w:spacing w:after="0"/>
      <w:jc w:val="center"/>
      <w:rPr>
        <w:rFonts w:ascii="Arial" w:hAnsi="Arial" w:cs="Arial"/>
        <w:b/>
        <w:color w:val="FF0000"/>
        <w:sz w:val="24"/>
      </w:rPr>
    </w:pPr>
    <w:bookmarkStart w:id="4" w:name="aliashDefaultHeaderandFo1HeaderFirstPage"/>
  </w:p>
  <w:bookmarkEnd w:id="4"/>
  <w:p w14:paraId="31BEBBB2" w14:textId="77777777" w:rsidR="00B54420" w:rsidRDefault="00B54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65652"/>
    <w:multiLevelType w:val="hybridMultilevel"/>
    <w:tmpl w:val="C5A85DE6"/>
    <w:lvl w:ilvl="0" w:tplc="FFFFFFFF">
      <w:start w:val="1"/>
      <w:numFmt w:val="lowerRoman"/>
      <w:lvlText w:val="(%1)"/>
      <w:lvlJc w:val="left"/>
      <w:pPr>
        <w:ind w:left="896" w:hanging="720"/>
      </w:pPr>
      <w:rPr>
        <w:rFonts w:hint="default"/>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2"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23131"/>
    <w:multiLevelType w:val="hybridMultilevel"/>
    <w:tmpl w:val="88D4B8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063523"/>
    <w:multiLevelType w:val="hybridMultilevel"/>
    <w:tmpl w:val="C5A85DE6"/>
    <w:lvl w:ilvl="0" w:tplc="532670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F7027"/>
    <w:multiLevelType w:val="hybridMultilevel"/>
    <w:tmpl w:val="C5A85DE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A329D6"/>
    <w:multiLevelType w:val="hybridMultilevel"/>
    <w:tmpl w:val="8390B676"/>
    <w:lvl w:ilvl="0" w:tplc="B3E62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167633">
    <w:abstractNumId w:val="0"/>
  </w:num>
  <w:num w:numId="2" w16cid:durableId="820656683">
    <w:abstractNumId w:val="2"/>
  </w:num>
  <w:num w:numId="3" w16cid:durableId="1074083263">
    <w:abstractNumId w:val="4"/>
  </w:num>
  <w:num w:numId="4" w16cid:durableId="695152706">
    <w:abstractNumId w:val="6"/>
  </w:num>
  <w:num w:numId="5" w16cid:durableId="1483615395">
    <w:abstractNumId w:val="5"/>
  </w:num>
  <w:num w:numId="6" w16cid:durableId="983316172">
    <w:abstractNumId w:val="1"/>
  </w:num>
  <w:num w:numId="7" w16cid:durableId="1370379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13341"/>
    <w:rsid w:val="000309EF"/>
    <w:rsid w:val="00055BFA"/>
    <w:rsid w:val="000A30F2"/>
    <w:rsid w:val="000B3AE0"/>
    <w:rsid w:val="000C4ACA"/>
    <w:rsid w:val="000E6B84"/>
    <w:rsid w:val="000F38CB"/>
    <w:rsid w:val="00106349"/>
    <w:rsid w:val="001265D6"/>
    <w:rsid w:val="00141D32"/>
    <w:rsid w:val="0014709C"/>
    <w:rsid w:val="0015408E"/>
    <w:rsid w:val="00164AB7"/>
    <w:rsid w:val="00166E2E"/>
    <w:rsid w:val="00171FDE"/>
    <w:rsid w:val="001846E8"/>
    <w:rsid w:val="001A75BB"/>
    <w:rsid w:val="001B324C"/>
    <w:rsid w:val="001C7E3F"/>
    <w:rsid w:val="001F41AD"/>
    <w:rsid w:val="0020635C"/>
    <w:rsid w:val="00212AE1"/>
    <w:rsid w:val="002134A5"/>
    <w:rsid w:val="00215A35"/>
    <w:rsid w:val="002337DE"/>
    <w:rsid w:val="00237A33"/>
    <w:rsid w:val="002470ED"/>
    <w:rsid w:val="00262673"/>
    <w:rsid w:val="002673DC"/>
    <w:rsid w:val="00273340"/>
    <w:rsid w:val="00285FD8"/>
    <w:rsid w:val="0029270D"/>
    <w:rsid w:val="00294700"/>
    <w:rsid w:val="002C37A9"/>
    <w:rsid w:val="002D21A7"/>
    <w:rsid w:val="003377A4"/>
    <w:rsid w:val="0034123A"/>
    <w:rsid w:val="003433D5"/>
    <w:rsid w:val="00357FB5"/>
    <w:rsid w:val="0037778D"/>
    <w:rsid w:val="00380C52"/>
    <w:rsid w:val="003A5684"/>
    <w:rsid w:val="003A6CFA"/>
    <w:rsid w:val="003C1827"/>
    <w:rsid w:val="003D11EC"/>
    <w:rsid w:val="003D15FF"/>
    <w:rsid w:val="003E13FD"/>
    <w:rsid w:val="003F2861"/>
    <w:rsid w:val="00417B7A"/>
    <w:rsid w:val="0042426F"/>
    <w:rsid w:val="00425599"/>
    <w:rsid w:val="0042632F"/>
    <w:rsid w:val="0044587F"/>
    <w:rsid w:val="004839B9"/>
    <w:rsid w:val="00494F76"/>
    <w:rsid w:val="004F179D"/>
    <w:rsid w:val="00513B5B"/>
    <w:rsid w:val="00530FDA"/>
    <w:rsid w:val="0054321D"/>
    <w:rsid w:val="00544017"/>
    <w:rsid w:val="00563D86"/>
    <w:rsid w:val="005A1A73"/>
    <w:rsid w:val="005C173F"/>
    <w:rsid w:val="005F3AE8"/>
    <w:rsid w:val="00600CCD"/>
    <w:rsid w:val="00623FCB"/>
    <w:rsid w:val="006258E3"/>
    <w:rsid w:val="00641019"/>
    <w:rsid w:val="00687580"/>
    <w:rsid w:val="006932C9"/>
    <w:rsid w:val="00695C55"/>
    <w:rsid w:val="006C6B85"/>
    <w:rsid w:val="006D08CD"/>
    <w:rsid w:val="006E749D"/>
    <w:rsid w:val="006F3449"/>
    <w:rsid w:val="007601E1"/>
    <w:rsid w:val="00766097"/>
    <w:rsid w:val="007714A2"/>
    <w:rsid w:val="00776EFC"/>
    <w:rsid w:val="007862FC"/>
    <w:rsid w:val="007B6D1D"/>
    <w:rsid w:val="007C33D1"/>
    <w:rsid w:val="007C440C"/>
    <w:rsid w:val="007D3B28"/>
    <w:rsid w:val="007E5368"/>
    <w:rsid w:val="007F1D0F"/>
    <w:rsid w:val="008018F3"/>
    <w:rsid w:val="00802487"/>
    <w:rsid w:val="00822B6A"/>
    <w:rsid w:val="00897ACE"/>
    <w:rsid w:val="008C5347"/>
    <w:rsid w:val="0092141A"/>
    <w:rsid w:val="009219B5"/>
    <w:rsid w:val="009267D0"/>
    <w:rsid w:val="00947E0C"/>
    <w:rsid w:val="00950DC7"/>
    <w:rsid w:val="00951246"/>
    <w:rsid w:val="009538EA"/>
    <w:rsid w:val="00956DE5"/>
    <w:rsid w:val="00965ACD"/>
    <w:rsid w:val="00983BA5"/>
    <w:rsid w:val="00986BE7"/>
    <w:rsid w:val="009C7CEE"/>
    <w:rsid w:val="009E19DB"/>
    <w:rsid w:val="009E5D83"/>
    <w:rsid w:val="009E7591"/>
    <w:rsid w:val="009F0114"/>
    <w:rsid w:val="00A23997"/>
    <w:rsid w:val="00A262EF"/>
    <w:rsid w:val="00A45A11"/>
    <w:rsid w:val="00A706FA"/>
    <w:rsid w:val="00A90111"/>
    <w:rsid w:val="00AA2FC8"/>
    <w:rsid w:val="00AA340A"/>
    <w:rsid w:val="00AA356F"/>
    <w:rsid w:val="00AE0284"/>
    <w:rsid w:val="00AE6646"/>
    <w:rsid w:val="00AF4F7F"/>
    <w:rsid w:val="00AF54D4"/>
    <w:rsid w:val="00B01597"/>
    <w:rsid w:val="00B07311"/>
    <w:rsid w:val="00B3006F"/>
    <w:rsid w:val="00B45594"/>
    <w:rsid w:val="00B45602"/>
    <w:rsid w:val="00B53050"/>
    <w:rsid w:val="00B54420"/>
    <w:rsid w:val="00B63BD8"/>
    <w:rsid w:val="00B66E3A"/>
    <w:rsid w:val="00B913D2"/>
    <w:rsid w:val="00B91DB6"/>
    <w:rsid w:val="00B92810"/>
    <w:rsid w:val="00BB70C3"/>
    <w:rsid w:val="00BC5418"/>
    <w:rsid w:val="00BF5729"/>
    <w:rsid w:val="00C14915"/>
    <w:rsid w:val="00C2086A"/>
    <w:rsid w:val="00C31A33"/>
    <w:rsid w:val="00C4371C"/>
    <w:rsid w:val="00C86026"/>
    <w:rsid w:val="00CC3070"/>
    <w:rsid w:val="00CC4274"/>
    <w:rsid w:val="00CC7939"/>
    <w:rsid w:val="00CE515C"/>
    <w:rsid w:val="00D04E5B"/>
    <w:rsid w:val="00D2255F"/>
    <w:rsid w:val="00D22780"/>
    <w:rsid w:val="00D26302"/>
    <w:rsid w:val="00D26B7D"/>
    <w:rsid w:val="00D33967"/>
    <w:rsid w:val="00D37954"/>
    <w:rsid w:val="00D436D4"/>
    <w:rsid w:val="00D456E1"/>
    <w:rsid w:val="00D77DD2"/>
    <w:rsid w:val="00D83671"/>
    <w:rsid w:val="00DC21E8"/>
    <w:rsid w:val="00DE0388"/>
    <w:rsid w:val="00E16155"/>
    <w:rsid w:val="00E32EF7"/>
    <w:rsid w:val="00E445A3"/>
    <w:rsid w:val="00E62A75"/>
    <w:rsid w:val="00E639A7"/>
    <w:rsid w:val="00E97E8C"/>
    <w:rsid w:val="00EB5806"/>
    <w:rsid w:val="00EB5A4D"/>
    <w:rsid w:val="00EC4986"/>
    <w:rsid w:val="00EE0539"/>
    <w:rsid w:val="00EE65E2"/>
    <w:rsid w:val="00EF0FF3"/>
    <w:rsid w:val="00EF17DE"/>
    <w:rsid w:val="00F00EB3"/>
    <w:rsid w:val="00F178CF"/>
    <w:rsid w:val="00F26236"/>
    <w:rsid w:val="00F352AC"/>
    <w:rsid w:val="00F4622F"/>
    <w:rsid w:val="00F52D94"/>
    <w:rsid w:val="00F533BA"/>
    <w:rsid w:val="00F8795E"/>
    <w:rsid w:val="00FD3D30"/>
    <w:rsid w:val="00FD55D4"/>
    <w:rsid w:val="00FE0947"/>
    <w:rsid w:val="00FF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C801"/>
  <w15:chartTrackingRefBased/>
  <w15:docId w15:val="{B1AECCAA-442A-49DA-8EBA-2043CDDD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character" w:styleId="CommentReference">
    <w:name w:val="annotation reference"/>
    <w:uiPriority w:val="99"/>
    <w:semiHidden/>
    <w:unhideWhenUsed/>
    <w:rsid w:val="00641019"/>
    <w:rPr>
      <w:sz w:val="16"/>
      <w:szCs w:val="16"/>
    </w:rPr>
  </w:style>
  <w:style w:type="paragraph" w:styleId="CommentText">
    <w:name w:val="annotation text"/>
    <w:basedOn w:val="Normal"/>
    <w:link w:val="CommentTextChar"/>
    <w:uiPriority w:val="99"/>
    <w:semiHidden/>
    <w:unhideWhenUsed/>
    <w:rsid w:val="00641019"/>
    <w:rPr>
      <w:sz w:val="20"/>
      <w:szCs w:val="20"/>
    </w:rPr>
  </w:style>
  <w:style w:type="character" w:customStyle="1" w:styleId="CommentTextChar">
    <w:name w:val="Comment Text Char"/>
    <w:link w:val="CommentText"/>
    <w:uiPriority w:val="99"/>
    <w:semiHidden/>
    <w:rsid w:val="00641019"/>
    <w:rPr>
      <w:lang w:eastAsia="en-US"/>
    </w:rPr>
  </w:style>
  <w:style w:type="paragraph" w:styleId="CommentSubject">
    <w:name w:val="annotation subject"/>
    <w:basedOn w:val="CommentText"/>
    <w:next w:val="CommentText"/>
    <w:link w:val="CommentSubjectChar"/>
    <w:uiPriority w:val="99"/>
    <w:semiHidden/>
    <w:unhideWhenUsed/>
    <w:rsid w:val="00641019"/>
    <w:rPr>
      <w:b/>
      <w:bCs/>
    </w:rPr>
  </w:style>
  <w:style w:type="character" w:customStyle="1" w:styleId="CommentSubjectChar">
    <w:name w:val="Comment Subject Char"/>
    <w:link w:val="CommentSubject"/>
    <w:uiPriority w:val="99"/>
    <w:semiHidden/>
    <w:rsid w:val="006410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6CB49-6DA6-407F-83DD-B7A4C00B3A3B}">
  <ds:schemaRefs>
    <ds:schemaRef ds:uri="http://schemas.microsoft.com/sharepoint/v3/contenttype/forms"/>
  </ds:schemaRefs>
</ds:datastoreItem>
</file>

<file path=customXml/itemProps2.xml><?xml version="1.0" encoding="utf-8"?>
<ds:datastoreItem xmlns:ds="http://schemas.openxmlformats.org/officeDocument/2006/customXml" ds:itemID="{3ED88248-635B-4A48-8501-BBDBB601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E09FF-20D9-41A0-BAAB-B969F49DD8C1}">
  <ds:schemaRefs>
    <ds:schemaRef ds:uri="http://schemas.openxmlformats.org/officeDocument/2006/bibliography"/>
  </ds:schemaRefs>
</ds:datastoreItem>
</file>

<file path=customXml/itemProps4.xml><?xml version="1.0" encoding="utf-8"?>
<ds:datastoreItem xmlns:ds="http://schemas.openxmlformats.org/officeDocument/2006/customXml" ds:itemID="{A281890E-C8B7-403F-98A5-06F5F628B5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3253</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Original Content Created Date - 30/11/2020 10:31:00</dc:description>
  <cp:lastModifiedBy>Howells, Scott</cp:lastModifiedBy>
  <cp:revision>3</cp:revision>
  <cp:lastPrinted>2026-03-04T14:09:00Z</cp:lastPrinted>
  <dcterms:created xsi:type="dcterms:W3CDTF">2026-03-03T08:02:00Z</dcterms:created>
  <dcterms:modified xsi:type="dcterms:W3CDTF">2026-03-04T14:13:00Z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2022-11-29T10:42:43Z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fcc73adf-abe4-4381-966d-e70520165292</vt:lpwstr>
  </property>
  <property fmtid="{D5CDD505-2E9C-101B-9397-08002B2CF9AE}" pid="14" name="MSIP_Label_f2acd28b-79a3-4a0f-b0ff-4b75658b1549_ContentBits">
    <vt:lpwstr>0</vt:lpwstr>
  </property>
  <property fmtid="{D5CDD505-2E9C-101B-9397-08002B2CF9AE}" pid="15" name="ContentTypeId">
    <vt:lpwstr>0x010100D3D26CDA0019114FAA8826B1C82F7478</vt:lpwstr>
  </property>
</Properties>
</file>