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30A6B" w14:textId="5BD5CC78" w:rsidR="002413CE" w:rsidRPr="00E92041" w:rsidRDefault="00E92041">
      <w:pPr>
        <w:rPr>
          <w:rFonts w:ascii="Arial" w:hAnsi="Arial" w:cs="Arial"/>
          <w:b/>
          <w:bCs/>
          <w:color w:val="F46239"/>
          <w:sz w:val="28"/>
          <w:szCs w:val="28"/>
          <w:u w:val="single"/>
        </w:rPr>
      </w:pPr>
      <w:r w:rsidRPr="00E92041">
        <w:rPr>
          <w:rFonts w:ascii="Arial" w:hAnsi="Arial" w:cs="Arial"/>
          <w:b/>
          <w:bCs/>
          <w:color w:val="F46239"/>
          <w:sz w:val="28"/>
          <w:szCs w:val="28"/>
          <w:u w:val="single"/>
        </w:rPr>
        <w:t xml:space="preserve">Audit Wales Management Letter – February 2023 Update </w:t>
      </w:r>
    </w:p>
    <w:p w14:paraId="2BB318FB" w14:textId="55A09A86" w:rsidR="00BF3316" w:rsidRDefault="00BF3316" w:rsidP="00BF3316">
      <w:pPr>
        <w:pStyle w:val="Default"/>
        <w:rPr>
          <w:b/>
          <w:bCs/>
          <w:color w:val="F46239"/>
          <w:sz w:val="28"/>
          <w:szCs w:val="28"/>
        </w:rPr>
      </w:pPr>
      <w:r>
        <w:rPr>
          <w:b/>
          <w:bCs/>
          <w:color w:val="F46239"/>
          <w:sz w:val="28"/>
          <w:szCs w:val="28"/>
        </w:rPr>
        <w:t xml:space="preserve">Appendix 2 – Matters arising from the audit of the Police and Crime Commissioner (PCC) for Gwent’s and Chief Constable (CC) for Gwent’s 2021-22 financial statements </w:t>
      </w:r>
    </w:p>
    <w:p w14:paraId="0D54F38E" w14:textId="77777777" w:rsidR="00BF3316" w:rsidRDefault="00BF3316" w:rsidP="00BF3316">
      <w:pPr>
        <w:pStyle w:val="Default"/>
        <w:rPr>
          <w:color w:val="F46239"/>
          <w:sz w:val="28"/>
          <w:szCs w:val="2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503"/>
        <w:gridCol w:w="4677"/>
        <w:gridCol w:w="4536"/>
      </w:tblGrid>
      <w:tr w:rsidR="00BF3316" w14:paraId="76F38819" w14:textId="77777777" w:rsidTr="00DD116F">
        <w:trPr>
          <w:trHeight w:val="143"/>
        </w:trPr>
        <w:tc>
          <w:tcPr>
            <w:tcW w:w="4503" w:type="dxa"/>
            <w:tcBorders>
              <w:top w:val="single" w:sz="4" w:space="0" w:color="auto"/>
              <w:left w:val="single" w:sz="4" w:space="0" w:color="auto"/>
              <w:bottom w:val="single" w:sz="4" w:space="0" w:color="auto"/>
              <w:right w:val="single" w:sz="4" w:space="0" w:color="auto"/>
            </w:tcBorders>
          </w:tcPr>
          <w:p w14:paraId="10D223B6" w14:textId="77777777" w:rsidR="00BF3316" w:rsidRDefault="00BF3316" w:rsidP="00BF3316">
            <w:pPr>
              <w:pStyle w:val="Default"/>
              <w:spacing w:before="120" w:after="120"/>
              <w:rPr>
                <w:color w:val="515253"/>
                <w:sz w:val="20"/>
                <w:szCs w:val="20"/>
              </w:rPr>
            </w:pPr>
            <w:r>
              <w:rPr>
                <w:b/>
                <w:bCs/>
                <w:color w:val="515253"/>
                <w:sz w:val="20"/>
                <w:szCs w:val="20"/>
              </w:rPr>
              <w:t xml:space="preserve">Exhibit 2 – issues raised in ISA260 Report Detail </w:t>
            </w:r>
          </w:p>
        </w:tc>
        <w:tc>
          <w:tcPr>
            <w:tcW w:w="4677" w:type="dxa"/>
            <w:tcBorders>
              <w:top w:val="single" w:sz="4" w:space="0" w:color="auto"/>
              <w:left w:val="single" w:sz="4" w:space="0" w:color="auto"/>
              <w:bottom w:val="single" w:sz="4" w:space="0" w:color="auto"/>
              <w:right w:val="single" w:sz="4" w:space="0" w:color="auto"/>
            </w:tcBorders>
          </w:tcPr>
          <w:p w14:paraId="68B0BE61" w14:textId="77777777" w:rsidR="00BF3316" w:rsidRDefault="00BF3316" w:rsidP="00BF3316">
            <w:pPr>
              <w:pStyle w:val="Default"/>
              <w:spacing w:before="120" w:after="120"/>
              <w:rPr>
                <w:color w:val="515253"/>
                <w:sz w:val="20"/>
                <w:szCs w:val="20"/>
              </w:rPr>
            </w:pPr>
            <w:r>
              <w:rPr>
                <w:b/>
                <w:bCs/>
                <w:color w:val="515253"/>
                <w:sz w:val="20"/>
                <w:szCs w:val="20"/>
              </w:rPr>
              <w:t xml:space="preserve">For management to consider </w:t>
            </w:r>
          </w:p>
        </w:tc>
        <w:tc>
          <w:tcPr>
            <w:tcW w:w="4536" w:type="dxa"/>
            <w:tcBorders>
              <w:top w:val="single" w:sz="4" w:space="0" w:color="auto"/>
              <w:left w:val="single" w:sz="4" w:space="0" w:color="auto"/>
              <w:bottom w:val="single" w:sz="4" w:space="0" w:color="auto"/>
              <w:right w:val="single" w:sz="4" w:space="0" w:color="auto"/>
            </w:tcBorders>
          </w:tcPr>
          <w:p w14:paraId="5F847118" w14:textId="77777777" w:rsidR="00BF3316" w:rsidRDefault="00BF3316" w:rsidP="00BF3316">
            <w:pPr>
              <w:pStyle w:val="Default"/>
              <w:spacing w:before="120" w:after="120"/>
              <w:rPr>
                <w:color w:val="515253"/>
                <w:sz w:val="20"/>
                <w:szCs w:val="20"/>
              </w:rPr>
            </w:pPr>
            <w:r>
              <w:rPr>
                <w:b/>
                <w:bCs/>
                <w:color w:val="515253"/>
                <w:sz w:val="20"/>
                <w:szCs w:val="20"/>
              </w:rPr>
              <w:t xml:space="preserve">Management response </w:t>
            </w:r>
          </w:p>
        </w:tc>
      </w:tr>
      <w:tr w:rsidR="00BF3316" w14:paraId="123C6EB1" w14:textId="77777777" w:rsidTr="00DD116F">
        <w:trPr>
          <w:trHeight w:val="143"/>
        </w:trPr>
        <w:tc>
          <w:tcPr>
            <w:tcW w:w="13716" w:type="dxa"/>
            <w:gridSpan w:val="3"/>
            <w:tcBorders>
              <w:top w:val="single" w:sz="4" w:space="0" w:color="auto"/>
              <w:left w:val="single" w:sz="4" w:space="0" w:color="auto"/>
              <w:bottom w:val="single" w:sz="4" w:space="0" w:color="auto"/>
              <w:right w:val="single" w:sz="4" w:space="0" w:color="auto"/>
            </w:tcBorders>
          </w:tcPr>
          <w:p w14:paraId="77B913E0" w14:textId="77777777" w:rsidR="00BF3316" w:rsidRDefault="00BF3316" w:rsidP="00BF3316">
            <w:pPr>
              <w:pStyle w:val="Default"/>
              <w:spacing w:before="120" w:after="120"/>
              <w:rPr>
                <w:color w:val="515253"/>
                <w:sz w:val="20"/>
                <w:szCs w:val="20"/>
              </w:rPr>
            </w:pPr>
            <w:r>
              <w:rPr>
                <w:b/>
                <w:bCs/>
                <w:color w:val="515253"/>
                <w:sz w:val="20"/>
                <w:szCs w:val="20"/>
              </w:rPr>
              <w:t xml:space="preserve">Issues raised in ISA260 Report </w:t>
            </w:r>
          </w:p>
        </w:tc>
      </w:tr>
      <w:tr w:rsidR="00BF3316" w14:paraId="62629DBD" w14:textId="77777777" w:rsidTr="00DD116F">
        <w:trPr>
          <w:trHeight w:val="858"/>
        </w:trPr>
        <w:tc>
          <w:tcPr>
            <w:tcW w:w="4503" w:type="dxa"/>
            <w:tcBorders>
              <w:top w:val="single" w:sz="4" w:space="0" w:color="auto"/>
              <w:left w:val="single" w:sz="4" w:space="0" w:color="auto"/>
              <w:bottom w:val="single" w:sz="4" w:space="0" w:color="auto"/>
              <w:right w:val="single" w:sz="4" w:space="0" w:color="auto"/>
            </w:tcBorders>
          </w:tcPr>
          <w:p w14:paraId="336F2896" w14:textId="77777777" w:rsidR="00BF3316" w:rsidRDefault="00BF3316" w:rsidP="00BF3316">
            <w:pPr>
              <w:pStyle w:val="Default"/>
              <w:spacing w:before="120" w:after="120"/>
              <w:rPr>
                <w:color w:val="515253"/>
                <w:sz w:val="20"/>
                <w:szCs w:val="20"/>
              </w:rPr>
            </w:pPr>
            <w:r>
              <w:rPr>
                <w:b/>
                <w:bCs/>
                <w:color w:val="515253"/>
                <w:sz w:val="20"/>
                <w:szCs w:val="20"/>
              </w:rPr>
              <w:t xml:space="preserve">Account receivables were overstated </w:t>
            </w:r>
          </w:p>
          <w:p w14:paraId="4A74C361" w14:textId="77777777" w:rsidR="00BF3316" w:rsidRDefault="00BF3316" w:rsidP="00BF3316">
            <w:pPr>
              <w:pStyle w:val="Default"/>
              <w:spacing w:before="120" w:after="120"/>
              <w:rPr>
                <w:color w:val="515253"/>
                <w:sz w:val="20"/>
                <w:szCs w:val="20"/>
              </w:rPr>
            </w:pPr>
            <w:r>
              <w:rPr>
                <w:color w:val="515253"/>
                <w:sz w:val="20"/>
                <w:szCs w:val="20"/>
              </w:rPr>
              <w:t xml:space="preserve">There was an overstatement of debtors and income due to inappropriate amounts being accrued at the year-end, which were identified in the audit process. </w:t>
            </w:r>
          </w:p>
        </w:tc>
        <w:tc>
          <w:tcPr>
            <w:tcW w:w="4677" w:type="dxa"/>
            <w:tcBorders>
              <w:top w:val="single" w:sz="4" w:space="0" w:color="auto"/>
              <w:left w:val="single" w:sz="4" w:space="0" w:color="auto"/>
              <w:bottom w:val="single" w:sz="4" w:space="0" w:color="auto"/>
              <w:right w:val="single" w:sz="4" w:space="0" w:color="auto"/>
            </w:tcBorders>
          </w:tcPr>
          <w:p w14:paraId="7C78459D" w14:textId="77777777" w:rsidR="00BF3316" w:rsidRDefault="00BF3316" w:rsidP="00BF3316">
            <w:pPr>
              <w:pStyle w:val="Default"/>
              <w:spacing w:before="120" w:after="120"/>
              <w:rPr>
                <w:color w:val="515253"/>
                <w:sz w:val="20"/>
                <w:szCs w:val="20"/>
              </w:rPr>
            </w:pPr>
            <w:r>
              <w:rPr>
                <w:color w:val="515253"/>
                <w:sz w:val="20"/>
                <w:szCs w:val="20"/>
              </w:rPr>
              <w:t xml:space="preserve">Quality assurance process for the debtors be strengthened at the year-end. If all supporting documentation relevant to the debtor being accrued, </w:t>
            </w:r>
            <w:proofErr w:type="spellStart"/>
            <w:r>
              <w:rPr>
                <w:color w:val="515253"/>
                <w:sz w:val="20"/>
                <w:szCs w:val="20"/>
              </w:rPr>
              <w:t>eg</w:t>
            </w:r>
            <w:proofErr w:type="spellEnd"/>
            <w:r>
              <w:rPr>
                <w:color w:val="515253"/>
                <w:sz w:val="20"/>
                <w:szCs w:val="20"/>
              </w:rPr>
              <w:t xml:space="preserve"> grant award letter, amounts received, etc was retained with the debtor calculation and journal, this would enhance the quality assurance process. </w:t>
            </w:r>
          </w:p>
        </w:tc>
        <w:tc>
          <w:tcPr>
            <w:tcW w:w="4536" w:type="dxa"/>
            <w:tcBorders>
              <w:top w:val="single" w:sz="4" w:space="0" w:color="auto"/>
              <w:left w:val="single" w:sz="4" w:space="0" w:color="auto"/>
              <w:bottom w:val="single" w:sz="4" w:space="0" w:color="auto"/>
              <w:right w:val="single" w:sz="4" w:space="0" w:color="auto"/>
            </w:tcBorders>
          </w:tcPr>
          <w:p w14:paraId="73C1AADB" w14:textId="77777777" w:rsidR="00BF3316" w:rsidRDefault="00BF3316" w:rsidP="00BF3316">
            <w:pPr>
              <w:pStyle w:val="Default"/>
              <w:spacing w:before="120" w:after="120"/>
              <w:rPr>
                <w:color w:val="515253"/>
                <w:sz w:val="20"/>
                <w:szCs w:val="20"/>
              </w:rPr>
            </w:pPr>
            <w:r>
              <w:rPr>
                <w:color w:val="515253"/>
                <w:sz w:val="20"/>
                <w:szCs w:val="20"/>
              </w:rPr>
              <w:t xml:space="preserve">As noted at the September JAC meeting, a full review of debtors and income accruals will be carried out prior to and as part of the 2022-23 year-end closedown process. Staff have already been briefed in November to attach additional supporting documentation to income and expenditure accruals within the finance system. </w:t>
            </w:r>
          </w:p>
          <w:p w14:paraId="5E148933" w14:textId="77777777" w:rsidR="00BF3316" w:rsidRPr="00F31D5A" w:rsidRDefault="00BF3316" w:rsidP="00BF3316">
            <w:pPr>
              <w:pStyle w:val="Default"/>
              <w:spacing w:before="120" w:after="120"/>
              <w:rPr>
                <w:b/>
                <w:bCs/>
                <w:color w:val="515253"/>
                <w:sz w:val="20"/>
                <w:szCs w:val="20"/>
              </w:rPr>
            </w:pPr>
            <w:r w:rsidRPr="00F31D5A">
              <w:rPr>
                <w:b/>
                <w:bCs/>
                <w:color w:val="515253"/>
                <w:sz w:val="20"/>
                <w:szCs w:val="20"/>
              </w:rPr>
              <w:t>UPDATE – February 2023:</w:t>
            </w:r>
          </w:p>
          <w:p w14:paraId="2D138F06" w14:textId="5B15CC63" w:rsidR="00BF3316" w:rsidRDefault="00BF3316" w:rsidP="00BF3316">
            <w:pPr>
              <w:pStyle w:val="Default"/>
              <w:spacing w:before="120" w:after="120"/>
              <w:rPr>
                <w:color w:val="515253"/>
                <w:sz w:val="20"/>
                <w:szCs w:val="20"/>
              </w:rPr>
            </w:pPr>
            <w:r w:rsidRPr="00F31D5A">
              <w:rPr>
                <w:b/>
                <w:bCs/>
                <w:color w:val="515253"/>
                <w:sz w:val="20"/>
                <w:szCs w:val="20"/>
              </w:rPr>
              <w:t>Staff re-briefed in February 2023 for year</w:t>
            </w:r>
            <w:r w:rsidR="00F31D5A">
              <w:rPr>
                <w:b/>
                <w:bCs/>
                <w:color w:val="515253"/>
                <w:sz w:val="20"/>
                <w:szCs w:val="20"/>
              </w:rPr>
              <w:t>-</w:t>
            </w:r>
            <w:r w:rsidRPr="00F31D5A">
              <w:rPr>
                <w:b/>
                <w:bCs/>
                <w:color w:val="515253"/>
                <w:sz w:val="20"/>
                <w:szCs w:val="20"/>
              </w:rPr>
              <w:t xml:space="preserve">end accounts closedown </w:t>
            </w:r>
            <w:r w:rsidR="00E2145C" w:rsidRPr="00F31D5A">
              <w:rPr>
                <w:b/>
                <w:bCs/>
                <w:color w:val="515253"/>
                <w:sz w:val="20"/>
                <w:szCs w:val="20"/>
              </w:rPr>
              <w:t xml:space="preserve">– </w:t>
            </w:r>
            <w:r w:rsidR="00F31D5A">
              <w:rPr>
                <w:b/>
                <w:bCs/>
                <w:color w:val="515253"/>
                <w:sz w:val="20"/>
                <w:szCs w:val="20"/>
              </w:rPr>
              <w:t>C</w:t>
            </w:r>
            <w:r w:rsidR="00E2145C" w:rsidRPr="00F31D5A">
              <w:rPr>
                <w:b/>
                <w:bCs/>
                <w:color w:val="515253"/>
                <w:sz w:val="20"/>
                <w:szCs w:val="20"/>
              </w:rPr>
              <w:t>omplete</w:t>
            </w:r>
          </w:p>
        </w:tc>
      </w:tr>
      <w:tr w:rsidR="00BF3316" w14:paraId="7D6D8D17" w14:textId="77777777" w:rsidTr="00DD116F">
        <w:trPr>
          <w:trHeight w:val="737"/>
        </w:trPr>
        <w:tc>
          <w:tcPr>
            <w:tcW w:w="4503" w:type="dxa"/>
            <w:tcBorders>
              <w:top w:val="single" w:sz="4" w:space="0" w:color="auto"/>
              <w:left w:val="single" w:sz="4" w:space="0" w:color="auto"/>
              <w:bottom w:val="single" w:sz="4" w:space="0" w:color="auto"/>
              <w:right w:val="single" w:sz="4" w:space="0" w:color="auto"/>
            </w:tcBorders>
          </w:tcPr>
          <w:p w14:paraId="7C4A3D37" w14:textId="77777777" w:rsidR="00BF3316" w:rsidRDefault="00BF3316" w:rsidP="00BF3316">
            <w:pPr>
              <w:pStyle w:val="Default"/>
              <w:spacing w:before="120" w:after="120"/>
              <w:rPr>
                <w:color w:val="515253"/>
                <w:sz w:val="20"/>
                <w:szCs w:val="20"/>
              </w:rPr>
            </w:pPr>
            <w:r>
              <w:rPr>
                <w:b/>
                <w:bCs/>
                <w:color w:val="515253"/>
                <w:sz w:val="20"/>
                <w:szCs w:val="20"/>
              </w:rPr>
              <w:t xml:space="preserve">Inventory was incomplete </w:t>
            </w:r>
          </w:p>
          <w:p w14:paraId="471B53DA" w14:textId="77777777" w:rsidR="00BF3316" w:rsidRDefault="00BF3316" w:rsidP="00BF3316">
            <w:pPr>
              <w:pStyle w:val="Default"/>
              <w:spacing w:before="120" w:after="120"/>
              <w:rPr>
                <w:color w:val="515253"/>
                <w:sz w:val="20"/>
                <w:szCs w:val="20"/>
              </w:rPr>
            </w:pPr>
            <w:r>
              <w:rPr>
                <w:color w:val="515253"/>
                <w:sz w:val="20"/>
                <w:szCs w:val="20"/>
              </w:rPr>
              <w:t xml:space="preserve">Donated PPE stock had not been included in the inventory amounts in the accounts. </w:t>
            </w:r>
          </w:p>
        </w:tc>
        <w:tc>
          <w:tcPr>
            <w:tcW w:w="4677" w:type="dxa"/>
            <w:tcBorders>
              <w:top w:val="single" w:sz="4" w:space="0" w:color="auto"/>
              <w:left w:val="single" w:sz="4" w:space="0" w:color="auto"/>
              <w:bottom w:val="single" w:sz="4" w:space="0" w:color="auto"/>
              <w:right w:val="single" w:sz="4" w:space="0" w:color="auto"/>
            </w:tcBorders>
          </w:tcPr>
          <w:p w14:paraId="7E6CA92F" w14:textId="77777777" w:rsidR="00BF3316" w:rsidRDefault="00BF3316" w:rsidP="00BF3316">
            <w:pPr>
              <w:pStyle w:val="Default"/>
              <w:spacing w:before="120" w:after="120"/>
              <w:rPr>
                <w:color w:val="515253"/>
                <w:sz w:val="20"/>
                <w:szCs w:val="20"/>
              </w:rPr>
            </w:pPr>
            <w:r>
              <w:rPr>
                <w:color w:val="515253"/>
                <w:sz w:val="20"/>
                <w:szCs w:val="20"/>
              </w:rPr>
              <w:t xml:space="preserve">A stock take be undertaken of all PPE, including donated PPE, so that all stock held by the force is reflected in the financial statements. </w:t>
            </w:r>
          </w:p>
        </w:tc>
        <w:tc>
          <w:tcPr>
            <w:tcW w:w="4536" w:type="dxa"/>
            <w:tcBorders>
              <w:top w:val="single" w:sz="4" w:space="0" w:color="auto"/>
              <w:left w:val="single" w:sz="4" w:space="0" w:color="auto"/>
              <w:bottom w:val="single" w:sz="4" w:space="0" w:color="auto"/>
              <w:right w:val="single" w:sz="4" w:space="0" w:color="auto"/>
            </w:tcBorders>
          </w:tcPr>
          <w:p w14:paraId="0DEE66A2" w14:textId="77777777" w:rsidR="00BF3316" w:rsidRDefault="00BF3316" w:rsidP="00BF3316">
            <w:pPr>
              <w:pStyle w:val="Default"/>
              <w:spacing w:before="120" w:after="120"/>
              <w:rPr>
                <w:color w:val="585858"/>
                <w:sz w:val="20"/>
                <w:szCs w:val="20"/>
              </w:rPr>
            </w:pPr>
            <w:r>
              <w:rPr>
                <w:color w:val="585858"/>
                <w:sz w:val="20"/>
                <w:szCs w:val="20"/>
              </w:rPr>
              <w:t xml:space="preserve">This relates to PPE procured on behalf of public sector organisations by the NHS during the COVID pandemic and provided to Gwent Police. The force’s Covid Hub has now been disbanded, remaining stocks transferred to Stores, and will be included in stock balances for 2022-23. </w:t>
            </w:r>
          </w:p>
          <w:p w14:paraId="676DCA23" w14:textId="77777777" w:rsidR="00E2145C" w:rsidRPr="00F31D5A" w:rsidRDefault="00E2145C" w:rsidP="00BF3316">
            <w:pPr>
              <w:pStyle w:val="Default"/>
              <w:spacing w:before="120" w:after="120"/>
              <w:rPr>
                <w:b/>
                <w:bCs/>
                <w:color w:val="585858"/>
                <w:sz w:val="20"/>
                <w:szCs w:val="20"/>
              </w:rPr>
            </w:pPr>
            <w:r w:rsidRPr="00F31D5A">
              <w:rPr>
                <w:b/>
                <w:bCs/>
                <w:color w:val="585858"/>
                <w:sz w:val="20"/>
                <w:szCs w:val="20"/>
              </w:rPr>
              <w:t>UPDATE – February 2023:</w:t>
            </w:r>
          </w:p>
          <w:p w14:paraId="29A36BDC" w14:textId="57E3E3F3" w:rsidR="00E2145C" w:rsidRDefault="00F31D5A" w:rsidP="00BF3316">
            <w:pPr>
              <w:pStyle w:val="Default"/>
              <w:spacing w:before="120" w:after="120"/>
              <w:rPr>
                <w:color w:val="585858"/>
                <w:sz w:val="20"/>
                <w:szCs w:val="20"/>
              </w:rPr>
            </w:pPr>
            <w:r w:rsidRPr="00F31D5A">
              <w:rPr>
                <w:b/>
                <w:bCs/>
                <w:color w:val="585858"/>
                <w:sz w:val="20"/>
                <w:szCs w:val="20"/>
              </w:rPr>
              <w:t>PPE orders tracked in-year and will be included in stocktake</w:t>
            </w:r>
            <w:r>
              <w:rPr>
                <w:b/>
                <w:bCs/>
                <w:color w:val="585858"/>
                <w:sz w:val="20"/>
                <w:szCs w:val="20"/>
              </w:rPr>
              <w:t xml:space="preserve"> in </w:t>
            </w:r>
            <w:r w:rsidR="00E92041">
              <w:rPr>
                <w:b/>
                <w:bCs/>
                <w:color w:val="585858"/>
                <w:sz w:val="20"/>
                <w:szCs w:val="20"/>
              </w:rPr>
              <w:t>February</w:t>
            </w:r>
            <w:r w:rsidR="00260CBC">
              <w:rPr>
                <w:b/>
                <w:bCs/>
                <w:color w:val="585858"/>
                <w:sz w:val="20"/>
                <w:szCs w:val="20"/>
              </w:rPr>
              <w:t>/March</w:t>
            </w:r>
            <w:r w:rsidR="00E92041">
              <w:rPr>
                <w:b/>
                <w:bCs/>
                <w:color w:val="585858"/>
                <w:sz w:val="20"/>
                <w:szCs w:val="20"/>
              </w:rPr>
              <w:t xml:space="preserve"> </w:t>
            </w:r>
            <w:r>
              <w:rPr>
                <w:b/>
                <w:bCs/>
                <w:color w:val="585858"/>
                <w:sz w:val="20"/>
                <w:szCs w:val="20"/>
              </w:rPr>
              <w:t xml:space="preserve">2023 for year-end accounts. Balance unlikely to be material </w:t>
            </w:r>
            <w:r w:rsidRPr="00F31D5A">
              <w:rPr>
                <w:b/>
                <w:bCs/>
                <w:color w:val="585858"/>
                <w:sz w:val="20"/>
                <w:szCs w:val="20"/>
              </w:rPr>
              <w:t>- Complete</w:t>
            </w:r>
          </w:p>
        </w:tc>
      </w:tr>
      <w:tr w:rsidR="00BF3316" w14:paraId="043B4AAD" w14:textId="77777777" w:rsidTr="00DD116F">
        <w:trPr>
          <w:trHeight w:val="737"/>
        </w:trPr>
        <w:tc>
          <w:tcPr>
            <w:tcW w:w="4503" w:type="dxa"/>
            <w:tcBorders>
              <w:top w:val="single" w:sz="4" w:space="0" w:color="auto"/>
              <w:left w:val="single" w:sz="4" w:space="0" w:color="auto"/>
              <w:bottom w:val="single" w:sz="4" w:space="0" w:color="auto"/>
              <w:right w:val="single" w:sz="4" w:space="0" w:color="auto"/>
            </w:tcBorders>
          </w:tcPr>
          <w:p w14:paraId="3AE51E29" w14:textId="77777777" w:rsidR="00BF3316" w:rsidRPr="00BF3316" w:rsidRDefault="00BF3316" w:rsidP="00BF3316">
            <w:pPr>
              <w:pStyle w:val="Default"/>
              <w:spacing w:before="120" w:after="120"/>
              <w:rPr>
                <w:b/>
                <w:bCs/>
                <w:color w:val="515253"/>
                <w:sz w:val="20"/>
                <w:szCs w:val="20"/>
              </w:rPr>
            </w:pPr>
            <w:r>
              <w:rPr>
                <w:b/>
                <w:bCs/>
                <w:color w:val="515253"/>
                <w:sz w:val="20"/>
                <w:szCs w:val="20"/>
              </w:rPr>
              <w:lastRenderedPageBreak/>
              <w:t xml:space="preserve">Cash-flow statement was incomplete </w:t>
            </w:r>
          </w:p>
          <w:p w14:paraId="02C2E4E3" w14:textId="77777777" w:rsidR="00BF3316" w:rsidRPr="00F31D5A" w:rsidRDefault="00BF3316" w:rsidP="00BF3316">
            <w:pPr>
              <w:pStyle w:val="Default"/>
              <w:spacing w:before="120" w:after="120"/>
              <w:rPr>
                <w:color w:val="515253"/>
                <w:sz w:val="20"/>
                <w:szCs w:val="20"/>
              </w:rPr>
            </w:pPr>
            <w:r w:rsidRPr="00F31D5A">
              <w:rPr>
                <w:color w:val="515253"/>
                <w:sz w:val="20"/>
                <w:szCs w:val="20"/>
              </w:rPr>
              <w:t xml:space="preserve">Intangible fixed asset additions had not been included in the calculation for the Cash Flow investing activities. </w:t>
            </w:r>
          </w:p>
        </w:tc>
        <w:tc>
          <w:tcPr>
            <w:tcW w:w="4677" w:type="dxa"/>
            <w:tcBorders>
              <w:top w:val="single" w:sz="4" w:space="0" w:color="auto"/>
              <w:left w:val="single" w:sz="4" w:space="0" w:color="auto"/>
              <w:bottom w:val="single" w:sz="4" w:space="0" w:color="auto"/>
              <w:right w:val="single" w:sz="4" w:space="0" w:color="auto"/>
            </w:tcBorders>
          </w:tcPr>
          <w:p w14:paraId="09D391B7" w14:textId="77777777" w:rsidR="00BF3316" w:rsidRDefault="00BF3316" w:rsidP="00BF3316">
            <w:pPr>
              <w:pStyle w:val="Default"/>
              <w:spacing w:before="120" w:after="120"/>
              <w:rPr>
                <w:color w:val="515253"/>
                <w:sz w:val="20"/>
                <w:szCs w:val="20"/>
              </w:rPr>
            </w:pPr>
            <w:r>
              <w:rPr>
                <w:color w:val="515253"/>
                <w:sz w:val="20"/>
                <w:szCs w:val="20"/>
              </w:rPr>
              <w:t xml:space="preserve">Quality assurance process for the cashflow be strengthened at the year-end. </w:t>
            </w:r>
          </w:p>
        </w:tc>
        <w:tc>
          <w:tcPr>
            <w:tcW w:w="4536" w:type="dxa"/>
            <w:tcBorders>
              <w:top w:val="single" w:sz="4" w:space="0" w:color="auto"/>
              <w:left w:val="single" w:sz="4" w:space="0" w:color="auto"/>
              <w:bottom w:val="single" w:sz="4" w:space="0" w:color="auto"/>
              <w:right w:val="single" w:sz="4" w:space="0" w:color="auto"/>
            </w:tcBorders>
          </w:tcPr>
          <w:p w14:paraId="2301662F" w14:textId="77777777" w:rsidR="00BF3316" w:rsidRDefault="00BF3316" w:rsidP="00BF3316">
            <w:pPr>
              <w:pStyle w:val="Default"/>
              <w:spacing w:before="120" w:after="120"/>
              <w:rPr>
                <w:color w:val="585858"/>
                <w:sz w:val="20"/>
                <w:szCs w:val="20"/>
              </w:rPr>
            </w:pPr>
            <w:r>
              <w:rPr>
                <w:color w:val="585858"/>
                <w:sz w:val="20"/>
                <w:szCs w:val="20"/>
              </w:rPr>
              <w:t xml:space="preserve">Noted and will be addressed as part of the year-end closedown process for the 2022-23 accounts. </w:t>
            </w:r>
          </w:p>
          <w:p w14:paraId="119517F8" w14:textId="77777777" w:rsidR="00F31D5A" w:rsidRPr="00F31D5A" w:rsidRDefault="00F31D5A" w:rsidP="00BF3316">
            <w:pPr>
              <w:pStyle w:val="Default"/>
              <w:spacing w:before="120" w:after="120"/>
              <w:rPr>
                <w:b/>
                <w:bCs/>
                <w:color w:val="585858"/>
                <w:sz w:val="20"/>
                <w:szCs w:val="20"/>
              </w:rPr>
            </w:pPr>
            <w:r w:rsidRPr="00F31D5A">
              <w:rPr>
                <w:b/>
                <w:bCs/>
                <w:color w:val="585858"/>
                <w:sz w:val="20"/>
                <w:szCs w:val="20"/>
              </w:rPr>
              <w:t xml:space="preserve">UPDATE – February 2023: </w:t>
            </w:r>
          </w:p>
          <w:p w14:paraId="1489C445" w14:textId="3D871677" w:rsidR="00F31D5A" w:rsidRDefault="00F31D5A" w:rsidP="00BF3316">
            <w:pPr>
              <w:pStyle w:val="Default"/>
              <w:spacing w:before="120" w:after="120"/>
              <w:rPr>
                <w:color w:val="585858"/>
                <w:sz w:val="20"/>
                <w:szCs w:val="20"/>
              </w:rPr>
            </w:pPr>
            <w:r w:rsidRPr="00F31D5A">
              <w:rPr>
                <w:b/>
                <w:bCs/>
                <w:color w:val="585858"/>
                <w:sz w:val="20"/>
                <w:szCs w:val="20"/>
              </w:rPr>
              <w:t>Year-end procedures updated, and additional staff training provided - Complete</w:t>
            </w:r>
          </w:p>
        </w:tc>
      </w:tr>
      <w:tr w:rsidR="00BF3316" w14:paraId="573DD989" w14:textId="77777777" w:rsidTr="00DD116F">
        <w:trPr>
          <w:trHeight w:val="737"/>
        </w:trPr>
        <w:tc>
          <w:tcPr>
            <w:tcW w:w="4503" w:type="dxa"/>
            <w:tcBorders>
              <w:top w:val="single" w:sz="4" w:space="0" w:color="auto"/>
              <w:left w:val="single" w:sz="4" w:space="0" w:color="auto"/>
              <w:bottom w:val="single" w:sz="4" w:space="0" w:color="auto"/>
              <w:right w:val="single" w:sz="4" w:space="0" w:color="auto"/>
            </w:tcBorders>
          </w:tcPr>
          <w:p w14:paraId="71AC7B3D" w14:textId="77777777" w:rsidR="00BF3316" w:rsidRPr="00BF3316" w:rsidRDefault="00BF3316" w:rsidP="00BF3316">
            <w:pPr>
              <w:pStyle w:val="Default"/>
              <w:spacing w:before="120" w:after="120"/>
              <w:rPr>
                <w:b/>
                <w:bCs/>
                <w:color w:val="515253"/>
                <w:sz w:val="20"/>
                <w:szCs w:val="20"/>
              </w:rPr>
            </w:pPr>
            <w:r>
              <w:rPr>
                <w:b/>
                <w:bCs/>
                <w:color w:val="515253"/>
                <w:sz w:val="20"/>
                <w:szCs w:val="20"/>
              </w:rPr>
              <w:t xml:space="preserve">Incorrect classification of account payables </w:t>
            </w:r>
          </w:p>
          <w:p w14:paraId="0100D80D" w14:textId="77777777" w:rsidR="00BF3316" w:rsidRPr="00BF3316" w:rsidRDefault="00BF3316" w:rsidP="00BF3316">
            <w:pPr>
              <w:pStyle w:val="Default"/>
              <w:spacing w:before="120" w:after="120"/>
              <w:rPr>
                <w:b/>
                <w:bCs/>
                <w:color w:val="515253"/>
                <w:sz w:val="20"/>
                <w:szCs w:val="20"/>
              </w:rPr>
            </w:pPr>
            <w:r w:rsidRPr="00F31D5A">
              <w:rPr>
                <w:color w:val="515253"/>
                <w:sz w:val="20"/>
                <w:szCs w:val="20"/>
              </w:rPr>
              <w:t>There was an issue with trade payables being classified as other payables at the year-end</w:t>
            </w:r>
            <w:r w:rsidRPr="00BF3316">
              <w:rPr>
                <w:b/>
                <w:bCs/>
                <w:color w:val="515253"/>
                <w:sz w:val="20"/>
                <w:szCs w:val="20"/>
              </w:rPr>
              <w:t xml:space="preserve">. </w:t>
            </w:r>
          </w:p>
        </w:tc>
        <w:tc>
          <w:tcPr>
            <w:tcW w:w="4677" w:type="dxa"/>
            <w:tcBorders>
              <w:top w:val="single" w:sz="4" w:space="0" w:color="auto"/>
              <w:left w:val="single" w:sz="4" w:space="0" w:color="auto"/>
              <w:bottom w:val="single" w:sz="4" w:space="0" w:color="auto"/>
              <w:right w:val="single" w:sz="4" w:space="0" w:color="auto"/>
            </w:tcBorders>
          </w:tcPr>
          <w:p w14:paraId="186D106A" w14:textId="77777777" w:rsidR="00BF3316" w:rsidRDefault="00BF3316" w:rsidP="00BF3316">
            <w:pPr>
              <w:pStyle w:val="Default"/>
              <w:spacing w:before="120" w:after="120"/>
              <w:rPr>
                <w:color w:val="515253"/>
                <w:sz w:val="20"/>
                <w:szCs w:val="20"/>
              </w:rPr>
            </w:pPr>
            <w:r>
              <w:rPr>
                <w:color w:val="515253"/>
                <w:sz w:val="20"/>
                <w:szCs w:val="20"/>
              </w:rPr>
              <w:t xml:space="preserve">The mapping of creditor ledger codes be reviewed to ensure that creditors ledger codes are appropriately classified in the financial statements. </w:t>
            </w:r>
          </w:p>
        </w:tc>
        <w:tc>
          <w:tcPr>
            <w:tcW w:w="4536" w:type="dxa"/>
            <w:tcBorders>
              <w:top w:val="single" w:sz="4" w:space="0" w:color="auto"/>
              <w:left w:val="single" w:sz="4" w:space="0" w:color="auto"/>
              <w:bottom w:val="single" w:sz="4" w:space="0" w:color="auto"/>
              <w:right w:val="single" w:sz="4" w:space="0" w:color="auto"/>
            </w:tcBorders>
          </w:tcPr>
          <w:p w14:paraId="776C1DFC" w14:textId="77777777" w:rsidR="00BF3316" w:rsidRDefault="00BF3316" w:rsidP="00BF3316">
            <w:pPr>
              <w:pStyle w:val="Default"/>
              <w:spacing w:before="120" w:after="120"/>
              <w:rPr>
                <w:color w:val="585858"/>
                <w:sz w:val="20"/>
                <w:szCs w:val="20"/>
              </w:rPr>
            </w:pPr>
            <w:r>
              <w:rPr>
                <w:color w:val="585858"/>
                <w:sz w:val="20"/>
                <w:szCs w:val="20"/>
              </w:rPr>
              <w:t xml:space="preserve">The draft accounts were produced using the same classification as the prior-year audited accounts to ensure comparability. This was subsequently changed following audit request, and this new classification will now be maintained for the 2022-23 accounts. </w:t>
            </w:r>
          </w:p>
          <w:p w14:paraId="3BBBE2BD" w14:textId="4119260F" w:rsidR="00F31D5A" w:rsidRPr="00F31D5A" w:rsidRDefault="00F31D5A" w:rsidP="00BF3316">
            <w:pPr>
              <w:pStyle w:val="Default"/>
              <w:spacing w:before="120" w:after="120"/>
              <w:rPr>
                <w:b/>
                <w:bCs/>
                <w:color w:val="585858"/>
                <w:sz w:val="20"/>
                <w:szCs w:val="20"/>
              </w:rPr>
            </w:pPr>
            <w:r w:rsidRPr="00F31D5A">
              <w:rPr>
                <w:b/>
                <w:bCs/>
                <w:color w:val="585858"/>
                <w:sz w:val="20"/>
                <w:szCs w:val="20"/>
              </w:rPr>
              <w:t xml:space="preserve">UPDATE – February 2023: </w:t>
            </w:r>
          </w:p>
          <w:p w14:paraId="2B1B73FF" w14:textId="5B1471FE" w:rsidR="00F31D5A" w:rsidRDefault="00F31D5A" w:rsidP="00F31D5A">
            <w:pPr>
              <w:pStyle w:val="Default"/>
              <w:spacing w:before="120" w:after="120"/>
              <w:rPr>
                <w:color w:val="585858"/>
                <w:sz w:val="20"/>
                <w:szCs w:val="20"/>
              </w:rPr>
            </w:pPr>
            <w:r w:rsidRPr="00F31D5A">
              <w:rPr>
                <w:b/>
                <w:bCs/>
                <w:color w:val="585858"/>
                <w:sz w:val="20"/>
                <w:szCs w:val="20"/>
              </w:rPr>
              <w:t>Finance team have confirmed with AW that accounts and all notes will be prepared using the same classification and basis as for 2021/22 year</w:t>
            </w:r>
            <w:r>
              <w:rPr>
                <w:b/>
                <w:bCs/>
                <w:color w:val="585858"/>
                <w:sz w:val="20"/>
                <w:szCs w:val="20"/>
              </w:rPr>
              <w:t>-</w:t>
            </w:r>
            <w:r w:rsidRPr="00F31D5A">
              <w:rPr>
                <w:b/>
                <w:bCs/>
                <w:color w:val="585858"/>
                <w:sz w:val="20"/>
                <w:szCs w:val="20"/>
              </w:rPr>
              <w:t>end</w:t>
            </w:r>
            <w:r>
              <w:rPr>
                <w:b/>
                <w:bCs/>
                <w:color w:val="585858"/>
                <w:sz w:val="20"/>
                <w:szCs w:val="20"/>
              </w:rPr>
              <w:t xml:space="preserve"> - Complete</w:t>
            </w:r>
          </w:p>
        </w:tc>
      </w:tr>
      <w:tr w:rsidR="00BF3316" w14:paraId="48E98747" w14:textId="77777777" w:rsidTr="00DD116F">
        <w:trPr>
          <w:trHeight w:val="143"/>
        </w:trPr>
        <w:tc>
          <w:tcPr>
            <w:tcW w:w="13716" w:type="dxa"/>
            <w:gridSpan w:val="3"/>
            <w:tcBorders>
              <w:top w:val="single" w:sz="4" w:space="0" w:color="auto"/>
              <w:left w:val="single" w:sz="4" w:space="0" w:color="auto"/>
              <w:bottom w:val="single" w:sz="4" w:space="0" w:color="auto"/>
              <w:right w:val="single" w:sz="4" w:space="0" w:color="auto"/>
            </w:tcBorders>
          </w:tcPr>
          <w:p w14:paraId="5374F50B" w14:textId="77777777" w:rsidR="00BF3316" w:rsidRDefault="00BF3316" w:rsidP="00BF3316">
            <w:pPr>
              <w:pStyle w:val="Default"/>
              <w:spacing w:before="120" w:after="120"/>
              <w:rPr>
                <w:color w:val="515253"/>
                <w:sz w:val="20"/>
                <w:szCs w:val="20"/>
              </w:rPr>
            </w:pPr>
            <w:r>
              <w:rPr>
                <w:b/>
                <w:bCs/>
                <w:color w:val="515253"/>
                <w:sz w:val="20"/>
                <w:szCs w:val="20"/>
              </w:rPr>
              <w:t xml:space="preserve">Housekeeping Matters </w:t>
            </w:r>
          </w:p>
        </w:tc>
      </w:tr>
      <w:tr w:rsidR="00BF3316" w14:paraId="11F3DD14" w14:textId="77777777" w:rsidTr="00DD116F">
        <w:trPr>
          <w:trHeight w:val="998"/>
        </w:trPr>
        <w:tc>
          <w:tcPr>
            <w:tcW w:w="4503" w:type="dxa"/>
            <w:tcBorders>
              <w:top w:val="single" w:sz="4" w:space="0" w:color="auto"/>
              <w:left w:val="single" w:sz="4" w:space="0" w:color="auto"/>
              <w:bottom w:val="single" w:sz="4" w:space="0" w:color="auto"/>
              <w:right w:val="single" w:sz="4" w:space="0" w:color="auto"/>
            </w:tcBorders>
          </w:tcPr>
          <w:p w14:paraId="41F7984B" w14:textId="77777777" w:rsidR="00BF3316" w:rsidRDefault="00BF3316" w:rsidP="00BF3316">
            <w:pPr>
              <w:pStyle w:val="Default"/>
              <w:spacing w:before="120" w:after="120"/>
              <w:rPr>
                <w:color w:val="515253"/>
                <w:sz w:val="20"/>
                <w:szCs w:val="20"/>
              </w:rPr>
            </w:pPr>
            <w:r>
              <w:rPr>
                <w:b/>
                <w:bCs/>
                <w:color w:val="515253"/>
                <w:sz w:val="20"/>
                <w:szCs w:val="20"/>
              </w:rPr>
              <w:t xml:space="preserve">Covert bank reconciliations were not completed at the right time </w:t>
            </w:r>
          </w:p>
          <w:p w14:paraId="529A457E" w14:textId="77777777" w:rsidR="00BF3316" w:rsidRDefault="00BF3316" w:rsidP="00BF3316">
            <w:pPr>
              <w:pStyle w:val="Default"/>
              <w:spacing w:before="120" w:after="120"/>
              <w:rPr>
                <w:color w:val="515253"/>
                <w:sz w:val="20"/>
                <w:szCs w:val="20"/>
              </w:rPr>
            </w:pPr>
            <w:r>
              <w:rPr>
                <w:color w:val="515253"/>
                <w:sz w:val="20"/>
                <w:szCs w:val="20"/>
              </w:rPr>
              <w:t xml:space="preserve">During our audit we noted that due to timing differences, the covert bank reconciliations did not include year-end journals and therefore did not reconcile to the general ledger and the balances within the financial statements. </w:t>
            </w:r>
          </w:p>
        </w:tc>
        <w:tc>
          <w:tcPr>
            <w:tcW w:w="4677" w:type="dxa"/>
            <w:tcBorders>
              <w:top w:val="single" w:sz="4" w:space="0" w:color="auto"/>
              <w:left w:val="single" w:sz="4" w:space="0" w:color="auto"/>
              <w:bottom w:val="single" w:sz="4" w:space="0" w:color="auto"/>
              <w:right w:val="single" w:sz="4" w:space="0" w:color="auto"/>
            </w:tcBorders>
          </w:tcPr>
          <w:p w14:paraId="0368E139" w14:textId="77777777" w:rsidR="00BF3316" w:rsidRDefault="00BF3316" w:rsidP="00BF3316">
            <w:pPr>
              <w:pStyle w:val="Default"/>
              <w:spacing w:before="120" w:after="120"/>
              <w:rPr>
                <w:color w:val="515253"/>
                <w:sz w:val="20"/>
                <w:szCs w:val="20"/>
              </w:rPr>
            </w:pPr>
            <w:r>
              <w:rPr>
                <w:color w:val="515253"/>
                <w:sz w:val="20"/>
                <w:szCs w:val="20"/>
              </w:rPr>
              <w:t xml:space="preserve">Ensure bank reconciliations are reviewed prior to sign-off to ensure they are complete and accurate. </w:t>
            </w:r>
          </w:p>
        </w:tc>
        <w:tc>
          <w:tcPr>
            <w:tcW w:w="4536" w:type="dxa"/>
            <w:tcBorders>
              <w:top w:val="single" w:sz="4" w:space="0" w:color="auto"/>
              <w:left w:val="single" w:sz="4" w:space="0" w:color="auto"/>
              <w:bottom w:val="single" w:sz="4" w:space="0" w:color="auto"/>
              <w:right w:val="single" w:sz="4" w:space="0" w:color="auto"/>
            </w:tcBorders>
          </w:tcPr>
          <w:p w14:paraId="76F94BDB" w14:textId="77777777" w:rsidR="00BF3316" w:rsidRDefault="00BF3316" w:rsidP="00BF3316">
            <w:pPr>
              <w:pStyle w:val="Default"/>
              <w:spacing w:before="120" w:after="120"/>
              <w:rPr>
                <w:color w:val="585858"/>
                <w:sz w:val="20"/>
                <w:szCs w:val="20"/>
              </w:rPr>
            </w:pPr>
            <w:r>
              <w:rPr>
                <w:color w:val="585858"/>
                <w:sz w:val="20"/>
                <w:szCs w:val="20"/>
              </w:rPr>
              <w:t xml:space="preserve">The covert bank account control account reconciliations were completed, but a bit too early in the closedown process. This was addressed subsequently and will be reinforced in the year-end closedown timetable for the 2022-23 accounts. </w:t>
            </w:r>
          </w:p>
          <w:p w14:paraId="7D2CC3D1" w14:textId="77777777" w:rsidR="00F31D5A" w:rsidRPr="00F31D5A" w:rsidRDefault="00F31D5A" w:rsidP="00BF3316">
            <w:pPr>
              <w:pStyle w:val="Default"/>
              <w:spacing w:before="120" w:after="120"/>
              <w:rPr>
                <w:b/>
                <w:bCs/>
                <w:color w:val="585858"/>
                <w:sz w:val="20"/>
                <w:szCs w:val="20"/>
              </w:rPr>
            </w:pPr>
            <w:r w:rsidRPr="00F31D5A">
              <w:rPr>
                <w:b/>
                <w:bCs/>
                <w:color w:val="585858"/>
                <w:sz w:val="20"/>
                <w:szCs w:val="20"/>
              </w:rPr>
              <w:t xml:space="preserve">UPDATE – February 2023: </w:t>
            </w:r>
          </w:p>
          <w:p w14:paraId="6994F124" w14:textId="662EFD09" w:rsidR="00F31D5A" w:rsidRDefault="00F31D5A" w:rsidP="00BF3316">
            <w:pPr>
              <w:pStyle w:val="Default"/>
              <w:spacing w:before="120" w:after="120"/>
              <w:rPr>
                <w:color w:val="585858"/>
                <w:sz w:val="20"/>
                <w:szCs w:val="20"/>
              </w:rPr>
            </w:pPr>
            <w:r w:rsidRPr="00F31D5A">
              <w:rPr>
                <w:b/>
                <w:bCs/>
                <w:color w:val="585858"/>
                <w:sz w:val="20"/>
                <w:szCs w:val="20"/>
              </w:rPr>
              <w:t>Staff reminded as part of the year-end accounts briefing in February 2023 – Complete</w:t>
            </w:r>
            <w:r>
              <w:rPr>
                <w:color w:val="585858"/>
                <w:sz w:val="20"/>
                <w:szCs w:val="20"/>
              </w:rPr>
              <w:t xml:space="preserve"> </w:t>
            </w:r>
          </w:p>
        </w:tc>
      </w:tr>
      <w:tr w:rsidR="00BF3316" w14:paraId="0E042B24" w14:textId="77777777" w:rsidTr="00DD116F">
        <w:trPr>
          <w:trHeight w:val="998"/>
        </w:trPr>
        <w:tc>
          <w:tcPr>
            <w:tcW w:w="4503" w:type="dxa"/>
            <w:tcBorders>
              <w:top w:val="single" w:sz="4" w:space="0" w:color="auto"/>
              <w:left w:val="single" w:sz="4" w:space="0" w:color="auto"/>
              <w:bottom w:val="single" w:sz="4" w:space="0" w:color="auto"/>
              <w:right w:val="single" w:sz="4" w:space="0" w:color="auto"/>
            </w:tcBorders>
          </w:tcPr>
          <w:p w14:paraId="53750A6D" w14:textId="77777777" w:rsidR="00BF3316" w:rsidRDefault="00BF3316" w:rsidP="00BF3316">
            <w:pPr>
              <w:pStyle w:val="Default"/>
              <w:spacing w:before="120" w:after="120"/>
              <w:rPr>
                <w:color w:val="515253"/>
                <w:sz w:val="20"/>
                <w:szCs w:val="20"/>
              </w:rPr>
            </w:pPr>
            <w:r>
              <w:rPr>
                <w:b/>
                <w:bCs/>
                <w:color w:val="515253"/>
                <w:sz w:val="20"/>
                <w:szCs w:val="20"/>
              </w:rPr>
              <w:lastRenderedPageBreak/>
              <w:t xml:space="preserve">Categorisation of some transactions was incorrect within the financial statements </w:t>
            </w:r>
          </w:p>
          <w:p w14:paraId="4C1DE059" w14:textId="77777777" w:rsidR="00BF3316" w:rsidRDefault="00BF3316" w:rsidP="00BF3316">
            <w:pPr>
              <w:pStyle w:val="Default"/>
              <w:spacing w:before="120" w:after="120"/>
              <w:rPr>
                <w:color w:val="515253"/>
                <w:sz w:val="20"/>
                <w:szCs w:val="20"/>
              </w:rPr>
            </w:pPr>
            <w:r>
              <w:rPr>
                <w:color w:val="515253"/>
                <w:sz w:val="20"/>
                <w:szCs w:val="20"/>
              </w:rPr>
              <w:t xml:space="preserve">Whilst desk notes have been prepared, there were a number of instances where categorisation of transactions was incorrect, however, this was a result of incorrect mapping which will be reviewed prior to the year-end. </w:t>
            </w:r>
          </w:p>
        </w:tc>
        <w:tc>
          <w:tcPr>
            <w:tcW w:w="4677" w:type="dxa"/>
            <w:tcBorders>
              <w:top w:val="single" w:sz="4" w:space="0" w:color="auto"/>
              <w:left w:val="single" w:sz="4" w:space="0" w:color="auto"/>
              <w:bottom w:val="single" w:sz="4" w:space="0" w:color="auto"/>
              <w:right w:val="single" w:sz="4" w:space="0" w:color="auto"/>
            </w:tcBorders>
          </w:tcPr>
          <w:p w14:paraId="31348DA0" w14:textId="77777777" w:rsidR="00BF3316" w:rsidRDefault="00BF3316" w:rsidP="00BF3316">
            <w:pPr>
              <w:pStyle w:val="Default"/>
              <w:spacing w:before="120" w:after="120"/>
              <w:rPr>
                <w:color w:val="515253"/>
                <w:sz w:val="20"/>
                <w:szCs w:val="20"/>
              </w:rPr>
            </w:pPr>
            <w:r>
              <w:rPr>
                <w:color w:val="515253"/>
                <w:sz w:val="20"/>
                <w:szCs w:val="20"/>
              </w:rPr>
              <w:t xml:space="preserve">Revisit and refresh mapping of balances to confirm categorisation is appropriate within the financial statements. </w:t>
            </w:r>
          </w:p>
        </w:tc>
        <w:tc>
          <w:tcPr>
            <w:tcW w:w="4536" w:type="dxa"/>
            <w:tcBorders>
              <w:top w:val="single" w:sz="4" w:space="0" w:color="auto"/>
              <w:left w:val="single" w:sz="4" w:space="0" w:color="auto"/>
              <w:bottom w:val="single" w:sz="4" w:space="0" w:color="auto"/>
              <w:right w:val="single" w:sz="4" w:space="0" w:color="auto"/>
            </w:tcBorders>
          </w:tcPr>
          <w:p w14:paraId="3C6D2DD5" w14:textId="77777777" w:rsidR="00BF3316" w:rsidRDefault="00BF3316" w:rsidP="00BF3316">
            <w:pPr>
              <w:pStyle w:val="Default"/>
              <w:spacing w:before="120" w:after="120"/>
              <w:rPr>
                <w:color w:val="585858"/>
                <w:sz w:val="20"/>
                <w:szCs w:val="20"/>
              </w:rPr>
            </w:pPr>
            <w:r>
              <w:rPr>
                <w:color w:val="585858"/>
                <w:sz w:val="20"/>
                <w:szCs w:val="20"/>
              </w:rPr>
              <w:t xml:space="preserve">The draft accounts were produced using the same classification as the prior-year audited accounts to ensure comparability. This was subsequently changed following audit request, and this new classification will now be maintained for the 2022-23 accounts. </w:t>
            </w:r>
          </w:p>
          <w:p w14:paraId="4E343339" w14:textId="77777777" w:rsidR="00F31D5A" w:rsidRPr="00F31D5A" w:rsidRDefault="00F31D5A" w:rsidP="00BF3316">
            <w:pPr>
              <w:pStyle w:val="Default"/>
              <w:spacing w:before="120" w:after="120"/>
              <w:rPr>
                <w:b/>
                <w:bCs/>
                <w:color w:val="585858"/>
                <w:sz w:val="20"/>
                <w:szCs w:val="20"/>
              </w:rPr>
            </w:pPr>
            <w:r w:rsidRPr="00F31D5A">
              <w:rPr>
                <w:b/>
                <w:bCs/>
                <w:color w:val="585858"/>
                <w:sz w:val="20"/>
                <w:szCs w:val="20"/>
              </w:rPr>
              <w:t xml:space="preserve">UPDATE – February 2023: </w:t>
            </w:r>
          </w:p>
          <w:p w14:paraId="4829FE0E" w14:textId="1B59B76F" w:rsidR="00F31D5A" w:rsidRDefault="00F31D5A" w:rsidP="00BF3316">
            <w:pPr>
              <w:pStyle w:val="Default"/>
              <w:spacing w:before="120" w:after="120"/>
              <w:rPr>
                <w:color w:val="585858"/>
                <w:sz w:val="20"/>
                <w:szCs w:val="20"/>
              </w:rPr>
            </w:pPr>
            <w:r w:rsidRPr="00F31D5A">
              <w:rPr>
                <w:b/>
                <w:bCs/>
                <w:color w:val="585858"/>
                <w:sz w:val="20"/>
                <w:szCs w:val="20"/>
              </w:rPr>
              <w:t>Finance team have confirmed with AW that accounts and all notes will be prepared using the same classification and basis as for 2021/22 year</w:t>
            </w:r>
            <w:r>
              <w:rPr>
                <w:b/>
                <w:bCs/>
                <w:color w:val="585858"/>
                <w:sz w:val="20"/>
                <w:szCs w:val="20"/>
              </w:rPr>
              <w:t>-</w:t>
            </w:r>
            <w:r w:rsidRPr="00F31D5A">
              <w:rPr>
                <w:b/>
                <w:bCs/>
                <w:color w:val="585858"/>
                <w:sz w:val="20"/>
                <w:szCs w:val="20"/>
              </w:rPr>
              <w:t>end</w:t>
            </w:r>
            <w:r>
              <w:rPr>
                <w:b/>
                <w:bCs/>
                <w:color w:val="585858"/>
                <w:sz w:val="20"/>
                <w:szCs w:val="20"/>
              </w:rPr>
              <w:t xml:space="preserve"> - Complete</w:t>
            </w:r>
          </w:p>
        </w:tc>
      </w:tr>
    </w:tbl>
    <w:p w14:paraId="48567D91" w14:textId="1DAFE210" w:rsidR="00DD116F" w:rsidRDefault="00DD116F"/>
    <w:p w14:paraId="7F803874" w14:textId="77777777" w:rsidR="00DD116F" w:rsidRDefault="00DD116F">
      <w:r>
        <w:br w:type="page"/>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70"/>
        <w:gridCol w:w="3170"/>
        <w:gridCol w:w="2840"/>
        <w:gridCol w:w="4536"/>
      </w:tblGrid>
      <w:tr w:rsidR="00BF3316" w14:paraId="7333EF66" w14:textId="77777777" w:rsidTr="00DD116F">
        <w:trPr>
          <w:trHeight w:val="731"/>
        </w:trPr>
        <w:tc>
          <w:tcPr>
            <w:tcW w:w="3170" w:type="dxa"/>
            <w:tcBorders>
              <w:top w:val="single" w:sz="4" w:space="0" w:color="auto"/>
              <w:left w:val="single" w:sz="4" w:space="0" w:color="auto"/>
              <w:bottom w:val="single" w:sz="4" w:space="0" w:color="auto"/>
              <w:right w:val="single" w:sz="4" w:space="0" w:color="auto"/>
            </w:tcBorders>
          </w:tcPr>
          <w:p w14:paraId="00BBB588" w14:textId="4D05BF09" w:rsidR="00BF3316" w:rsidRDefault="00BF3316" w:rsidP="00BF3316">
            <w:pPr>
              <w:pStyle w:val="Default"/>
              <w:rPr>
                <w:b/>
                <w:bCs/>
                <w:color w:val="515253"/>
                <w:sz w:val="20"/>
                <w:szCs w:val="20"/>
              </w:rPr>
            </w:pPr>
            <w:r>
              <w:rPr>
                <w:b/>
                <w:bCs/>
                <w:color w:val="515253"/>
                <w:sz w:val="20"/>
                <w:szCs w:val="20"/>
              </w:rPr>
              <w:lastRenderedPageBreak/>
              <w:t xml:space="preserve">For management to consider </w:t>
            </w:r>
          </w:p>
        </w:tc>
        <w:tc>
          <w:tcPr>
            <w:tcW w:w="3170" w:type="dxa"/>
            <w:tcBorders>
              <w:top w:val="single" w:sz="4" w:space="0" w:color="auto"/>
              <w:left w:val="single" w:sz="4" w:space="0" w:color="auto"/>
              <w:bottom w:val="single" w:sz="4" w:space="0" w:color="auto"/>
              <w:right w:val="single" w:sz="4" w:space="0" w:color="auto"/>
            </w:tcBorders>
          </w:tcPr>
          <w:p w14:paraId="3C2FE578" w14:textId="707E8FE3" w:rsidR="00BF3316" w:rsidRDefault="00BF3316" w:rsidP="00BF3316">
            <w:pPr>
              <w:pStyle w:val="Default"/>
              <w:rPr>
                <w:color w:val="515253"/>
                <w:sz w:val="20"/>
                <w:szCs w:val="20"/>
              </w:rPr>
            </w:pPr>
            <w:r>
              <w:rPr>
                <w:b/>
                <w:bCs/>
                <w:color w:val="515253"/>
                <w:sz w:val="20"/>
                <w:szCs w:val="20"/>
              </w:rPr>
              <w:t xml:space="preserve">Management response </w:t>
            </w:r>
          </w:p>
        </w:tc>
        <w:tc>
          <w:tcPr>
            <w:tcW w:w="2840" w:type="dxa"/>
            <w:tcBorders>
              <w:top w:val="single" w:sz="4" w:space="0" w:color="auto"/>
              <w:left w:val="single" w:sz="4" w:space="0" w:color="auto"/>
              <w:bottom w:val="single" w:sz="4" w:space="0" w:color="auto"/>
              <w:right w:val="single" w:sz="4" w:space="0" w:color="auto"/>
            </w:tcBorders>
          </w:tcPr>
          <w:p w14:paraId="1482F5E1" w14:textId="4262EC94" w:rsidR="00BF3316" w:rsidRDefault="00BF3316" w:rsidP="00BF3316">
            <w:pPr>
              <w:pStyle w:val="Default"/>
              <w:rPr>
                <w:color w:val="515253"/>
                <w:sz w:val="20"/>
                <w:szCs w:val="20"/>
              </w:rPr>
            </w:pPr>
            <w:r>
              <w:rPr>
                <w:b/>
                <w:bCs/>
                <w:color w:val="515253"/>
                <w:sz w:val="20"/>
                <w:szCs w:val="20"/>
              </w:rPr>
              <w:t xml:space="preserve">Progress update as at November 2022 </w:t>
            </w:r>
          </w:p>
        </w:tc>
        <w:tc>
          <w:tcPr>
            <w:tcW w:w="4536" w:type="dxa"/>
            <w:tcBorders>
              <w:top w:val="single" w:sz="4" w:space="0" w:color="auto"/>
              <w:left w:val="single" w:sz="4" w:space="0" w:color="auto"/>
              <w:bottom w:val="single" w:sz="4" w:space="0" w:color="auto"/>
              <w:right w:val="single" w:sz="4" w:space="0" w:color="auto"/>
            </w:tcBorders>
          </w:tcPr>
          <w:p w14:paraId="7F1F6A0A" w14:textId="681AC002" w:rsidR="00BF3316" w:rsidRDefault="00BF3316" w:rsidP="00BF3316">
            <w:pPr>
              <w:pStyle w:val="Default"/>
              <w:rPr>
                <w:color w:val="515253"/>
                <w:sz w:val="20"/>
                <w:szCs w:val="20"/>
              </w:rPr>
            </w:pPr>
            <w:r>
              <w:rPr>
                <w:b/>
                <w:bCs/>
                <w:color w:val="515253"/>
                <w:sz w:val="20"/>
                <w:szCs w:val="20"/>
              </w:rPr>
              <w:t xml:space="preserve">Management response </w:t>
            </w:r>
          </w:p>
        </w:tc>
      </w:tr>
      <w:tr w:rsidR="00BF3316" w14:paraId="75E87DEF" w14:textId="77777777" w:rsidTr="00DD116F">
        <w:trPr>
          <w:trHeight w:val="143"/>
        </w:trPr>
        <w:tc>
          <w:tcPr>
            <w:tcW w:w="13716" w:type="dxa"/>
            <w:gridSpan w:val="4"/>
            <w:tcBorders>
              <w:top w:val="single" w:sz="4" w:space="0" w:color="auto"/>
              <w:left w:val="single" w:sz="4" w:space="0" w:color="auto"/>
              <w:bottom w:val="single" w:sz="4" w:space="0" w:color="auto"/>
              <w:right w:val="single" w:sz="4" w:space="0" w:color="auto"/>
            </w:tcBorders>
          </w:tcPr>
          <w:p w14:paraId="306A37B9" w14:textId="77777777" w:rsidR="00BF3316" w:rsidRDefault="00BF3316" w:rsidP="005E4D9A">
            <w:pPr>
              <w:pStyle w:val="Default"/>
              <w:rPr>
                <w:color w:val="515253"/>
                <w:sz w:val="20"/>
                <w:szCs w:val="20"/>
              </w:rPr>
            </w:pPr>
            <w:r>
              <w:rPr>
                <w:b/>
                <w:bCs/>
                <w:color w:val="515253"/>
                <w:sz w:val="20"/>
                <w:szCs w:val="20"/>
              </w:rPr>
              <w:t xml:space="preserve">IM&amp;T (2019-20) </w:t>
            </w:r>
          </w:p>
        </w:tc>
      </w:tr>
      <w:tr w:rsidR="00BF3316" w14:paraId="3B5FDCAD" w14:textId="77777777" w:rsidTr="00DD116F">
        <w:trPr>
          <w:trHeight w:val="2858"/>
        </w:trPr>
        <w:tc>
          <w:tcPr>
            <w:tcW w:w="3170" w:type="dxa"/>
            <w:tcBorders>
              <w:top w:val="single" w:sz="4" w:space="0" w:color="auto"/>
              <w:left w:val="single" w:sz="4" w:space="0" w:color="auto"/>
              <w:bottom w:val="single" w:sz="4" w:space="0" w:color="auto"/>
              <w:right w:val="single" w:sz="4" w:space="0" w:color="auto"/>
            </w:tcBorders>
          </w:tcPr>
          <w:p w14:paraId="392D4D2F" w14:textId="77777777" w:rsidR="00BF3316" w:rsidRDefault="00BF3316">
            <w:pPr>
              <w:pStyle w:val="Default"/>
              <w:rPr>
                <w:color w:val="515253"/>
                <w:sz w:val="20"/>
                <w:szCs w:val="20"/>
              </w:rPr>
            </w:pPr>
            <w:r>
              <w:rPr>
                <w:b/>
                <w:bCs/>
                <w:color w:val="515253"/>
                <w:sz w:val="20"/>
                <w:szCs w:val="20"/>
              </w:rPr>
              <w:t xml:space="preserve">Password reset controls for network user access need strengthening </w:t>
            </w:r>
          </w:p>
          <w:p w14:paraId="19F6DAEB" w14:textId="77777777" w:rsidR="00BF3316" w:rsidRDefault="00BF3316">
            <w:pPr>
              <w:pStyle w:val="Default"/>
              <w:rPr>
                <w:color w:val="515253"/>
                <w:sz w:val="20"/>
                <w:szCs w:val="20"/>
              </w:rPr>
            </w:pPr>
            <w:r>
              <w:rPr>
                <w:color w:val="515253"/>
                <w:sz w:val="20"/>
                <w:szCs w:val="20"/>
              </w:rPr>
              <w:t xml:space="preserve">If the Office 365 password reset tool is not implemented in the near future, the SRS should implement stronger security checks to confirm the user ID before resetting their access/password. </w:t>
            </w:r>
          </w:p>
        </w:tc>
        <w:tc>
          <w:tcPr>
            <w:tcW w:w="3170" w:type="dxa"/>
            <w:tcBorders>
              <w:top w:val="single" w:sz="4" w:space="0" w:color="auto"/>
              <w:left w:val="single" w:sz="4" w:space="0" w:color="auto"/>
              <w:bottom w:val="single" w:sz="4" w:space="0" w:color="auto"/>
              <w:right w:val="single" w:sz="4" w:space="0" w:color="auto"/>
            </w:tcBorders>
          </w:tcPr>
          <w:p w14:paraId="2E3930DB" w14:textId="77777777" w:rsidR="00BF3316" w:rsidRDefault="00BF3316">
            <w:pPr>
              <w:pStyle w:val="Default"/>
              <w:rPr>
                <w:color w:val="515253"/>
                <w:sz w:val="20"/>
                <w:szCs w:val="20"/>
              </w:rPr>
            </w:pPr>
            <w:r>
              <w:rPr>
                <w:color w:val="515253"/>
                <w:sz w:val="20"/>
                <w:szCs w:val="20"/>
              </w:rPr>
              <w:t xml:space="preserve">The Office 365 implementation will receive national approval for ‘go-live’ stage on Wednesday 9 December 2020, following the implementation of the identity access management system. This will also provide the ‘Hello’ functionality in M365 and will enable the reduction to the National approved password. </w:t>
            </w:r>
          </w:p>
          <w:p w14:paraId="6313FFF9" w14:textId="77777777" w:rsidR="00BF3316" w:rsidRDefault="00BF3316">
            <w:pPr>
              <w:pStyle w:val="Default"/>
              <w:rPr>
                <w:color w:val="515253"/>
                <w:sz w:val="20"/>
                <w:szCs w:val="20"/>
              </w:rPr>
            </w:pPr>
            <w:r>
              <w:rPr>
                <w:b/>
                <w:bCs/>
                <w:color w:val="515253"/>
                <w:sz w:val="20"/>
                <w:szCs w:val="20"/>
              </w:rPr>
              <w:t xml:space="preserve">October 2021 </w:t>
            </w:r>
          </w:p>
          <w:p w14:paraId="712FA311" w14:textId="77777777" w:rsidR="00BF3316" w:rsidRDefault="00BF3316" w:rsidP="00BF3316">
            <w:pPr>
              <w:pStyle w:val="Default"/>
              <w:rPr>
                <w:color w:val="515253"/>
                <w:sz w:val="20"/>
                <w:szCs w:val="20"/>
              </w:rPr>
            </w:pPr>
            <w:r>
              <w:rPr>
                <w:color w:val="515253"/>
                <w:sz w:val="20"/>
                <w:szCs w:val="20"/>
              </w:rPr>
              <w:t xml:space="preserve">The Gwent Police DR3 build is being tested by the NEP Programme week commencing 8 November, followed by a programme of work to remediate any issues identified during testing, and to upgrade all machines to the DR3 build. Indicative timescale to have this fully completed is the end of January 2022. The </w:t>
            </w:r>
            <w:proofErr w:type="spellStart"/>
            <w:r>
              <w:rPr>
                <w:color w:val="515253"/>
                <w:sz w:val="20"/>
                <w:szCs w:val="20"/>
              </w:rPr>
              <w:t>Sailpoint</w:t>
            </w:r>
            <w:proofErr w:type="spellEnd"/>
            <w:r>
              <w:rPr>
                <w:color w:val="515253"/>
                <w:sz w:val="20"/>
                <w:szCs w:val="20"/>
              </w:rPr>
              <w:t xml:space="preserve"> product has been live in Gwent Police since January 2021 and is automatically creating accounts for new starters, and disabling accounts immediately when staff leave the Force. </w:t>
            </w:r>
          </w:p>
          <w:p w14:paraId="114FD910" w14:textId="4B8FB511" w:rsidR="00BF3316" w:rsidRDefault="00BF3316" w:rsidP="00BF3316">
            <w:pPr>
              <w:pStyle w:val="Default"/>
              <w:rPr>
                <w:color w:val="515253"/>
                <w:sz w:val="20"/>
                <w:szCs w:val="20"/>
              </w:rPr>
            </w:pPr>
            <w:r>
              <w:rPr>
                <w:color w:val="515253"/>
                <w:sz w:val="20"/>
                <w:szCs w:val="20"/>
              </w:rPr>
              <w:t>2020-21 that these procedures are mandatory.</w:t>
            </w:r>
          </w:p>
        </w:tc>
        <w:tc>
          <w:tcPr>
            <w:tcW w:w="2840" w:type="dxa"/>
            <w:tcBorders>
              <w:top w:val="single" w:sz="4" w:space="0" w:color="auto"/>
              <w:left w:val="single" w:sz="4" w:space="0" w:color="auto"/>
              <w:bottom w:val="single" w:sz="4" w:space="0" w:color="auto"/>
              <w:right w:val="single" w:sz="4" w:space="0" w:color="auto"/>
            </w:tcBorders>
          </w:tcPr>
          <w:p w14:paraId="3F46F9FA" w14:textId="77777777" w:rsidR="00BF3316" w:rsidRDefault="00BF3316">
            <w:pPr>
              <w:pStyle w:val="Default"/>
              <w:rPr>
                <w:color w:val="515253"/>
                <w:sz w:val="20"/>
                <w:szCs w:val="20"/>
              </w:rPr>
            </w:pPr>
            <w:r>
              <w:rPr>
                <w:color w:val="515253"/>
                <w:sz w:val="20"/>
                <w:szCs w:val="20"/>
              </w:rPr>
              <w:t xml:space="preserve">The NEP (national enablement programme) DR3 build includes strong password management controls - including a list of prohibited ‘easily guessed’ passwords – this is being rolled out across force June/July 2022 following NEP guidance and successful user testing. </w:t>
            </w:r>
          </w:p>
          <w:p w14:paraId="20F0CA62" w14:textId="77777777" w:rsidR="00BF3316" w:rsidRDefault="00BF3316">
            <w:pPr>
              <w:pStyle w:val="Default"/>
              <w:rPr>
                <w:color w:val="515253"/>
                <w:sz w:val="20"/>
                <w:szCs w:val="20"/>
              </w:rPr>
            </w:pPr>
            <w:r>
              <w:rPr>
                <w:color w:val="515253"/>
                <w:sz w:val="20"/>
                <w:szCs w:val="20"/>
              </w:rPr>
              <w:t xml:space="preserve">SailPoint continues to be utilised within Gwent Police, a quarterly review of activity is undertaken by FISO. </w:t>
            </w:r>
          </w:p>
          <w:p w14:paraId="4D9126AD" w14:textId="77777777" w:rsidR="00BF3316" w:rsidRDefault="00BF3316" w:rsidP="00BF3316">
            <w:pPr>
              <w:pStyle w:val="Default"/>
              <w:rPr>
                <w:color w:val="515253"/>
                <w:sz w:val="20"/>
                <w:szCs w:val="20"/>
              </w:rPr>
            </w:pPr>
            <w:r>
              <w:rPr>
                <w:color w:val="515253"/>
                <w:sz w:val="20"/>
                <w:szCs w:val="20"/>
              </w:rPr>
              <w:t xml:space="preserve">Should a member of staff require a password reset via the Service Desk, the member of staff is authenticated/verified prior to any password change within Active Directory. </w:t>
            </w:r>
          </w:p>
          <w:p w14:paraId="5090CDEB" w14:textId="54858F4A" w:rsidR="00BF3316" w:rsidRDefault="00BF3316" w:rsidP="00BF3316">
            <w:pPr>
              <w:pStyle w:val="Default"/>
              <w:rPr>
                <w:color w:val="515253"/>
                <w:sz w:val="20"/>
                <w:szCs w:val="20"/>
              </w:rPr>
            </w:pPr>
            <w:r>
              <w:rPr>
                <w:color w:val="515253"/>
                <w:sz w:val="20"/>
                <w:szCs w:val="20"/>
              </w:rPr>
              <w:t>(This progress update is at June 2022. We have not been able to obtain an update as at November 2022</w:t>
            </w:r>
          </w:p>
        </w:tc>
        <w:tc>
          <w:tcPr>
            <w:tcW w:w="4536" w:type="dxa"/>
            <w:tcBorders>
              <w:top w:val="single" w:sz="4" w:space="0" w:color="auto"/>
              <w:left w:val="single" w:sz="4" w:space="0" w:color="auto"/>
              <w:bottom w:val="single" w:sz="4" w:space="0" w:color="auto"/>
              <w:right w:val="single" w:sz="4" w:space="0" w:color="auto"/>
            </w:tcBorders>
          </w:tcPr>
          <w:p w14:paraId="5E3892AD" w14:textId="77777777" w:rsidR="00BF3316" w:rsidRDefault="00BF3316">
            <w:pPr>
              <w:pStyle w:val="Default"/>
              <w:rPr>
                <w:color w:val="515253"/>
                <w:sz w:val="20"/>
                <w:szCs w:val="20"/>
              </w:rPr>
            </w:pPr>
            <w:r>
              <w:rPr>
                <w:color w:val="515253"/>
                <w:sz w:val="20"/>
                <w:szCs w:val="20"/>
              </w:rPr>
              <w:t xml:space="preserve">The position is unchanged from June 2022. </w:t>
            </w:r>
          </w:p>
        </w:tc>
      </w:tr>
      <w:tr w:rsidR="00BF3316" w14:paraId="762BDC85" w14:textId="77777777" w:rsidTr="00DD116F">
        <w:trPr>
          <w:trHeight w:val="2858"/>
        </w:trPr>
        <w:tc>
          <w:tcPr>
            <w:tcW w:w="3170" w:type="dxa"/>
            <w:tcBorders>
              <w:top w:val="single" w:sz="4" w:space="0" w:color="auto"/>
              <w:left w:val="single" w:sz="4" w:space="0" w:color="auto"/>
              <w:bottom w:val="single" w:sz="4" w:space="0" w:color="auto"/>
              <w:right w:val="single" w:sz="4" w:space="0" w:color="auto"/>
            </w:tcBorders>
          </w:tcPr>
          <w:p w14:paraId="72E3DD30" w14:textId="77777777" w:rsidR="00BF3316" w:rsidRPr="00BF3316" w:rsidRDefault="00BF3316">
            <w:pPr>
              <w:pStyle w:val="Default"/>
              <w:rPr>
                <w:b/>
                <w:bCs/>
                <w:color w:val="515253"/>
                <w:sz w:val="20"/>
                <w:szCs w:val="20"/>
              </w:rPr>
            </w:pPr>
            <w:r>
              <w:rPr>
                <w:b/>
                <w:bCs/>
                <w:color w:val="515253"/>
                <w:sz w:val="20"/>
                <w:szCs w:val="20"/>
              </w:rPr>
              <w:lastRenderedPageBreak/>
              <w:t xml:space="preserve">Disaster recovery (DR) arrangements for FIRMS are unclear </w:t>
            </w:r>
          </w:p>
          <w:p w14:paraId="2AA971A6" w14:textId="77777777" w:rsidR="00BF3316" w:rsidRPr="00BF3316" w:rsidRDefault="00BF3316">
            <w:pPr>
              <w:pStyle w:val="Default"/>
              <w:rPr>
                <w:b/>
                <w:bCs/>
                <w:color w:val="515253"/>
                <w:sz w:val="20"/>
                <w:szCs w:val="20"/>
              </w:rPr>
            </w:pPr>
            <w:r w:rsidRPr="00BF3316">
              <w:rPr>
                <w:b/>
                <w:bCs/>
                <w:color w:val="515253"/>
                <w:sz w:val="20"/>
                <w:szCs w:val="20"/>
              </w:rPr>
              <w:t xml:space="preserve">The Force should introduce appropriate DR plans for FIRMS, if one is not in place, and test it regularly at appropriate and adequate intervals, to ensure that the FIRMS system can be recovered (should there be a need to) in sufficient time to meet business needs. </w:t>
            </w:r>
          </w:p>
        </w:tc>
        <w:tc>
          <w:tcPr>
            <w:tcW w:w="3170" w:type="dxa"/>
            <w:tcBorders>
              <w:top w:val="single" w:sz="4" w:space="0" w:color="auto"/>
              <w:left w:val="single" w:sz="4" w:space="0" w:color="auto"/>
              <w:bottom w:val="single" w:sz="4" w:space="0" w:color="auto"/>
              <w:right w:val="single" w:sz="4" w:space="0" w:color="auto"/>
            </w:tcBorders>
          </w:tcPr>
          <w:p w14:paraId="4179C6D8" w14:textId="77777777" w:rsidR="00BF3316" w:rsidRDefault="00BF3316">
            <w:pPr>
              <w:pStyle w:val="Default"/>
              <w:rPr>
                <w:color w:val="515253"/>
                <w:sz w:val="20"/>
                <w:szCs w:val="20"/>
              </w:rPr>
            </w:pPr>
            <w:r>
              <w:rPr>
                <w:color w:val="515253"/>
                <w:sz w:val="20"/>
                <w:szCs w:val="20"/>
              </w:rPr>
              <w:t xml:space="preserve">The Disaster Recovery Site has been implemented and data restore is implemented for FIRMS. System recovery from the DR site is being planned. In the meantime, the primary systems receive regular core maintenance. </w:t>
            </w:r>
          </w:p>
          <w:p w14:paraId="77CE28A1" w14:textId="77777777" w:rsidR="00BF3316" w:rsidRDefault="00BF3316">
            <w:pPr>
              <w:pStyle w:val="Default"/>
              <w:rPr>
                <w:color w:val="515253"/>
                <w:sz w:val="20"/>
                <w:szCs w:val="20"/>
              </w:rPr>
            </w:pPr>
            <w:r w:rsidRPr="00BF3316">
              <w:rPr>
                <w:color w:val="515253"/>
                <w:sz w:val="20"/>
                <w:szCs w:val="20"/>
              </w:rPr>
              <w:t xml:space="preserve">October 2021 </w:t>
            </w:r>
          </w:p>
          <w:p w14:paraId="17AEEEFC" w14:textId="77777777" w:rsidR="00BF3316" w:rsidRDefault="00BF3316" w:rsidP="00BF3316">
            <w:pPr>
              <w:pStyle w:val="Default"/>
              <w:rPr>
                <w:color w:val="515253"/>
                <w:sz w:val="20"/>
                <w:szCs w:val="20"/>
              </w:rPr>
            </w:pPr>
            <w:r>
              <w:rPr>
                <w:color w:val="515253"/>
                <w:sz w:val="20"/>
                <w:szCs w:val="20"/>
              </w:rPr>
              <w:t xml:space="preserve">The original target date (end of 2021 calendar year) to undertake a test restore (simulating a substantial failure) of FIRMS data between HQ Bridgend and Cardiff Fairwater (Geo separated) Datacentres has been postponed for rescheduling targeting the first half of 2022. </w:t>
            </w:r>
          </w:p>
          <w:p w14:paraId="2D130A05" w14:textId="77777777" w:rsidR="00BF3316" w:rsidRDefault="00BF3316" w:rsidP="00BF3316">
            <w:pPr>
              <w:pStyle w:val="Default"/>
              <w:rPr>
                <w:color w:val="515253"/>
                <w:sz w:val="20"/>
                <w:szCs w:val="20"/>
              </w:rPr>
            </w:pPr>
            <w:r>
              <w:rPr>
                <w:color w:val="515253"/>
                <w:sz w:val="20"/>
                <w:szCs w:val="20"/>
              </w:rPr>
              <w:t xml:space="preserve">Over the coming months we have a substantial number of active projects relating to the Chief Constable’s Delivery Plan, national programmes and the update of both local and national infrastructure (some of which have extremely challenging timescales) that are heavily dependent on ICT resource. </w:t>
            </w:r>
          </w:p>
          <w:p w14:paraId="3AF9925D" w14:textId="4E743ECD" w:rsidR="00BF3316" w:rsidRDefault="00BF3316" w:rsidP="00BF3316">
            <w:pPr>
              <w:pStyle w:val="Default"/>
              <w:rPr>
                <w:color w:val="515253"/>
                <w:sz w:val="20"/>
                <w:szCs w:val="20"/>
              </w:rPr>
            </w:pPr>
            <w:r>
              <w:rPr>
                <w:color w:val="515253"/>
                <w:sz w:val="20"/>
                <w:szCs w:val="20"/>
              </w:rPr>
              <w:t>Whilst recognising the importance of undertaking this test, Chief Officers have had to make the difficult decision to prioritise other operationally critical deliverables and infrastructure.</w:t>
            </w:r>
          </w:p>
        </w:tc>
        <w:tc>
          <w:tcPr>
            <w:tcW w:w="2840" w:type="dxa"/>
            <w:tcBorders>
              <w:top w:val="single" w:sz="4" w:space="0" w:color="auto"/>
              <w:left w:val="single" w:sz="4" w:space="0" w:color="auto"/>
              <w:bottom w:val="single" w:sz="4" w:space="0" w:color="auto"/>
              <w:right w:val="single" w:sz="4" w:space="0" w:color="auto"/>
            </w:tcBorders>
          </w:tcPr>
          <w:p w14:paraId="1370C697" w14:textId="109CF05B" w:rsidR="00BF3316" w:rsidRDefault="00BF3316">
            <w:pPr>
              <w:pStyle w:val="Default"/>
              <w:rPr>
                <w:color w:val="515253"/>
                <w:sz w:val="20"/>
                <w:szCs w:val="20"/>
              </w:rPr>
            </w:pPr>
            <w:r>
              <w:rPr>
                <w:color w:val="515253"/>
                <w:sz w:val="20"/>
                <w:szCs w:val="20"/>
              </w:rPr>
              <w:t>In South Wales Police the DCC is now pulling together a force wide business continuity piece of work which will include systems used by Gwent. The work to exercise the ICT DR process with a controlled restoration of FIRMS data was unfortunately further delayed as a result of other work being given a higher priority – again a difficult decision by Chief Officers given other critical operational priorities. There is an expectation that this would be driven further once the DCC’s work proceeds.</w:t>
            </w:r>
          </w:p>
        </w:tc>
        <w:tc>
          <w:tcPr>
            <w:tcW w:w="4536" w:type="dxa"/>
            <w:tcBorders>
              <w:top w:val="single" w:sz="4" w:space="0" w:color="auto"/>
              <w:left w:val="single" w:sz="4" w:space="0" w:color="auto"/>
              <w:bottom w:val="single" w:sz="4" w:space="0" w:color="auto"/>
              <w:right w:val="single" w:sz="4" w:space="0" w:color="auto"/>
            </w:tcBorders>
          </w:tcPr>
          <w:p w14:paraId="687F494C" w14:textId="77777777" w:rsidR="00BF3316" w:rsidRDefault="00BF3316">
            <w:pPr>
              <w:pStyle w:val="Default"/>
              <w:rPr>
                <w:color w:val="515253"/>
                <w:sz w:val="20"/>
                <w:szCs w:val="20"/>
              </w:rPr>
            </w:pPr>
            <w:r>
              <w:rPr>
                <w:color w:val="515253"/>
                <w:sz w:val="20"/>
                <w:szCs w:val="20"/>
              </w:rPr>
              <w:t xml:space="preserve">The position is unchanged from June 2022. </w:t>
            </w:r>
          </w:p>
        </w:tc>
      </w:tr>
    </w:tbl>
    <w:p w14:paraId="76910DF6" w14:textId="77777777" w:rsidR="00BF3316" w:rsidRDefault="00BF3316"/>
    <w:sectPr w:rsidR="00BF3316" w:rsidSect="00BF3316">
      <w:foot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9D33" w14:textId="77777777" w:rsidR="00E2145C" w:rsidRDefault="00E2145C" w:rsidP="00E2145C">
      <w:pPr>
        <w:spacing w:after="0" w:line="240" w:lineRule="auto"/>
      </w:pPr>
      <w:r>
        <w:separator/>
      </w:r>
    </w:p>
  </w:endnote>
  <w:endnote w:type="continuationSeparator" w:id="0">
    <w:p w14:paraId="1A8D4758" w14:textId="77777777" w:rsidR="00E2145C" w:rsidRDefault="00E2145C" w:rsidP="00E2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942602"/>
      <w:docPartObj>
        <w:docPartGallery w:val="Page Numbers (Bottom of Page)"/>
        <w:docPartUnique/>
      </w:docPartObj>
    </w:sdtPr>
    <w:sdtContent>
      <w:sdt>
        <w:sdtPr>
          <w:id w:val="1728636285"/>
          <w:docPartObj>
            <w:docPartGallery w:val="Page Numbers (Top of Page)"/>
            <w:docPartUnique/>
          </w:docPartObj>
        </w:sdtPr>
        <w:sdtContent>
          <w:p w14:paraId="38E4AAA4" w14:textId="571D427E" w:rsidR="00DD116F" w:rsidRDefault="00DD116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A00D78" w14:textId="77777777" w:rsidR="00DD116F" w:rsidRDefault="00DD1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87893" w14:textId="77777777" w:rsidR="00E2145C" w:rsidRDefault="00E2145C" w:rsidP="00E2145C">
      <w:pPr>
        <w:spacing w:after="0" w:line="240" w:lineRule="auto"/>
      </w:pPr>
      <w:r>
        <w:separator/>
      </w:r>
    </w:p>
  </w:footnote>
  <w:footnote w:type="continuationSeparator" w:id="0">
    <w:p w14:paraId="70536710" w14:textId="77777777" w:rsidR="00E2145C" w:rsidRDefault="00E2145C" w:rsidP="00E214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316"/>
    <w:rsid w:val="002413CE"/>
    <w:rsid w:val="00260CBC"/>
    <w:rsid w:val="00BF3316"/>
    <w:rsid w:val="00DD116F"/>
    <w:rsid w:val="00E2145C"/>
    <w:rsid w:val="00E92041"/>
    <w:rsid w:val="00F31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F249F"/>
  <w15:chartTrackingRefBased/>
  <w15:docId w15:val="{EA364CEE-2B8C-4C76-86DF-6BAA9216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331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D1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16F"/>
  </w:style>
  <w:style w:type="paragraph" w:styleId="Footer">
    <w:name w:val="footer"/>
    <w:basedOn w:val="Normal"/>
    <w:link w:val="FooterChar"/>
    <w:uiPriority w:val="99"/>
    <w:unhideWhenUsed/>
    <w:rsid w:val="00DD1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 Matthew</dc:creator>
  <cp:keywords/>
  <dc:description/>
  <cp:lastModifiedBy>Coe, Matthew</cp:lastModifiedBy>
  <cp:revision>5</cp:revision>
  <dcterms:created xsi:type="dcterms:W3CDTF">2023-02-14T08:31:00Z</dcterms:created>
  <dcterms:modified xsi:type="dcterms:W3CDTF">2023-02-14T10:34:00Z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2023-02-14T08:31:49Z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2d862aae-4b3b-43e6-82c1-4ffd6c81aabd</vt:lpwstr>
  </property>
  <property fmtid="{D5CDD505-2E9C-101B-9397-08002B2CF9AE}" pid="8" name="MSIP_Label_f2acd28b-79a3-4a0f-b0ff-4b75658b1549_ContentBits">
    <vt:lpwstr>0</vt:lpwstr>
  </property>
</Properties>
</file>