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105CE661" w:rsidR="00320095" w:rsidRPr="00933DD9" w:rsidRDefault="003F6D85" w:rsidP="00786E28">
            <w:pPr>
              <w:rPr>
                <w:rFonts w:ascii="Arial" w:hAnsi="Arial" w:cs="Arial"/>
                <w:sz w:val="24"/>
                <w:szCs w:val="24"/>
              </w:rPr>
            </w:pPr>
            <w:r w:rsidRPr="006E3A29">
              <w:rPr>
                <w:rFonts w:ascii="Arial" w:hAnsi="Arial" w:cs="Arial"/>
                <w:sz w:val="24"/>
                <w:szCs w:val="24"/>
              </w:rPr>
              <w:t>PCCG-</w:t>
            </w:r>
            <w:r w:rsidR="00BF44B2" w:rsidRPr="006E3A29">
              <w:rPr>
                <w:rFonts w:ascii="Arial" w:hAnsi="Arial" w:cs="Arial"/>
                <w:sz w:val="24"/>
                <w:szCs w:val="24"/>
              </w:rPr>
              <w:t>20</w:t>
            </w:r>
            <w:r w:rsidR="006B7150" w:rsidRPr="006E3A29">
              <w:rPr>
                <w:rFonts w:ascii="Arial" w:hAnsi="Arial" w:cs="Arial"/>
                <w:sz w:val="24"/>
                <w:szCs w:val="24"/>
              </w:rPr>
              <w:t>2</w:t>
            </w:r>
            <w:r w:rsidR="00C83772" w:rsidRPr="006E3A29">
              <w:rPr>
                <w:rFonts w:ascii="Arial" w:hAnsi="Arial" w:cs="Arial"/>
                <w:sz w:val="24"/>
                <w:szCs w:val="24"/>
              </w:rPr>
              <w:t>3</w:t>
            </w:r>
            <w:r w:rsidR="00BF44B2" w:rsidRPr="006E3A29">
              <w:rPr>
                <w:rFonts w:ascii="Arial" w:hAnsi="Arial" w:cs="Arial"/>
                <w:sz w:val="24"/>
                <w:szCs w:val="24"/>
              </w:rPr>
              <w:t>-</w:t>
            </w:r>
            <w:r w:rsidR="006E3A29" w:rsidRPr="006E3A29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2ADFC164" w:rsidR="00320095" w:rsidRPr="00933DD9" w:rsidRDefault="0085348E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Serious Violence Duty Intervention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B93">
              <w:rPr>
                <w:rFonts w:ascii="Arial" w:hAnsi="Arial" w:cs="Arial"/>
                <w:sz w:val="24"/>
                <w:szCs w:val="24"/>
              </w:rPr>
              <w:t>Funding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 for 202</w:t>
            </w:r>
            <w:r w:rsidR="00E53143">
              <w:rPr>
                <w:rFonts w:ascii="Arial" w:hAnsi="Arial" w:cs="Arial"/>
                <w:sz w:val="24"/>
                <w:szCs w:val="24"/>
              </w:rPr>
              <w:t>3</w:t>
            </w:r>
            <w:r w:rsidR="002756B8">
              <w:rPr>
                <w:rFonts w:ascii="Arial" w:hAnsi="Arial" w:cs="Arial"/>
                <w:sz w:val="24"/>
                <w:szCs w:val="24"/>
              </w:rPr>
              <w:t>/20</w:t>
            </w:r>
            <w:r w:rsidR="005B6D95">
              <w:rPr>
                <w:rFonts w:ascii="Arial" w:hAnsi="Arial" w:cs="Arial"/>
                <w:sz w:val="24"/>
                <w:szCs w:val="24"/>
              </w:rPr>
              <w:t>2</w:t>
            </w:r>
            <w:r w:rsidR="00E53143">
              <w:rPr>
                <w:rFonts w:ascii="Arial" w:hAnsi="Arial" w:cs="Arial"/>
                <w:sz w:val="24"/>
                <w:szCs w:val="24"/>
              </w:rPr>
              <w:t>4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3672F2ED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award funding to </w:t>
            </w:r>
            <w:r w:rsidR="00C83772">
              <w:rPr>
                <w:rFonts w:ascii="Arial" w:hAnsi="Arial" w:cs="Arial"/>
                <w:sz w:val="24"/>
                <w:szCs w:val="24"/>
              </w:rPr>
              <w:t xml:space="preserve">Specified Authority </w:t>
            </w:r>
            <w:r w:rsidR="00C67B93">
              <w:rPr>
                <w:rFonts w:ascii="Arial" w:hAnsi="Arial" w:cs="Arial"/>
                <w:sz w:val="24"/>
                <w:szCs w:val="24"/>
              </w:rPr>
              <w:t>partners</w:t>
            </w:r>
            <w:r w:rsidR="00C83772">
              <w:rPr>
                <w:rFonts w:ascii="Arial" w:hAnsi="Arial" w:cs="Arial"/>
                <w:sz w:val="24"/>
                <w:szCs w:val="24"/>
              </w:rPr>
              <w:t>, under the Serious Violence Duty</w:t>
            </w:r>
            <w:r w:rsidR="005237E0">
              <w:rPr>
                <w:rFonts w:ascii="Arial" w:hAnsi="Arial" w:cs="Arial"/>
                <w:sz w:val="24"/>
                <w:szCs w:val="24"/>
              </w:rPr>
              <w:t xml:space="preserve"> (“the Duty”)</w:t>
            </w:r>
            <w:r w:rsidR="00A429E1">
              <w:rPr>
                <w:rFonts w:ascii="Arial" w:hAnsi="Arial" w:cs="Arial"/>
                <w:sz w:val="24"/>
                <w:szCs w:val="24"/>
              </w:rPr>
              <w:t>,</w:t>
            </w:r>
            <w:r w:rsidR="00C67B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604">
              <w:rPr>
                <w:rFonts w:ascii="Arial" w:hAnsi="Arial" w:cs="Arial"/>
                <w:sz w:val="24"/>
                <w:szCs w:val="24"/>
              </w:rPr>
              <w:t>for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the 202</w:t>
            </w:r>
            <w:r w:rsidR="00E53143">
              <w:rPr>
                <w:rFonts w:ascii="Arial" w:hAnsi="Arial" w:cs="Arial"/>
                <w:sz w:val="24"/>
                <w:szCs w:val="24"/>
              </w:rPr>
              <w:t>3</w:t>
            </w:r>
            <w:r w:rsidR="002756B8">
              <w:rPr>
                <w:rFonts w:ascii="Arial" w:hAnsi="Arial" w:cs="Arial"/>
                <w:sz w:val="24"/>
                <w:szCs w:val="24"/>
              </w:rPr>
              <w:t>/202</w:t>
            </w:r>
            <w:r w:rsidR="00E53143">
              <w:rPr>
                <w:rFonts w:ascii="Arial" w:hAnsi="Arial" w:cs="Arial"/>
                <w:sz w:val="24"/>
                <w:szCs w:val="24"/>
              </w:rPr>
              <w:t>4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financial year</w:t>
            </w:r>
            <w:r w:rsidR="005B6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675E" w14:textId="64F332CB" w:rsidR="00E67878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Police</w:t>
            </w:r>
            <w:r w:rsidR="00A429E1">
              <w:rPr>
                <w:rFonts w:ascii="Arial" w:hAnsi="Arial" w:cs="Arial"/>
                <w:sz w:val="24"/>
                <w:szCs w:val="24"/>
              </w:rPr>
              <w:t>, Crime, Sentencing and Courts Act 2022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provides that the </w:t>
            </w:r>
            <w:r w:rsidR="00160694">
              <w:rPr>
                <w:rFonts w:ascii="Arial" w:hAnsi="Arial" w:cs="Arial"/>
                <w:sz w:val="24"/>
                <w:szCs w:val="24"/>
              </w:rPr>
              <w:t xml:space="preserve">‘Local Policing Body’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for a police area </w:t>
            </w:r>
            <w:r w:rsidR="00A35F58">
              <w:rPr>
                <w:rFonts w:ascii="Arial" w:hAnsi="Arial" w:cs="Arial"/>
                <w:sz w:val="24"/>
                <w:szCs w:val="24"/>
              </w:rPr>
              <w:t xml:space="preserve">(the </w:t>
            </w:r>
            <w:r w:rsidR="00A35F58" w:rsidRPr="001D04C7">
              <w:rPr>
                <w:rFonts w:ascii="Arial" w:hAnsi="Arial" w:cs="Arial"/>
                <w:sz w:val="24"/>
                <w:szCs w:val="24"/>
              </w:rPr>
              <w:t>Police and Crime Commissioner</w:t>
            </w:r>
            <w:r w:rsidR="00A35F58">
              <w:rPr>
                <w:rFonts w:ascii="Arial" w:hAnsi="Arial" w:cs="Arial"/>
                <w:sz w:val="24"/>
                <w:szCs w:val="24"/>
              </w:rPr>
              <w:t xml:space="preserve"> in Gwent)</w:t>
            </w:r>
            <w:r w:rsidR="00A35F58"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78D4">
              <w:rPr>
                <w:rFonts w:ascii="Arial" w:hAnsi="Arial" w:cs="Arial"/>
                <w:sz w:val="24"/>
                <w:szCs w:val="24"/>
              </w:rPr>
              <w:t>acts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</w:t>
            </w:r>
            <w:r w:rsidR="00E07063">
              <w:rPr>
                <w:rFonts w:ascii="Arial" w:hAnsi="Arial" w:cs="Arial"/>
                <w:sz w:val="24"/>
                <w:szCs w:val="24"/>
              </w:rPr>
              <w:t xml:space="preserve"> Specified and Relevant Authorities under the </w:t>
            </w:r>
            <w:r w:rsidR="005237E0">
              <w:rPr>
                <w:rFonts w:ascii="Arial" w:hAnsi="Arial" w:cs="Arial"/>
                <w:sz w:val="24"/>
                <w:szCs w:val="24"/>
              </w:rPr>
              <w:t>Duty</w:t>
            </w:r>
            <w:r w:rsidR="008035DD">
              <w:rPr>
                <w:rFonts w:ascii="Arial" w:hAnsi="Arial" w:cs="Arial"/>
                <w:sz w:val="24"/>
                <w:szCs w:val="24"/>
              </w:rPr>
              <w:t xml:space="preserve">, to </w:t>
            </w:r>
            <w:r w:rsidR="00F678D4">
              <w:rPr>
                <w:rFonts w:ascii="Arial" w:hAnsi="Arial" w:cs="Arial"/>
                <w:sz w:val="24"/>
                <w:szCs w:val="24"/>
              </w:rPr>
              <w:t xml:space="preserve">make grants that </w:t>
            </w:r>
            <w:r w:rsidR="008035DD">
              <w:rPr>
                <w:rFonts w:ascii="Arial" w:hAnsi="Arial" w:cs="Arial"/>
                <w:sz w:val="24"/>
                <w:szCs w:val="24"/>
              </w:rPr>
              <w:t>fund interventions to prevent and reduce serious violence</w:t>
            </w:r>
            <w:r w:rsidR="002C137E">
              <w:rPr>
                <w:rFonts w:ascii="Arial" w:hAnsi="Arial" w:cs="Arial"/>
                <w:sz w:val="24"/>
                <w:szCs w:val="24"/>
              </w:rPr>
              <w:t xml:space="preserve"> (section 14)</w:t>
            </w:r>
            <w:r w:rsidR="008035D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E5F3E6" w14:textId="32E86DD5" w:rsidR="00D8752E" w:rsidRPr="001D04C7" w:rsidRDefault="008A3502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2023/24 financial year, an amount of </w:t>
            </w:r>
            <w:r w:rsidR="002D4061">
              <w:rPr>
                <w:rFonts w:ascii="Arial" w:hAnsi="Arial" w:cs="Arial"/>
                <w:sz w:val="24"/>
                <w:szCs w:val="24"/>
              </w:rPr>
              <w:t>£238,166.</w:t>
            </w:r>
            <w:r w:rsidR="00311A9F">
              <w:rPr>
                <w:rFonts w:ascii="Arial" w:hAnsi="Arial" w:cs="Arial"/>
                <w:sz w:val="24"/>
                <w:szCs w:val="24"/>
              </w:rPr>
              <w:t>46 has been provided</w:t>
            </w:r>
            <w:r w:rsidR="00320902">
              <w:rPr>
                <w:rFonts w:ascii="Arial" w:hAnsi="Arial" w:cs="Arial"/>
                <w:sz w:val="24"/>
                <w:szCs w:val="24"/>
              </w:rPr>
              <w:t xml:space="preserve"> by the Home Office</w:t>
            </w:r>
            <w:r w:rsidR="00311A9F">
              <w:rPr>
                <w:rFonts w:ascii="Arial" w:hAnsi="Arial" w:cs="Arial"/>
                <w:sz w:val="24"/>
                <w:szCs w:val="24"/>
              </w:rPr>
              <w:t xml:space="preserve"> to the PCC</w:t>
            </w:r>
            <w:r w:rsidR="00D031E9">
              <w:rPr>
                <w:rFonts w:ascii="Arial" w:hAnsi="Arial" w:cs="Arial"/>
                <w:sz w:val="24"/>
                <w:szCs w:val="24"/>
              </w:rPr>
              <w:t xml:space="preserve"> for Gwent</w:t>
            </w:r>
            <w:r w:rsidR="00311A9F">
              <w:rPr>
                <w:rFonts w:ascii="Arial" w:hAnsi="Arial" w:cs="Arial"/>
                <w:sz w:val="24"/>
                <w:szCs w:val="24"/>
              </w:rPr>
              <w:t xml:space="preserve"> to support th</w:t>
            </w:r>
            <w:r w:rsidR="00D031E9">
              <w:rPr>
                <w:rFonts w:ascii="Arial" w:hAnsi="Arial" w:cs="Arial"/>
                <w:sz w:val="24"/>
                <w:szCs w:val="24"/>
              </w:rPr>
              <w:t>e implementation of the Duty, w</w:t>
            </w:r>
            <w:r w:rsidR="00311A9F">
              <w:rPr>
                <w:rFonts w:ascii="Arial" w:hAnsi="Arial" w:cs="Arial"/>
                <w:sz w:val="24"/>
                <w:szCs w:val="24"/>
              </w:rPr>
              <w:t>ith £58,</w:t>
            </w:r>
            <w:r w:rsidR="00952917">
              <w:rPr>
                <w:rFonts w:ascii="Arial" w:hAnsi="Arial" w:cs="Arial"/>
                <w:sz w:val="24"/>
                <w:szCs w:val="24"/>
              </w:rPr>
              <w:t>166</w:t>
            </w:r>
            <w:r w:rsidR="00D031E9">
              <w:rPr>
                <w:rFonts w:ascii="Arial" w:hAnsi="Arial" w:cs="Arial"/>
                <w:sz w:val="24"/>
                <w:szCs w:val="24"/>
              </w:rPr>
              <w:t xml:space="preserve"> of this funding to support interventions</w:t>
            </w:r>
            <w:r w:rsidR="00190362">
              <w:rPr>
                <w:rFonts w:ascii="Arial" w:hAnsi="Arial" w:cs="Arial"/>
                <w:sz w:val="24"/>
                <w:szCs w:val="24"/>
              </w:rPr>
              <w:t>.</w:t>
            </w:r>
            <w:r w:rsidR="008035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39B7">
              <w:rPr>
                <w:rFonts w:ascii="Arial" w:hAnsi="Arial" w:cs="Arial"/>
                <w:sz w:val="24"/>
                <w:szCs w:val="24"/>
              </w:rPr>
              <w:t xml:space="preserve">The remainder are for labour costs associated with delivering other requirements of the Duty. 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77777777" w:rsidR="00957874" w:rsidRDefault="005B6D9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EA54" w14:textId="6E854E17" w:rsidR="00190362" w:rsidRDefault="00190362" w:rsidP="001903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Through </w:t>
            </w:r>
            <w:r w:rsidR="002069CA">
              <w:rPr>
                <w:rFonts w:ascii="Arial" w:hAnsi="Arial" w:cs="Arial"/>
                <w:sz w:val="24"/>
                <w:szCs w:val="24"/>
              </w:rPr>
              <w:t>a Gwent Serious Violence Duty Working Group, chaired by my office,</w:t>
            </w:r>
            <w:r>
              <w:rPr>
                <w:rFonts w:ascii="Arial" w:hAnsi="Arial" w:cs="Arial"/>
                <w:sz w:val="24"/>
                <w:szCs w:val="24"/>
              </w:rPr>
              <w:t xml:space="preserve"> a joint decision has been made to allocate a sum of funding to a range of Specified Authorities under the Act, to carry out additional activity to prevent and reduce serious violence across Community Safety areas and Gwent overall.</w:t>
            </w:r>
          </w:p>
          <w:p w14:paraId="0B2BD4D8" w14:textId="77777777" w:rsidR="003F3732" w:rsidRDefault="003F3732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7CA3C" w14:textId="006CD1DB" w:rsidR="003F3732" w:rsidRDefault="007F334A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number of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 Specified Authorit</w:t>
            </w:r>
            <w:r>
              <w:rPr>
                <w:rFonts w:ascii="Arial" w:hAnsi="Arial" w:cs="Arial"/>
                <w:sz w:val="24"/>
                <w:szCs w:val="24"/>
              </w:rPr>
              <w:t>ies under the Act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 submitted a proposal outlining how </w:t>
            </w:r>
            <w:r w:rsidR="00131A9A">
              <w:rPr>
                <w:rFonts w:ascii="Arial" w:hAnsi="Arial" w:cs="Arial"/>
                <w:sz w:val="24"/>
                <w:szCs w:val="24"/>
              </w:rPr>
              <w:t xml:space="preserve">they would use a portion of the funding to </w:t>
            </w:r>
            <w:r w:rsidR="00BE17AD">
              <w:rPr>
                <w:rFonts w:ascii="Arial" w:hAnsi="Arial" w:cs="Arial"/>
                <w:sz w:val="24"/>
                <w:szCs w:val="24"/>
              </w:rPr>
              <w:t>fund intervention projects for a 6 month period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. Proposals have </w:t>
            </w:r>
            <w:r w:rsidR="00DB0B36">
              <w:rPr>
                <w:rFonts w:ascii="Arial" w:hAnsi="Arial" w:cs="Arial"/>
                <w:sz w:val="24"/>
                <w:szCs w:val="24"/>
              </w:rPr>
              <w:t xml:space="preserve">then </w:t>
            </w:r>
            <w:r w:rsidR="003F3732">
              <w:rPr>
                <w:rFonts w:ascii="Arial" w:hAnsi="Arial" w:cs="Arial"/>
                <w:sz w:val="24"/>
                <w:szCs w:val="24"/>
              </w:rPr>
              <w:t>been reviewed through the Working Group</w:t>
            </w:r>
            <w:r w:rsidR="003F245A">
              <w:rPr>
                <w:rFonts w:ascii="Arial" w:hAnsi="Arial" w:cs="Arial"/>
                <w:sz w:val="24"/>
                <w:szCs w:val="24"/>
              </w:rPr>
              <w:t xml:space="preserve"> with agreement </w:t>
            </w:r>
            <w:r w:rsidR="00131A9A">
              <w:rPr>
                <w:rFonts w:ascii="Arial" w:hAnsi="Arial" w:cs="Arial"/>
                <w:sz w:val="24"/>
                <w:szCs w:val="24"/>
              </w:rPr>
              <w:t xml:space="preserve">reached </w:t>
            </w:r>
            <w:r w:rsidR="003F245A">
              <w:rPr>
                <w:rFonts w:ascii="Arial" w:hAnsi="Arial" w:cs="Arial"/>
                <w:sz w:val="24"/>
                <w:szCs w:val="24"/>
              </w:rPr>
              <w:t>on how the funding should be distributed</w:t>
            </w:r>
            <w:r w:rsidR="003F373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8627A8" w14:textId="77777777" w:rsidR="003F3732" w:rsidRDefault="003F3732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4A1580" w14:textId="58CB536F" w:rsidR="003F3732" w:rsidRPr="0034702F" w:rsidRDefault="003F3732" w:rsidP="001903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accepted the recommendations made by the Working Group to award </w:t>
            </w:r>
            <w:r w:rsidR="001B0CDE">
              <w:rPr>
                <w:rFonts w:ascii="Arial" w:hAnsi="Arial" w:cs="Arial"/>
                <w:sz w:val="24"/>
                <w:szCs w:val="24"/>
              </w:rPr>
              <w:t>a range of funding amounts to different intervention projects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B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0B36" w:rsidRPr="001D04C7">
              <w:rPr>
                <w:rFonts w:ascii="Arial" w:hAnsi="Arial" w:cs="Arial"/>
                <w:sz w:val="24"/>
                <w:szCs w:val="24"/>
              </w:rPr>
              <w:t xml:space="preserve">The requirements under the Act have been considered </w:t>
            </w:r>
            <w:r w:rsidR="00DB0B36">
              <w:rPr>
                <w:rFonts w:ascii="Arial" w:hAnsi="Arial" w:cs="Arial"/>
                <w:sz w:val="24"/>
                <w:szCs w:val="24"/>
              </w:rPr>
              <w:t xml:space="preserve">both by the PCC and with agreement from all relevant partners. </w:t>
            </w:r>
          </w:p>
          <w:p w14:paraId="57DBF7B0" w14:textId="77777777" w:rsidR="0034702F" w:rsidRDefault="0034702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5A648" w14:textId="75B8B5AC" w:rsidR="00A43B80" w:rsidRDefault="00190362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allocations have been made to partners:</w:t>
            </w:r>
          </w:p>
          <w:p w14:paraId="5A9908B2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40"/>
              <w:gridCol w:w="1472"/>
            </w:tblGrid>
            <w:tr w:rsidR="00543FDA" w:rsidRPr="00A30EB1" w14:paraId="26E7022B" w14:textId="77777777" w:rsidTr="00157AA1">
              <w:trPr>
                <w:trHeight w:val="157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8E46" w14:textId="77777777" w:rsidR="00543FDA" w:rsidRPr="00A30EB1" w:rsidRDefault="00543FDA" w:rsidP="00A43B80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Project / Service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E5B3" w14:textId="0C69CB6C" w:rsidR="00543FDA" w:rsidRPr="00A30EB1" w:rsidRDefault="00543FDA" w:rsidP="00543FDA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Amount Allocated for </w:t>
                  </w:r>
                  <w:r w:rsidR="009834F7">
                    <w:rPr>
                      <w:rFonts w:cs="Arial"/>
                      <w:b/>
                      <w:bCs/>
                      <w:szCs w:val="22"/>
                    </w:rPr>
                    <w:t>202</w:t>
                  </w:r>
                  <w:r w:rsidR="00DE6007">
                    <w:rPr>
                      <w:rFonts w:cs="Arial"/>
                      <w:b/>
                      <w:bCs/>
                      <w:szCs w:val="22"/>
                    </w:rPr>
                    <w:t>3</w:t>
                  </w:r>
                  <w:r w:rsidR="009834F7">
                    <w:rPr>
                      <w:rFonts w:cs="Arial"/>
                      <w:b/>
                      <w:bCs/>
                      <w:szCs w:val="22"/>
                    </w:rPr>
                    <w:t xml:space="preserve"> / 2</w:t>
                  </w:r>
                  <w:r w:rsidR="00DE6007">
                    <w:rPr>
                      <w:rFonts w:cs="Arial"/>
                      <w:b/>
                      <w:bCs/>
                      <w:szCs w:val="22"/>
                    </w:rPr>
                    <w:t>4</w:t>
                  </w:r>
                </w:p>
                <w:p w14:paraId="4545EECD" w14:textId="77777777" w:rsidR="00543FDA" w:rsidRPr="00A30EB1" w:rsidRDefault="00543FDA" w:rsidP="00A43B80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</w:tr>
            <w:tr w:rsidR="005B6D95" w:rsidRPr="00A30EB1" w14:paraId="22AD348A" w14:textId="77777777" w:rsidTr="00157AA1">
              <w:trPr>
                <w:trHeight w:val="157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0158" w14:textId="0FB99D41" w:rsidR="005B6D95" w:rsidRPr="009834F7" w:rsidRDefault="00D03BEF" w:rsidP="009834F7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lastRenderedPageBreak/>
                    <w:t xml:space="preserve">Aneurin Bevan University Health Board – </w:t>
                  </w:r>
                  <w:r w:rsidR="00EB6F49">
                    <w:rPr>
                      <w:rFonts w:cs="Arial"/>
                      <w:szCs w:val="22"/>
                    </w:rPr>
                    <w:t xml:space="preserve">to fund a </w:t>
                  </w:r>
                  <w:r>
                    <w:rPr>
                      <w:rFonts w:cs="Arial"/>
                      <w:szCs w:val="22"/>
                    </w:rPr>
                    <w:t xml:space="preserve">Violence Prevention </w:t>
                  </w:r>
                  <w:r w:rsidR="00841188">
                    <w:rPr>
                      <w:rFonts w:cs="Arial"/>
                      <w:szCs w:val="22"/>
                    </w:rPr>
                    <w:t xml:space="preserve">Coordinator </w:t>
                  </w:r>
                  <w:r w:rsidR="003A5BCC">
                    <w:rPr>
                      <w:rFonts w:cs="Arial"/>
                      <w:szCs w:val="22"/>
                    </w:rPr>
                    <w:t xml:space="preserve">based in </w:t>
                  </w:r>
                  <w:r w:rsidR="00EB2A85">
                    <w:rPr>
                      <w:rFonts w:cs="Arial"/>
                      <w:szCs w:val="22"/>
                    </w:rPr>
                    <w:t xml:space="preserve">Gwent’s </w:t>
                  </w:r>
                  <w:r w:rsidR="003A5BCC">
                    <w:rPr>
                      <w:rFonts w:cs="Arial"/>
                      <w:szCs w:val="22"/>
                    </w:rPr>
                    <w:t>Emergency Dept and Minor Injuries Unit</w:t>
                  </w:r>
                  <w:r w:rsidR="00EB2A85">
                    <w:rPr>
                      <w:rFonts w:cs="Arial"/>
                      <w:szCs w:val="22"/>
                    </w:rPr>
                    <w:t>, They will</w:t>
                  </w:r>
                  <w:r w:rsidR="00C61A52" w:rsidRPr="00784980">
                    <w:rPr>
                      <w:rFonts w:cs="Arial"/>
                      <w:color w:val="000000" w:themeColor="text1"/>
                      <w:szCs w:val="22"/>
                    </w:rPr>
                    <w:t xml:space="preserve"> </w:t>
                  </w:r>
                  <w:r w:rsidR="00C61A52" w:rsidRPr="00784980">
                    <w:rPr>
                      <w:rFonts w:eastAsia="Calibri" w:cs="Arial"/>
                      <w:color w:val="000000" w:themeColor="text1"/>
                    </w:rPr>
                    <w:t>support individuals</w:t>
                  </w:r>
                  <w:r w:rsidR="00FC475A" w:rsidRPr="00784980">
                    <w:rPr>
                      <w:rFonts w:eastAsia="Calibri" w:cs="Arial"/>
                      <w:color w:val="000000" w:themeColor="text1"/>
                    </w:rPr>
                    <w:t xml:space="preserve"> presenting with violent crime injuries by</w:t>
                  </w:r>
                  <w:r w:rsidR="00C61A52" w:rsidRPr="00784980">
                    <w:rPr>
                      <w:rFonts w:eastAsia="Calibri" w:cs="Arial"/>
                      <w:color w:val="000000" w:themeColor="text1"/>
                    </w:rPr>
                    <w:t xml:space="preserve"> working with</w:t>
                  </w:r>
                  <w:r w:rsidR="00784980" w:rsidRPr="00784980">
                    <w:rPr>
                      <w:rFonts w:eastAsia="Calibri" w:cs="Arial"/>
                      <w:color w:val="000000" w:themeColor="text1"/>
                    </w:rPr>
                    <w:t xml:space="preserve"> other agencies</w:t>
                  </w:r>
                  <w:r w:rsidR="00C61A52" w:rsidRPr="00784980">
                    <w:rPr>
                      <w:rFonts w:eastAsia="Calibri" w:cs="Arial"/>
                      <w:color w:val="000000" w:themeColor="text1"/>
                    </w:rPr>
                    <w:t xml:space="preserve"> to manage risk and harm and offer onward support and referral</w:t>
                  </w:r>
                  <w:r w:rsidR="00784980" w:rsidRPr="00784980">
                    <w:rPr>
                      <w:rFonts w:eastAsia="Calibri" w:cs="Arial"/>
                      <w:color w:val="000000" w:themeColor="text1"/>
                    </w:rPr>
                    <w:t xml:space="preserve"> pathways.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38A6" w14:textId="42B2EFB5" w:rsidR="005B6D95" w:rsidRPr="009834F7" w:rsidRDefault="009834F7" w:rsidP="009834F7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 w:rsidRPr="009834F7">
                    <w:rPr>
                      <w:rFonts w:cs="Arial"/>
                      <w:szCs w:val="22"/>
                    </w:rPr>
                    <w:t>£</w:t>
                  </w:r>
                  <w:r w:rsidR="003A5BCC">
                    <w:rPr>
                      <w:rFonts w:cs="Arial"/>
                      <w:szCs w:val="22"/>
                    </w:rPr>
                    <w:t>20,000</w:t>
                  </w:r>
                </w:p>
              </w:tc>
            </w:tr>
            <w:tr w:rsidR="00543FDA" w:rsidRPr="00A30EB1" w14:paraId="540E4B64" w14:textId="77777777" w:rsidTr="00157AA1">
              <w:trPr>
                <w:trHeight w:val="298"/>
              </w:trPr>
              <w:tc>
                <w:tcPr>
                  <w:tcW w:w="6840" w:type="dxa"/>
                  <w:tcBorders>
                    <w:top w:val="single" w:sz="4" w:space="0" w:color="auto"/>
                  </w:tcBorders>
                </w:tcPr>
                <w:p w14:paraId="69C54BC0" w14:textId="1F7F55D8" w:rsidR="00543FDA" w:rsidRPr="00A30EB1" w:rsidRDefault="00543FDA" w:rsidP="00F93043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Caerphilly</w:t>
                  </w:r>
                  <w:r w:rsidR="00F63B30">
                    <w:rPr>
                      <w:rFonts w:cs="Arial"/>
                      <w:szCs w:val="22"/>
                    </w:rPr>
                    <w:t xml:space="preserve"> and Blae</w:t>
                  </w:r>
                  <w:r w:rsidR="000425A0">
                    <w:rPr>
                      <w:rFonts w:cs="Arial"/>
                      <w:szCs w:val="22"/>
                    </w:rPr>
                    <w:t>nau-Gwent Youth Offending Service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="00F63B30">
                    <w:rPr>
                      <w:rFonts w:cs="Arial"/>
                      <w:szCs w:val="22"/>
                    </w:rPr>
                    <w:t xml:space="preserve">(on behalf of all </w:t>
                  </w:r>
                  <w:r w:rsidR="000425A0">
                    <w:rPr>
                      <w:rFonts w:cs="Arial"/>
                      <w:szCs w:val="22"/>
                    </w:rPr>
                    <w:t xml:space="preserve">YOS across Gwent) – </w:t>
                  </w:r>
                  <w:r w:rsidR="00E37206">
                    <w:rPr>
                      <w:rFonts w:cs="Arial"/>
                      <w:szCs w:val="22"/>
                    </w:rPr>
                    <w:t xml:space="preserve">to purchase </w:t>
                  </w:r>
                  <w:r w:rsidR="000425A0">
                    <w:rPr>
                      <w:rFonts w:cs="Arial"/>
                      <w:szCs w:val="22"/>
                    </w:rPr>
                    <w:t xml:space="preserve">Streetwise Education </w:t>
                  </w:r>
                  <w:r w:rsidR="00BD2F4E">
                    <w:rPr>
                      <w:rFonts w:cs="Arial"/>
                      <w:szCs w:val="22"/>
                    </w:rPr>
                    <w:t>street crime/</w:t>
                  </w:r>
                  <w:r w:rsidR="000902FF">
                    <w:rPr>
                      <w:rFonts w:cs="Arial"/>
                      <w:szCs w:val="22"/>
                    </w:rPr>
                    <w:t xml:space="preserve">gang violence </w:t>
                  </w:r>
                  <w:r w:rsidR="002D3447">
                    <w:rPr>
                      <w:rFonts w:cs="Arial"/>
                      <w:szCs w:val="22"/>
                    </w:rPr>
                    <w:t>prevention</w:t>
                  </w:r>
                  <w:r w:rsidR="00BD2F4E">
                    <w:rPr>
                      <w:rFonts w:cs="Arial"/>
                      <w:szCs w:val="22"/>
                    </w:rPr>
                    <w:t xml:space="preserve"> resources</w:t>
                  </w:r>
                  <w:r w:rsidR="00EB6F49">
                    <w:rPr>
                      <w:rFonts w:cs="Arial"/>
                      <w:szCs w:val="22"/>
                    </w:rPr>
                    <w:t>, to train YOS workers</w:t>
                  </w:r>
                  <w:r w:rsidR="00E37206">
                    <w:rPr>
                      <w:rFonts w:cs="Arial"/>
                      <w:szCs w:val="22"/>
                    </w:rPr>
                    <w:t xml:space="preserve"> and better support </w:t>
                  </w:r>
                  <w:r w:rsidR="006458FF">
                    <w:rPr>
                      <w:rFonts w:cs="Arial"/>
                      <w:szCs w:val="22"/>
                    </w:rPr>
                    <w:t>children and young people from committing future violent crimes</w:t>
                  </w:r>
                  <w:r w:rsidR="00784980">
                    <w:rPr>
                      <w:rFonts w:cs="Arial"/>
                      <w:szCs w:val="22"/>
                    </w:rPr>
                    <w:t>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14:paraId="50F7F8BD" w14:textId="1A178F7B" w:rsidR="00543FDA" w:rsidRPr="00A30EB1" w:rsidRDefault="009834F7" w:rsidP="00836604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0902FF">
                    <w:rPr>
                      <w:rFonts w:cs="Arial"/>
                      <w:szCs w:val="22"/>
                    </w:rPr>
                    <w:t>4,785</w:t>
                  </w:r>
                </w:p>
              </w:tc>
            </w:tr>
            <w:tr w:rsidR="005B6D95" w:rsidRPr="00A30EB1" w14:paraId="4AD4C6F5" w14:textId="77777777" w:rsidTr="00157AA1">
              <w:trPr>
                <w:trHeight w:val="298"/>
              </w:trPr>
              <w:tc>
                <w:tcPr>
                  <w:tcW w:w="6840" w:type="dxa"/>
                  <w:tcBorders>
                    <w:top w:val="single" w:sz="4" w:space="0" w:color="auto"/>
                  </w:tcBorders>
                </w:tcPr>
                <w:p w14:paraId="2F572126" w14:textId="2B21AC5A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Newport City Council </w:t>
                  </w:r>
                  <w:r w:rsidR="00FE7F12">
                    <w:rPr>
                      <w:rFonts w:cs="Arial"/>
                      <w:szCs w:val="22"/>
                    </w:rPr>
                    <w:t>–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="007C3097">
                    <w:rPr>
                      <w:rFonts w:cs="Arial"/>
                      <w:szCs w:val="22"/>
                    </w:rPr>
                    <w:t>to fund an e</w:t>
                  </w:r>
                  <w:r w:rsidR="00FE7F12">
                    <w:rPr>
                      <w:rFonts w:cs="Arial"/>
                      <w:szCs w:val="22"/>
                    </w:rPr>
                    <w:t xml:space="preserve">xpansion </w:t>
                  </w:r>
                  <w:r w:rsidR="007C3097">
                    <w:rPr>
                      <w:rFonts w:cs="Arial"/>
                      <w:szCs w:val="22"/>
                    </w:rPr>
                    <w:t>of the</w:t>
                  </w:r>
                  <w:r w:rsidR="00FE7F12">
                    <w:rPr>
                      <w:rFonts w:cs="Arial"/>
                      <w:szCs w:val="22"/>
                    </w:rPr>
                    <w:t xml:space="preserve"> ‘Night Ambassadors’ Scheme </w:t>
                  </w:r>
                  <w:r w:rsidR="00C765E0">
                    <w:rPr>
                      <w:rFonts w:cs="Arial"/>
                      <w:szCs w:val="22"/>
                    </w:rPr>
                    <w:t>in</w:t>
                  </w:r>
                  <w:r w:rsidR="00EB6F49">
                    <w:rPr>
                      <w:rFonts w:cs="Arial"/>
                      <w:szCs w:val="22"/>
                    </w:rPr>
                    <w:t xml:space="preserve"> Newport who work in the</w:t>
                  </w:r>
                  <w:r w:rsidR="00EB466E">
                    <w:rPr>
                      <w:rFonts w:cs="Arial"/>
                      <w:szCs w:val="22"/>
                    </w:rPr>
                    <w:t xml:space="preserve"> city centre</w:t>
                  </w:r>
                  <w:r w:rsidR="00C765E0">
                    <w:rPr>
                      <w:rFonts w:cs="Arial"/>
                      <w:szCs w:val="22"/>
                    </w:rPr>
                    <w:t xml:space="preserve"> evening and night time economy</w:t>
                  </w:r>
                  <w:r w:rsidR="00E37206">
                    <w:rPr>
                      <w:rFonts w:cs="Arial"/>
                      <w:szCs w:val="22"/>
                    </w:rPr>
                    <w:t>, preventing street based violence and other crime and disorder</w:t>
                  </w:r>
                  <w:r w:rsidR="00784980">
                    <w:rPr>
                      <w:rFonts w:cs="Arial"/>
                      <w:szCs w:val="22"/>
                    </w:rPr>
                    <w:t>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14:paraId="3C9F6AE6" w14:textId="674A1021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2D3447">
                    <w:rPr>
                      <w:rFonts w:cs="Arial"/>
                      <w:szCs w:val="22"/>
                    </w:rPr>
                    <w:t>16,500</w:t>
                  </w:r>
                </w:p>
              </w:tc>
            </w:tr>
            <w:tr w:rsidR="005B6D95" w:rsidRPr="00A30EB1" w14:paraId="663F42E9" w14:textId="77777777" w:rsidTr="00157AA1">
              <w:trPr>
                <w:trHeight w:val="298"/>
              </w:trPr>
              <w:tc>
                <w:tcPr>
                  <w:tcW w:w="6840" w:type="dxa"/>
                  <w:tcBorders>
                    <w:top w:val="single" w:sz="4" w:space="0" w:color="auto"/>
                  </w:tcBorders>
                </w:tcPr>
                <w:p w14:paraId="5FE170D4" w14:textId="1BB6A325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Torfaen County Borough Council </w:t>
                  </w:r>
                  <w:r w:rsidR="00160C8E">
                    <w:rPr>
                      <w:rFonts w:cs="Arial"/>
                      <w:szCs w:val="22"/>
                    </w:rPr>
                    <w:t>–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="00EB466E">
                    <w:rPr>
                      <w:rFonts w:cs="Arial"/>
                      <w:szCs w:val="22"/>
                    </w:rPr>
                    <w:t>to fund 1-1 v</w:t>
                  </w:r>
                  <w:r w:rsidR="00160C8E">
                    <w:rPr>
                      <w:rFonts w:cs="Arial"/>
                      <w:szCs w:val="22"/>
                    </w:rPr>
                    <w:t xml:space="preserve">iolence </w:t>
                  </w:r>
                  <w:r w:rsidR="0080405C">
                    <w:rPr>
                      <w:rFonts w:cs="Arial"/>
                      <w:szCs w:val="22"/>
                    </w:rPr>
                    <w:t>r</w:t>
                  </w:r>
                  <w:r w:rsidR="00160C8E">
                    <w:rPr>
                      <w:rFonts w:cs="Arial"/>
                      <w:szCs w:val="22"/>
                    </w:rPr>
                    <w:t xml:space="preserve">eduction </w:t>
                  </w:r>
                  <w:r w:rsidR="0080405C">
                    <w:rPr>
                      <w:rFonts w:cs="Arial"/>
                      <w:szCs w:val="22"/>
                    </w:rPr>
                    <w:t>mentor</w:t>
                  </w:r>
                  <w:r w:rsidR="00770BC4">
                    <w:rPr>
                      <w:rFonts w:cs="Arial"/>
                      <w:szCs w:val="22"/>
                    </w:rPr>
                    <w:t>s</w:t>
                  </w:r>
                  <w:r w:rsidR="0080405C">
                    <w:rPr>
                      <w:rFonts w:cs="Arial"/>
                      <w:szCs w:val="22"/>
                    </w:rPr>
                    <w:t xml:space="preserve"> </w:t>
                  </w:r>
                  <w:r w:rsidR="00D50E9B">
                    <w:rPr>
                      <w:rFonts w:cs="Arial"/>
                      <w:szCs w:val="22"/>
                    </w:rPr>
                    <w:t xml:space="preserve">for children </w:t>
                  </w:r>
                  <w:r w:rsidR="002D2896">
                    <w:rPr>
                      <w:rFonts w:cs="Arial"/>
                      <w:szCs w:val="22"/>
                    </w:rPr>
                    <w:t>who have</w:t>
                  </w:r>
                  <w:r w:rsidR="00D50E9B">
                    <w:rPr>
                      <w:rFonts w:cs="Arial"/>
                      <w:szCs w:val="22"/>
                    </w:rPr>
                    <w:t xml:space="preserve"> committ</w:t>
                  </w:r>
                  <w:r w:rsidR="002D2896">
                    <w:rPr>
                      <w:rFonts w:cs="Arial"/>
                      <w:szCs w:val="22"/>
                    </w:rPr>
                    <w:t>ed</w:t>
                  </w:r>
                  <w:r w:rsidR="00D50E9B">
                    <w:rPr>
                      <w:rFonts w:cs="Arial"/>
                      <w:szCs w:val="22"/>
                    </w:rPr>
                    <w:t xml:space="preserve"> violent crime </w:t>
                  </w:r>
                  <w:r w:rsidR="0080405C">
                    <w:rPr>
                      <w:rFonts w:cs="Arial"/>
                      <w:szCs w:val="22"/>
                    </w:rPr>
                    <w:t xml:space="preserve">and </w:t>
                  </w:r>
                  <w:r w:rsidR="00D50E9B">
                    <w:rPr>
                      <w:rFonts w:cs="Arial"/>
                      <w:szCs w:val="22"/>
                    </w:rPr>
                    <w:t xml:space="preserve">additional </w:t>
                  </w:r>
                  <w:r w:rsidR="0080405C">
                    <w:rPr>
                      <w:rFonts w:cs="Arial"/>
                      <w:szCs w:val="22"/>
                    </w:rPr>
                    <w:t>workshops in schools</w:t>
                  </w:r>
                  <w:r w:rsidR="001A50A4">
                    <w:rPr>
                      <w:rFonts w:cs="Arial"/>
                      <w:szCs w:val="22"/>
                    </w:rPr>
                    <w:t xml:space="preserve"> to raise awareness of the consequences of committing violent crime</w:t>
                  </w:r>
                  <w:r w:rsidR="00784980">
                    <w:rPr>
                      <w:rFonts w:cs="Arial"/>
                      <w:szCs w:val="22"/>
                    </w:rPr>
                    <w:t>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14:paraId="66B26E53" w14:textId="73944684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80405C">
                    <w:rPr>
                      <w:rFonts w:cs="Arial"/>
                      <w:szCs w:val="22"/>
                    </w:rPr>
                    <w:t>16,500</w:t>
                  </w:r>
                </w:p>
              </w:tc>
            </w:tr>
            <w:tr w:rsidR="005B6D95" w:rsidRPr="00A30EB1" w14:paraId="66622378" w14:textId="77777777" w:rsidTr="00157AA1">
              <w:trPr>
                <w:trHeight w:val="298"/>
              </w:trPr>
              <w:tc>
                <w:tcPr>
                  <w:tcW w:w="6840" w:type="dxa"/>
                  <w:tcBorders>
                    <w:top w:val="single" w:sz="4" w:space="0" w:color="auto"/>
                  </w:tcBorders>
                </w:tcPr>
                <w:p w14:paraId="23F6DFE7" w14:textId="43680552" w:rsidR="005B6D95" w:rsidRPr="009C725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 w:rsidRPr="009C7255">
                    <w:rPr>
                      <w:rFonts w:cs="Arial"/>
                      <w:b/>
                      <w:szCs w:val="22"/>
                    </w:rPr>
                    <w:t>Total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14:paraId="50F8730A" w14:textId="47FB694F" w:rsidR="005B6D95" w:rsidRPr="009C725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 w:rsidRPr="009C7255">
                    <w:rPr>
                      <w:rFonts w:cs="Arial"/>
                      <w:b/>
                      <w:szCs w:val="22"/>
                    </w:rPr>
                    <w:t>£</w:t>
                  </w:r>
                  <w:r w:rsidR="0006751B">
                    <w:rPr>
                      <w:rFonts w:cs="Arial"/>
                      <w:b/>
                      <w:szCs w:val="22"/>
                    </w:rPr>
                    <w:t>57,785</w:t>
                  </w:r>
                </w:p>
              </w:tc>
            </w:tr>
          </w:tbl>
          <w:p w14:paraId="68B1B1F8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3C14F3" w14:textId="77777777" w:rsidR="00957874" w:rsidRPr="001D04C7" w:rsidRDefault="00957874" w:rsidP="003F37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16DB073F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93B6CE0" w14:textId="7AA65A73" w:rsidR="004D7673" w:rsidRPr="00933DD9" w:rsidRDefault="008A350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4D76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199" w14:textId="77777777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>will be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5060245A" w14:textId="42534410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FF230D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</w:t>
            </w:r>
            <w:r w:rsidR="00112193">
              <w:rPr>
                <w:rFonts w:ascii="Arial" w:hAnsi="Arial" w:cs="Arial"/>
                <w:sz w:val="24"/>
                <w:szCs w:val="24"/>
              </w:rPr>
              <w:t xml:space="preserve"> the requirements under the Duty, and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Policing Priorities in Gwent, as outlined in the Police and </w:t>
            </w:r>
            <w:r w:rsidR="00DD56A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an end of year monitoring report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135F6C43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C8F877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F0DAEE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0B8CF0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2AC108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2341B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123C34B0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2341BA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ABE032E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CBAE0" w14:textId="1DFC9B81" w:rsidR="001D04C7" w:rsidRDefault="001D04C7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="007E07B0">
              <w:rPr>
                <w:rFonts w:ascii="Arial" w:hAnsi="Arial" w:cs="Arial"/>
                <w:sz w:val="24"/>
                <w:szCs w:val="24"/>
              </w:rPr>
              <w:t>Working Group or Home Office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recommend</w:t>
            </w:r>
            <w:r w:rsidR="007E07B0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additional conditions over and above the standard terms and conditions</w:t>
            </w:r>
            <w:r w:rsidR="002341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56B8">
              <w:rPr>
                <w:rFonts w:ascii="Arial" w:hAnsi="Arial" w:cs="Arial"/>
                <w:sz w:val="24"/>
                <w:szCs w:val="24"/>
              </w:rPr>
              <w:t>(</w:t>
            </w:r>
            <w:r w:rsidR="002341BA"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 w:rsidR="002756B8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 w:rsidR="002756B8">
              <w:rPr>
                <w:rFonts w:ascii="Arial" w:hAnsi="Arial" w:cs="Arial"/>
                <w:sz w:val="24"/>
                <w:szCs w:val="24"/>
              </w:rPr>
              <w:t>te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6FEA01EF" w14:textId="77777777" w:rsidR="00BF120D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91080" w14:textId="77777777" w:rsidR="00F12D58" w:rsidRPr="001D04C7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>Successful applicants will be required to accept the terms and conditions of the grant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</w:tc>
      </w:tr>
    </w:tbl>
    <w:p w14:paraId="6BB1C264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1D7B739C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64"/>
      </w:tblGrid>
      <w:tr w:rsidR="00320095" w:rsidRPr="00933DD9" w14:paraId="6D04E3EB" w14:textId="77777777" w:rsidTr="00933DD9">
        <w:tc>
          <w:tcPr>
            <w:tcW w:w="9242" w:type="dxa"/>
            <w:gridSpan w:val="2"/>
            <w:shd w:val="clear" w:color="auto" w:fill="auto"/>
          </w:tcPr>
          <w:p w14:paraId="2EA06A75" w14:textId="77777777" w:rsidR="00320095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  <w:p w14:paraId="151BF5B7" w14:textId="77777777" w:rsidR="006E3A29" w:rsidRDefault="006E3A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EF620" w14:textId="6CAE3915" w:rsidR="006E3A29" w:rsidRPr="00933DD9" w:rsidRDefault="006E3A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12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This report has been signed by the Chief Executive on behalf of the PCC as per Part 3c, Scheme of Consent and Delegation, Paragraph 9 of the Manual of Corporate Governance</w:t>
            </w:r>
          </w:p>
        </w:tc>
      </w:tr>
      <w:tr w:rsidR="00320095" w:rsidRPr="00933DD9" w14:paraId="314FFC6A" w14:textId="77777777" w:rsidTr="00933DD9">
        <w:tc>
          <w:tcPr>
            <w:tcW w:w="9242" w:type="dxa"/>
            <w:gridSpan w:val="2"/>
            <w:shd w:val="clear" w:color="auto" w:fill="auto"/>
          </w:tcPr>
          <w:p w14:paraId="6FA8945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25C1357D" w14:textId="77777777" w:rsidTr="00933DD9">
        <w:tc>
          <w:tcPr>
            <w:tcW w:w="4621" w:type="dxa"/>
            <w:shd w:val="clear" w:color="auto" w:fill="auto"/>
          </w:tcPr>
          <w:p w14:paraId="64933F8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FF81F43" w14:textId="065EC285" w:rsidR="00782173" w:rsidRPr="00933DD9" w:rsidRDefault="00182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59138C" wp14:editId="004FDAA6">
                  <wp:extent cx="2189400" cy="7715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5" cy="7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5F2415A2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3433FFC" w14:textId="77777777" w:rsidR="00182EBA" w:rsidRDefault="00182E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440A7" w14:textId="5E258831" w:rsidR="00182EBA" w:rsidRPr="00933DD9" w:rsidRDefault="00182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07.12.2023</w:t>
            </w: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6B8C14D0" w14:textId="77777777" w:rsidTr="00F27A6F">
        <w:tc>
          <w:tcPr>
            <w:tcW w:w="3652" w:type="dxa"/>
            <w:shd w:val="clear" w:color="auto" w:fill="auto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  <w:shd w:val="clear" w:color="auto" w:fill="auto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BD117FE" w14:textId="0A53FCED" w:rsidR="00320095" w:rsidRPr="00933DD9" w:rsidRDefault="006E3A29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 Slater</w:t>
            </w:r>
          </w:p>
        </w:tc>
      </w:tr>
      <w:tr w:rsidR="00320095" w:rsidRPr="00933DD9" w14:paraId="37DB5A5E" w14:textId="77777777" w:rsidTr="00F27A6F">
        <w:tc>
          <w:tcPr>
            <w:tcW w:w="3652" w:type="dxa"/>
            <w:shd w:val="clear" w:color="auto" w:fill="auto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55F1C9E6" w14:textId="2CC6002C" w:rsidR="00320095" w:rsidRPr="00933DD9" w:rsidRDefault="006E3A29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Strategy</w:t>
            </w:r>
          </w:p>
        </w:tc>
      </w:tr>
      <w:tr w:rsidR="00320095" w:rsidRPr="00933DD9" w14:paraId="69006E78" w14:textId="77777777" w:rsidTr="00F27A6F">
        <w:tc>
          <w:tcPr>
            <w:tcW w:w="3652" w:type="dxa"/>
            <w:shd w:val="clear" w:color="auto" w:fill="auto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2C2DF61" w14:textId="7A9C4AE9" w:rsidR="00320095" w:rsidRPr="00933DD9" w:rsidRDefault="00E069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01633 642200</w:t>
            </w:r>
          </w:p>
        </w:tc>
      </w:tr>
      <w:tr w:rsidR="00320095" w:rsidRPr="00933DD9" w14:paraId="36CDF0B4" w14:textId="77777777" w:rsidTr="00F27A6F">
        <w:tc>
          <w:tcPr>
            <w:tcW w:w="3652" w:type="dxa"/>
            <w:shd w:val="clear" w:color="auto" w:fill="auto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E3BCA54" w14:textId="73B085A6" w:rsidR="00320095" w:rsidRPr="00933DD9" w:rsidRDefault="006E3A29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Sam.slater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  <w:shd w:val="clear" w:color="auto" w:fill="auto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5F046E03" w14:textId="372C030A" w:rsidR="009834F7" w:rsidRPr="00933DD9" w:rsidRDefault="009834F7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9187" w14:textId="77777777" w:rsidR="00C00F34" w:rsidRDefault="00C00F34" w:rsidP="00DE22AB">
      <w:pPr>
        <w:spacing w:after="0" w:line="240" w:lineRule="auto"/>
      </w:pPr>
      <w:r>
        <w:separator/>
      </w:r>
    </w:p>
  </w:endnote>
  <w:endnote w:type="continuationSeparator" w:id="0">
    <w:p w14:paraId="3E64481E" w14:textId="77777777" w:rsidR="00C00F34" w:rsidRDefault="00C00F34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3C57" w14:textId="77777777" w:rsidR="00C00F34" w:rsidRDefault="00C00F34" w:rsidP="00DE22AB">
      <w:pPr>
        <w:spacing w:after="0" w:line="240" w:lineRule="auto"/>
      </w:pPr>
      <w:r>
        <w:separator/>
      </w:r>
    </w:p>
  </w:footnote>
  <w:footnote w:type="continuationSeparator" w:id="0">
    <w:p w14:paraId="2570973A" w14:textId="77777777" w:rsidR="00C00F34" w:rsidRDefault="00C00F34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7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8"/>
  </w:num>
  <w:num w:numId="8" w16cid:durableId="1430587291">
    <w:abstractNumId w:val="9"/>
  </w:num>
  <w:num w:numId="9" w16cid:durableId="1782845608">
    <w:abstractNumId w:val="2"/>
  </w:num>
  <w:num w:numId="10" w16cid:durableId="142095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25A0"/>
    <w:rsid w:val="00043F0E"/>
    <w:rsid w:val="0006751B"/>
    <w:rsid w:val="0008452F"/>
    <w:rsid w:val="000902FF"/>
    <w:rsid w:val="00093560"/>
    <w:rsid w:val="000C2F27"/>
    <w:rsid w:val="000C63F5"/>
    <w:rsid w:val="000F0BC3"/>
    <w:rsid w:val="000F1872"/>
    <w:rsid w:val="00112193"/>
    <w:rsid w:val="00116A3F"/>
    <w:rsid w:val="00130EA2"/>
    <w:rsid w:val="00131773"/>
    <w:rsid w:val="00131A9A"/>
    <w:rsid w:val="001452E1"/>
    <w:rsid w:val="00147B75"/>
    <w:rsid w:val="001512EF"/>
    <w:rsid w:val="00157AA1"/>
    <w:rsid w:val="00160694"/>
    <w:rsid w:val="00160BFC"/>
    <w:rsid w:val="00160C8E"/>
    <w:rsid w:val="0016122E"/>
    <w:rsid w:val="00182EBA"/>
    <w:rsid w:val="00190362"/>
    <w:rsid w:val="00193194"/>
    <w:rsid w:val="001978D9"/>
    <w:rsid w:val="001A50A4"/>
    <w:rsid w:val="001B0CDE"/>
    <w:rsid w:val="001B773A"/>
    <w:rsid w:val="001C1D7B"/>
    <w:rsid w:val="001D04C7"/>
    <w:rsid w:val="001D66C0"/>
    <w:rsid w:val="00202626"/>
    <w:rsid w:val="002069CA"/>
    <w:rsid w:val="00213F43"/>
    <w:rsid w:val="0022477E"/>
    <w:rsid w:val="00226C0F"/>
    <w:rsid w:val="002341BA"/>
    <w:rsid w:val="00255BCD"/>
    <w:rsid w:val="0025617B"/>
    <w:rsid w:val="002756B8"/>
    <w:rsid w:val="00277CC5"/>
    <w:rsid w:val="00292481"/>
    <w:rsid w:val="00293F07"/>
    <w:rsid w:val="002A0289"/>
    <w:rsid w:val="002A0E83"/>
    <w:rsid w:val="002A3E1E"/>
    <w:rsid w:val="002A626C"/>
    <w:rsid w:val="002C137E"/>
    <w:rsid w:val="002D2896"/>
    <w:rsid w:val="002D3447"/>
    <w:rsid w:val="002D39E9"/>
    <w:rsid w:val="002D4061"/>
    <w:rsid w:val="002E31B3"/>
    <w:rsid w:val="002F62CE"/>
    <w:rsid w:val="00311A9F"/>
    <w:rsid w:val="00320095"/>
    <w:rsid w:val="00320902"/>
    <w:rsid w:val="003213F0"/>
    <w:rsid w:val="0034702F"/>
    <w:rsid w:val="00353B5A"/>
    <w:rsid w:val="00365963"/>
    <w:rsid w:val="003815B6"/>
    <w:rsid w:val="00390764"/>
    <w:rsid w:val="003A5BCC"/>
    <w:rsid w:val="003A5FFF"/>
    <w:rsid w:val="003B0342"/>
    <w:rsid w:val="003B662E"/>
    <w:rsid w:val="003B7FA3"/>
    <w:rsid w:val="003F245A"/>
    <w:rsid w:val="003F3732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14E44"/>
    <w:rsid w:val="00523679"/>
    <w:rsid w:val="005237E0"/>
    <w:rsid w:val="00543FDA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4CD"/>
    <w:rsid w:val="00612731"/>
    <w:rsid w:val="00621046"/>
    <w:rsid w:val="00621805"/>
    <w:rsid w:val="0063646A"/>
    <w:rsid w:val="006458FF"/>
    <w:rsid w:val="006607EA"/>
    <w:rsid w:val="00672410"/>
    <w:rsid w:val="006B50C7"/>
    <w:rsid w:val="006B7150"/>
    <w:rsid w:val="006D781F"/>
    <w:rsid w:val="006E3A29"/>
    <w:rsid w:val="006F3A19"/>
    <w:rsid w:val="00703D76"/>
    <w:rsid w:val="0071014D"/>
    <w:rsid w:val="007209BF"/>
    <w:rsid w:val="007275A9"/>
    <w:rsid w:val="007440EB"/>
    <w:rsid w:val="007604AD"/>
    <w:rsid w:val="00762ACB"/>
    <w:rsid w:val="007674CB"/>
    <w:rsid w:val="00770BC4"/>
    <w:rsid w:val="00782173"/>
    <w:rsid w:val="00784980"/>
    <w:rsid w:val="00785CE5"/>
    <w:rsid w:val="00786E28"/>
    <w:rsid w:val="00787656"/>
    <w:rsid w:val="007A52D5"/>
    <w:rsid w:val="007B39B7"/>
    <w:rsid w:val="007B53AF"/>
    <w:rsid w:val="007C3097"/>
    <w:rsid w:val="007D213C"/>
    <w:rsid w:val="007D7007"/>
    <w:rsid w:val="007D72AA"/>
    <w:rsid w:val="007E07B0"/>
    <w:rsid w:val="007E2A05"/>
    <w:rsid w:val="007F334A"/>
    <w:rsid w:val="007F39C1"/>
    <w:rsid w:val="008035DD"/>
    <w:rsid w:val="0080405C"/>
    <w:rsid w:val="00823422"/>
    <w:rsid w:val="00826561"/>
    <w:rsid w:val="00833CE2"/>
    <w:rsid w:val="00836604"/>
    <w:rsid w:val="00841188"/>
    <w:rsid w:val="00844578"/>
    <w:rsid w:val="0085348E"/>
    <w:rsid w:val="0087243D"/>
    <w:rsid w:val="0089396D"/>
    <w:rsid w:val="008A1553"/>
    <w:rsid w:val="008A3502"/>
    <w:rsid w:val="008D0129"/>
    <w:rsid w:val="008E53A0"/>
    <w:rsid w:val="00915C84"/>
    <w:rsid w:val="00923CB9"/>
    <w:rsid w:val="00927A0A"/>
    <w:rsid w:val="00933DD9"/>
    <w:rsid w:val="00952917"/>
    <w:rsid w:val="00957874"/>
    <w:rsid w:val="00966E9E"/>
    <w:rsid w:val="009834F7"/>
    <w:rsid w:val="00987D01"/>
    <w:rsid w:val="009A64DB"/>
    <w:rsid w:val="009B308D"/>
    <w:rsid w:val="009C7255"/>
    <w:rsid w:val="009D678F"/>
    <w:rsid w:val="009F3815"/>
    <w:rsid w:val="00A12607"/>
    <w:rsid w:val="00A333CA"/>
    <w:rsid w:val="00A35F58"/>
    <w:rsid w:val="00A36DF4"/>
    <w:rsid w:val="00A429E1"/>
    <w:rsid w:val="00A43B80"/>
    <w:rsid w:val="00A50103"/>
    <w:rsid w:val="00A567D8"/>
    <w:rsid w:val="00A6101D"/>
    <w:rsid w:val="00A645AC"/>
    <w:rsid w:val="00A82E5E"/>
    <w:rsid w:val="00A94261"/>
    <w:rsid w:val="00A963B4"/>
    <w:rsid w:val="00AA5633"/>
    <w:rsid w:val="00AB151E"/>
    <w:rsid w:val="00AF5AF4"/>
    <w:rsid w:val="00B1223D"/>
    <w:rsid w:val="00B15C10"/>
    <w:rsid w:val="00B23E41"/>
    <w:rsid w:val="00B608C5"/>
    <w:rsid w:val="00B726EC"/>
    <w:rsid w:val="00B72DBE"/>
    <w:rsid w:val="00BB7344"/>
    <w:rsid w:val="00BD2F4E"/>
    <w:rsid w:val="00BD4EAE"/>
    <w:rsid w:val="00BE17AD"/>
    <w:rsid w:val="00BF120D"/>
    <w:rsid w:val="00BF44B2"/>
    <w:rsid w:val="00C00F34"/>
    <w:rsid w:val="00C36DC2"/>
    <w:rsid w:val="00C419F2"/>
    <w:rsid w:val="00C43D7D"/>
    <w:rsid w:val="00C61A52"/>
    <w:rsid w:val="00C67B93"/>
    <w:rsid w:val="00C765E0"/>
    <w:rsid w:val="00C83772"/>
    <w:rsid w:val="00CA0069"/>
    <w:rsid w:val="00CA027B"/>
    <w:rsid w:val="00CA4395"/>
    <w:rsid w:val="00CA7C9E"/>
    <w:rsid w:val="00CC2479"/>
    <w:rsid w:val="00CC7516"/>
    <w:rsid w:val="00CD1F63"/>
    <w:rsid w:val="00D027CA"/>
    <w:rsid w:val="00D031E9"/>
    <w:rsid w:val="00D03BEF"/>
    <w:rsid w:val="00D0411B"/>
    <w:rsid w:val="00D0439A"/>
    <w:rsid w:val="00D268D8"/>
    <w:rsid w:val="00D26BB4"/>
    <w:rsid w:val="00D31DE4"/>
    <w:rsid w:val="00D33208"/>
    <w:rsid w:val="00D37B81"/>
    <w:rsid w:val="00D50E9B"/>
    <w:rsid w:val="00D5511E"/>
    <w:rsid w:val="00D8752E"/>
    <w:rsid w:val="00D92087"/>
    <w:rsid w:val="00DB0B36"/>
    <w:rsid w:val="00DD56A9"/>
    <w:rsid w:val="00DD6CFE"/>
    <w:rsid w:val="00DE22AB"/>
    <w:rsid w:val="00DE6007"/>
    <w:rsid w:val="00E01E22"/>
    <w:rsid w:val="00E04739"/>
    <w:rsid w:val="00E069CE"/>
    <w:rsid w:val="00E07063"/>
    <w:rsid w:val="00E34259"/>
    <w:rsid w:val="00E34B94"/>
    <w:rsid w:val="00E37206"/>
    <w:rsid w:val="00E37EF5"/>
    <w:rsid w:val="00E512A9"/>
    <w:rsid w:val="00E53143"/>
    <w:rsid w:val="00E56EE4"/>
    <w:rsid w:val="00E63F24"/>
    <w:rsid w:val="00E67878"/>
    <w:rsid w:val="00E758FF"/>
    <w:rsid w:val="00E907EC"/>
    <w:rsid w:val="00EA3BE6"/>
    <w:rsid w:val="00EB2A85"/>
    <w:rsid w:val="00EB466E"/>
    <w:rsid w:val="00EB6F49"/>
    <w:rsid w:val="00EE02C1"/>
    <w:rsid w:val="00EE23B4"/>
    <w:rsid w:val="00EE4DC7"/>
    <w:rsid w:val="00EF0979"/>
    <w:rsid w:val="00F12D58"/>
    <w:rsid w:val="00F27A6F"/>
    <w:rsid w:val="00F35C24"/>
    <w:rsid w:val="00F4741F"/>
    <w:rsid w:val="00F63B30"/>
    <w:rsid w:val="00F66B0D"/>
    <w:rsid w:val="00F678D4"/>
    <w:rsid w:val="00F703C8"/>
    <w:rsid w:val="00F7134A"/>
    <w:rsid w:val="00F749D0"/>
    <w:rsid w:val="00F76D19"/>
    <w:rsid w:val="00F86191"/>
    <w:rsid w:val="00F93043"/>
    <w:rsid w:val="00F94BA0"/>
    <w:rsid w:val="00F95045"/>
    <w:rsid w:val="00FB58C6"/>
    <w:rsid w:val="00FC0149"/>
    <w:rsid w:val="00FC475A"/>
    <w:rsid w:val="00FD2C97"/>
    <w:rsid w:val="00FE39BA"/>
    <w:rsid w:val="00FE7F12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3</cp:revision>
  <cp:lastPrinted>2012-12-06T11:30:00Z</cp:lastPrinted>
  <dcterms:created xsi:type="dcterms:W3CDTF">2023-12-07T11:00:00Z</dcterms:created>
  <dcterms:modified xsi:type="dcterms:W3CDTF">2024-01-04T11:35:00Z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