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1E1" w:rsidRDefault="00EF51E1" w:rsidP="00EF51E1">
      <w:pPr>
        <w:jc w:val="center"/>
        <w:rPr>
          <w:rFonts w:ascii="Arial" w:hAnsi="Arial" w:cs="Arial"/>
          <w:b/>
          <w:sz w:val="32"/>
          <w:szCs w:val="32"/>
        </w:rPr>
      </w:pPr>
      <w:r w:rsidRPr="00F275BD">
        <w:rPr>
          <w:noProof/>
          <w:lang w:eastAsia="en-GB"/>
        </w:rPr>
        <w:drawing>
          <wp:inline distT="0" distB="0" distL="0" distR="0" wp14:anchorId="4B090876" wp14:editId="349670B5">
            <wp:extent cx="990600" cy="1057275"/>
            <wp:effectExtent l="0" t="0" r="0" b="9525"/>
            <wp:docPr id="1" name="Picture 1" descr="C:\Users\405878\Desktop\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05878\Desktop\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150" cy="1065333"/>
                    </a:xfrm>
                    <a:prstGeom prst="rect">
                      <a:avLst/>
                    </a:prstGeom>
                    <a:noFill/>
                    <a:ln>
                      <a:noFill/>
                    </a:ln>
                  </pic:spPr>
                </pic:pic>
              </a:graphicData>
            </a:graphic>
          </wp:inline>
        </w:drawing>
      </w:r>
    </w:p>
    <w:p w:rsidR="00EF51E1" w:rsidRDefault="00EF51E1" w:rsidP="00EF51E1">
      <w:pPr>
        <w:jc w:val="center"/>
        <w:rPr>
          <w:rFonts w:ascii="Arial" w:hAnsi="Arial" w:cs="Arial"/>
          <w:b/>
          <w:sz w:val="32"/>
          <w:szCs w:val="32"/>
        </w:rPr>
      </w:pPr>
    </w:p>
    <w:p w:rsidR="00EF51E1" w:rsidRPr="00EF51E1" w:rsidRDefault="00EF51E1" w:rsidP="00EF51E1">
      <w:pPr>
        <w:jc w:val="center"/>
        <w:rPr>
          <w:rFonts w:ascii="Arial" w:hAnsi="Arial" w:cs="Arial"/>
          <w:b/>
          <w:sz w:val="32"/>
          <w:szCs w:val="32"/>
        </w:rPr>
      </w:pPr>
      <w:r w:rsidRPr="00EF51E1">
        <w:rPr>
          <w:rFonts w:ascii="Arial" w:hAnsi="Arial" w:cs="Arial"/>
          <w:b/>
          <w:sz w:val="32"/>
          <w:szCs w:val="32"/>
        </w:rPr>
        <w:t>Out of Court Disposal Scrutiny Panel</w:t>
      </w:r>
    </w:p>
    <w:p w:rsidR="00EF51E1" w:rsidRDefault="00EF51E1" w:rsidP="00EF51E1">
      <w:pPr>
        <w:jc w:val="center"/>
        <w:rPr>
          <w:rFonts w:ascii="Arial" w:hAnsi="Arial" w:cs="Arial"/>
          <w:b/>
          <w:sz w:val="32"/>
          <w:szCs w:val="32"/>
        </w:rPr>
      </w:pPr>
      <w:r w:rsidRPr="00EF51E1">
        <w:rPr>
          <w:rFonts w:ascii="Arial" w:hAnsi="Arial" w:cs="Arial"/>
          <w:b/>
          <w:sz w:val="32"/>
          <w:szCs w:val="32"/>
        </w:rPr>
        <w:t>Terms of Reference</w:t>
      </w:r>
    </w:p>
    <w:p w:rsidR="00EF51E1" w:rsidRDefault="00EF51E1" w:rsidP="00EF51E1">
      <w:pPr>
        <w:jc w:val="center"/>
        <w:rPr>
          <w:rFonts w:ascii="Arial" w:hAnsi="Arial" w:cs="Arial"/>
          <w:b/>
          <w:sz w:val="32"/>
          <w:szCs w:val="32"/>
        </w:rPr>
      </w:pP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p w:rsidR="00EF51E1" w:rsidRPr="00EF51E1" w:rsidRDefault="00EF51E1" w:rsidP="00EF51E1">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EF51E1">
        <w:rPr>
          <w:rFonts w:ascii="Arial" w:hAnsi="Arial" w:cs="Arial"/>
          <w:b/>
          <w:bCs/>
          <w:color w:val="000000"/>
          <w:sz w:val="24"/>
          <w:szCs w:val="24"/>
        </w:rPr>
        <w:t xml:space="preserve">Aims </w:t>
      </w:r>
    </w:p>
    <w:p w:rsidR="00EF51E1" w:rsidRP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To scrutinise, retrospectively, in an open and honest manner, Out of Court Disposals used within Gwent</w:t>
      </w:r>
      <w:r w:rsidR="009629FB">
        <w:rPr>
          <w:rFonts w:ascii="Arial" w:hAnsi="Arial" w:cs="Arial"/>
          <w:color w:val="000000"/>
          <w:sz w:val="24"/>
          <w:szCs w:val="24"/>
        </w:rPr>
        <w:t xml:space="preserve"> Police</w:t>
      </w:r>
      <w:r w:rsidRPr="00EF51E1">
        <w:rPr>
          <w:rFonts w:ascii="Arial" w:hAnsi="Arial" w:cs="Arial"/>
          <w:color w:val="000000"/>
          <w:sz w:val="24"/>
          <w:szCs w:val="24"/>
        </w:rPr>
        <w:t xml:space="preserve">. </w:t>
      </w:r>
    </w:p>
    <w:p w:rsidR="00EF51E1" w:rsidRP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improve and enhance consistency, transparency, and public confidence in the use of Out of Court Disposals.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ensure </w:t>
      </w:r>
      <w:r w:rsidR="009629FB">
        <w:rPr>
          <w:rFonts w:ascii="Arial" w:hAnsi="Arial" w:cs="Arial"/>
          <w:color w:val="000000"/>
          <w:sz w:val="24"/>
          <w:szCs w:val="24"/>
        </w:rPr>
        <w:t xml:space="preserve">victims are at the heart of </w:t>
      </w:r>
      <w:proofErr w:type="spellStart"/>
      <w:r w:rsidR="009629FB">
        <w:rPr>
          <w:rFonts w:ascii="Arial" w:hAnsi="Arial" w:cs="Arial"/>
          <w:color w:val="000000"/>
          <w:sz w:val="24"/>
          <w:szCs w:val="24"/>
        </w:rPr>
        <w:t>Gwents</w:t>
      </w:r>
      <w:proofErr w:type="spellEnd"/>
      <w:r w:rsidR="009629FB">
        <w:rPr>
          <w:rFonts w:ascii="Arial" w:hAnsi="Arial" w:cs="Arial"/>
          <w:color w:val="000000"/>
          <w:sz w:val="24"/>
          <w:szCs w:val="24"/>
        </w:rPr>
        <w:t>’</w:t>
      </w:r>
      <w:r w:rsidRPr="00EF51E1">
        <w:rPr>
          <w:rFonts w:ascii="Arial" w:hAnsi="Arial" w:cs="Arial"/>
          <w:color w:val="000000"/>
          <w:sz w:val="24"/>
          <w:szCs w:val="24"/>
        </w:rPr>
        <w:t xml:space="preserve"> decision making in relation to Out of Court Disposals.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ensure that victims are listened to and their concerns addressed throughout the victim’s journey through the CJS. </w:t>
      </w:r>
    </w:p>
    <w:p w:rsidR="00EF51E1" w:rsidRPr="00EF51E1" w:rsidRDefault="00EF51E1" w:rsidP="00EF51E1">
      <w:pPr>
        <w:pStyle w:val="ListParagraph"/>
        <w:rPr>
          <w:rFonts w:ascii="Arial" w:hAnsi="Arial" w:cs="Arial"/>
          <w:color w:val="000000"/>
          <w:sz w:val="24"/>
          <w:szCs w:val="24"/>
        </w:rPr>
      </w:pPr>
    </w:p>
    <w:p w:rsidR="00EF51E1" w:rsidRP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Pr="00EF51E1" w:rsidRDefault="00EF51E1" w:rsidP="00EF51E1">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EF51E1">
        <w:rPr>
          <w:rFonts w:ascii="Arial" w:hAnsi="Arial" w:cs="Arial"/>
          <w:b/>
          <w:bCs/>
          <w:color w:val="000000"/>
          <w:sz w:val="24"/>
          <w:szCs w:val="24"/>
        </w:rPr>
        <w:t xml:space="preserve">Purpose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p w:rsid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provide generalised feedback to the </w:t>
      </w:r>
      <w:r w:rsidR="009629FB">
        <w:rPr>
          <w:rFonts w:ascii="Arial" w:hAnsi="Arial" w:cs="Arial"/>
          <w:color w:val="000000"/>
          <w:sz w:val="24"/>
          <w:szCs w:val="24"/>
        </w:rPr>
        <w:t xml:space="preserve">Force </w:t>
      </w:r>
      <w:r w:rsidRPr="00EF51E1">
        <w:rPr>
          <w:rFonts w:ascii="Arial" w:hAnsi="Arial" w:cs="Arial"/>
          <w:color w:val="000000"/>
          <w:sz w:val="24"/>
          <w:szCs w:val="24"/>
        </w:rPr>
        <w:t xml:space="preserve">on whether its use of Out of Court Disposals is appropriate and consistent with its own policies and procedures, along with those of relevant partner agencies (i.e. CPS Guidelines for Prosecutors). </w:t>
      </w:r>
    </w:p>
    <w:p w:rsidR="00EF51E1" w:rsidRP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publicise the existence of the panel and any generalised outcomes of findings/recommendations/feedback to provide confidence and reassurance at the level of scrutiny within the </w:t>
      </w:r>
      <w:r w:rsidR="009629FB">
        <w:rPr>
          <w:rFonts w:ascii="Arial" w:hAnsi="Arial" w:cs="Arial"/>
          <w:color w:val="000000"/>
          <w:sz w:val="24"/>
          <w:szCs w:val="24"/>
        </w:rPr>
        <w:t xml:space="preserve">Force </w:t>
      </w:r>
      <w:r w:rsidRPr="00EF51E1">
        <w:rPr>
          <w:rFonts w:ascii="Arial" w:hAnsi="Arial" w:cs="Arial"/>
          <w:color w:val="000000"/>
          <w:sz w:val="24"/>
          <w:szCs w:val="24"/>
        </w:rPr>
        <w:t xml:space="preserve">by criminal justice partners and the Office of the Police and Crime Commissioner. </w:t>
      </w:r>
    </w:p>
    <w:p w:rsidR="00EF51E1" w:rsidRPr="00EF51E1" w:rsidRDefault="00EF51E1" w:rsidP="00EF51E1">
      <w:pPr>
        <w:pStyle w:val="ListParagraph"/>
        <w:rPr>
          <w:rFonts w:ascii="Arial" w:hAnsi="Arial" w:cs="Arial"/>
          <w:color w:val="000000"/>
          <w:sz w:val="24"/>
          <w:szCs w:val="24"/>
        </w:rPr>
      </w:pPr>
    </w:p>
    <w:p w:rsid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provide a brief report after each panel containing a summary of panel activity and its outcomes to be published via the office of Police and Crime Commissioner. </w:t>
      </w:r>
    </w:p>
    <w:p w:rsid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To provide a summary of the scrutiny activity to the Bench on an annual basis.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p w:rsidR="00EF51E1" w:rsidRPr="00EF51E1" w:rsidRDefault="00EF51E1" w:rsidP="00EF51E1">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EF51E1">
        <w:rPr>
          <w:rFonts w:ascii="Arial" w:hAnsi="Arial" w:cs="Arial"/>
          <w:b/>
          <w:bCs/>
          <w:color w:val="000000"/>
          <w:sz w:val="24"/>
          <w:szCs w:val="24"/>
        </w:rPr>
        <w:t xml:space="preserve">Membership </w:t>
      </w:r>
    </w:p>
    <w:p w:rsidR="00EF51E1" w:rsidRPr="00EF51E1" w:rsidRDefault="00EF51E1" w:rsidP="00EF51E1">
      <w:pPr>
        <w:pStyle w:val="ListParagraph"/>
        <w:autoSpaceDE w:val="0"/>
        <w:autoSpaceDN w:val="0"/>
        <w:adjustRightInd w:val="0"/>
        <w:spacing w:after="0" w:line="240" w:lineRule="auto"/>
        <w:ind w:left="405"/>
        <w:rPr>
          <w:rFonts w:ascii="Arial" w:hAnsi="Arial" w:cs="Arial"/>
          <w:color w:val="000000"/>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The Panel shall comprise of the nominated representatives of the following agencies in Gwent: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p w:rsidR="00EF51E1" w:rsidRPr="00EF51E1" w:rsidRDefault="00EF51E1" w:rsidP="00EF51E1">
      <w:pPr>
        <w:pStyle w:val="ListParagraph"/>
        <w:numPr>
          <w:ilvl w:val="0"/>
          <w:numId w:val="3"/>
        </w:numPr>
        <w:autoSpaceDE w:val="0"/>
        <w:autoSpaceDN w:val="0"/>
        <w:adjustRightInd w:val="0"/>
        <w:spacing w:after="0" w:line="360" w:lineRule="auto"/>
        <w:ind w:left="714" w:hanging="357"/>
        <w:rPr>
          <w:rFonts w:ascii="Arial" w:hAnsi="Arial" w:cs="Arial"/>
          <w:color w:val="000000"/>
          <w:sz w:val="24"/>
          <w:szCs w:val="24"/>
        </w:rPr>
      </w:pPr>
      <w:r w:rsidRPr="00EF51E1">
        <w:rPr>
          <w:rFonts w:ascii="Arial" w:hAnsi="Arial" w:cs="Arial"/>
          <w:color w:val="000000"/>
          <w:sz w:val="24"/>
          <w:szCs w:val="24"/>
        </w:rPr>
        <w:t xml:space="preserve">Magistrates Bench (Chair) </w:t>
      </w:r>
    </w:p>
    <w:p w:rsidR="00EF51E1" w:rsidRDefault="00EF51E1" w:rsidP="00EF51E1">
      <w:pPr>
        <w:pStyle w:val="ListParagraph"/>
        <w:numPr>
          <w:ilvl w:val="0"/>
          <w:numId w:val="3"/>
        </w:numPr>
        <w:autoSpaceDE w:val="0"/>
        <w:autoSpaceDN w:val="0"/>
        <w:adjustRightInd w:val="0"/>
        <w:spacing w:after="0" w:line="360" w:lineRule="auto"/>
        <w:ind w:left="714" w:hanging="357"/>
        <w:rPr>
          <w:rFonts w:ascii="Arial" w:hAnsi="Arial" w:cs="Arial"/>
          <w:color w:val="000000"/>
          <w:sz w:val="24"/>
          <w:szCs w:val="24"/>
        </w:rPr>
      </w:pPr>
      <w:r w:rsidRPr="00EF51E1">
        <w:rPr>
          <w:rFonts w:ascii="Arial" w:hAnsi="Arial" w:cs="Arial"/>
          <w:color w:val="000000"/>
          <w:sz w:val="24"/>
          <w:szCs w:val="24"/>
        </w:rPr>
        <w:t xml:space="preserve">Crown Prosecution Service (Prosecutor) </w:t>
      </w:r>
    </w:p>
    <w:p w:rsidR="00EF51E1" w:rsidRDefault="00EF51E1" w:rsidP="00EF51E1">
      <w:pPr>
        <w:pStyle w:val="ListParagraph"/>
        <w:numPr>
          <w:ilvl w:val="0"/>
          <w:numId w:val="3"/>
        </w:numPr>
        <w:autoSpaceDE w:val="0"/>
        <w:autoSpaceDN w:val="0"/>
        <w:adjustRightInd w:val="0"/>
        <w:spacing w:after="0" w:line="360" w:lineRule="auto"/>
        <w:ind w:left="714" w:hanging="357"/>
        <w:rPr>
          <w:rFonts w:ascii="Arial" w:hAnsi="Arial" w:cs="Arial"/>
          <w:color w:val="000000"/>
          <w:sz w:val="24"/>
          <w:szCs w:val="24"/>
        </w:rPr>
      </w:pPr>
      <w:r w:rsidRPr="00EF51E1">
        <w:rPr>
          <w:rFonts w:ascii="Arial" w:hAnsi="Arial" w:cs="Arial"/>
          <w:color w:val="000000"/>
          <w:sz w:val="24"/>
          <w:szCs w:val="24"/>
        </w:rPr>
        <w:t xml:space="preserve">Her Majesty’s Courts and Tribunal’s Service (Legal Advisor) </w:t>
      </w:r>
    </w:p>
    <w:p w:rsidR="00EF51E1" w:rsidRPr="00EF51E1" w:rsidRDefault="00EF51E1" w:rsidP="00EF51E1">
      <w:pPr>
        <w:pStyle w:val="ListParagraph"/>
        <w:numPr>
          <w:ilvl w:val="0"/>
          <w:numId w:val="3"/>
        </w:numPr>
        <w:autoSpaceDE w:val="0"/>
        <w:autoSpaceDN w:val="0"/>
        <w:adjustRightInd w:val="0"/>
        <w:spacing w:after="0" w:line="360" w:lineRule="auto"/>
        <w:ind w:left="714" w:hanging="357"/>
        <w:rPr>
          <w:rFonts w:ascii="Arial" w:hAnsi="Arial" w:cs="Arial"/>
          <w:color w:val="000000"/>
          <w:sz w:val="24"/>
          <w:szCs w:val="24"/>
        </w:rPr>
      </w:pPr>
      <w:r>
        <w:rPr>
          <w:rFonts w:ascii="Arial" w:hAnsi="Arial" w:cs="Arial"/>
          <w:color w:val="000000"/>
          <w:sz w:val="24"/>
          <w:szCs w:val="24"/>
        </w:rPr>
        <w:t>National</w:t>
      </w:r>
      <w:r w:rsidR="00E44041">
        <w:rPr>
          <w:rFonts w:ascii="Arial" w:hAnsi="Arial" w:cs="Arial"/>
          <w:color w:val="000000"/>
          <w:sz w:val="24"/>
          <w:szCs w:val="24"/>
        </w:rPr>
        <w:t xml:space="preserve"> </w:t>
      </w:r>
      <w:r>
        <w:rPr>
          <w:rFonts w:ascii="Arial" w:hAnsi="Arial" w:cs="Arial"/>
          <w:color w:val="000000"/>
          <w:sz w:val="24"/>
          <w:szCs w:val="24"/>
        </w:rPr>
        <w:t>Probation Services</w:t>
      </w:r>
    </w:p>
    <w:p w:rsidR="00EF51E1" w:rsidRDefault="00EF51E1" w:rsidP="00EF51E1">
      <w:pPr>
        <w:pStyle w:val="ListParagraph"/>
        <w:numPr>
          <w:ilvl w:val="0"/>
          <w:numId w:val="3"/>
        </w:numPr>
        <w:autoSpaceDE w:val="0"/>
        <w:autoSpaceDN w:val="0"/>
        <w:adjustRightInd w:val="0"/>
        <w:spacing w:after="0" w:line="360" w:lineRule="auto"/>
        <w:ind w:left="714" w:hanging="357"/>
        <w:rPr>
          <w:rFonts w:ascii="Arial" w:hAnsi="Arial" w:cs="Arial"/>
          <w:sz w:val="24"/>
          <w:szCs w:val="24"/>
        </w:rPr>
      </w:pPr>
      <w:r>
        <w:rPr>
          <w:rFonts w:ascii="Arial" w:hAnsi="Arial" w:cs="Arial"/>
          <w:sz w:val="24"/>
          <w:szCs w:val="24"/>
        </w:rPr>
        <w:t xml:space="preserve">Representative from the </w:t>
      </w:r>
      <w:r w:rsidRPr="00EF51E1">
        <w:rPr>
          <w:rFonts w:ascii="Arial" w:hAnsi="Arial" w:cs="Arial"/>
          <w:sz w:val="24"/>
          <w:szCs w:val="24"/>
        </w:rPr>
        <w:t xml:space="preserve">Office of Police and Crime Commissioner </w:t>
      </w:r>
    </w:p>
    <w:p w:rsidR="00EF51E1" w:rsidRDefault="00EF51E1" w:rsidP="00EF51E1">
      <w:pPr>
        <w:pStyle w:val="ListParagraph"/>
        <w:autoSpaceDE w:val="0"/>
        <w:autoSpaceDN w:val="0"/>
        <w:adjustRightInd w:val="0"/>
        <w:spacing w:after="0" w:line="360" w:lineRule="auto"/>
        <w:ind w:left="714"/>
        <w:rPr>
          <w:rFonts w:ascii="Arial" w:hAnsi="Arial" w:cs="Arial"/>
          <w:sz w:val="24"/>
          <w:szCs w:val="24"/>
        </w:rPr>
      </w:pPr>
    </w:p>
    <w:p w:rsidR="00EF51E1" w:rsidRPr="00EF51E1" w:rsidRDefault="00EF51E1" w:rsidP="00EF51E1">
      <w:pPr>
        <w:pStyle w:val="ListParagraph"/>
        <w:numPr>
          <w:ilvl w:val="1"/>
          <w:numId w:val="1"/>
        </w:numPr>
        <w:jc w:val="both"/>
        <w:rPr>
          <w:rFonts w:ascii="Arial" w:hAnsi="Arial" w:cs="Arial"/>
          <w:sz w:val="24"/>
          <w:szCs w:val="24"/>
        </w:rPr>
      </w:pPr>
      <w:r w:rsidRPr="00EF51E1">
        <w:rPr>
          <w:rFonts w:ascii="Arial" w:hAnsi="Arial" w:cs="Arial"/>
          <w:sz w:val="24"/>
          <w:szCs w:val="24"/>
        </w:rPr>
        <w:t xml:space="preserve">Should any panel member not be able to attend a panel then, where possible, a deputy will be sent, Deputies should have the required knowledge and experience to be able to scrutinise files and provide feedback on behalf of their organisation. </w:t>
      </w:r>
    </w:p>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pStyle w:val="ListParagraph"/>
        <w:numPr>
          <w:ilvl w:val="1"/>
          <w:numId w:val="1"/>
        </w:numPr>
        <w:autoSpaceDE w:val="0"/>
        <w:autoSpaceDN w:val="0"/>
        <w:adjustRightInd w:val="0"/>
        <w:spacing w:after="0" w:line="240" w:lineRule="auto"/>
        <w:rPr>
          <w:rFonts w:ascii="Arial" w:hAnsi="Arial" w:cs="Arial"/>
          <w:sz w:val="24"/>
          <w:szCs w:val="24"/>
        </w:rPr>
      </w:pPr>
      <w:r w:rsidRPr="00EF51E1">
        <w:rPr>
          <w:rFonts w:ascii="Arial" w:hAnsi="Arial" w:cs="Arial"/>
          <w:sz w:val="24"/>
          <w:szCs w:val="24"/>
        </w:rPr>
        <w:t>Other agencies can be co-opted onto the board as required by the board.</w:t>
      </w:r>
    </w:p>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44041" w:rsidRDefault="00EF51E1" w:rsidP="00E44041">
      <w:pPr>
        <w:pStyle w:val="ListParagraph"/>
        <w:numPr>
          <w:ilvl w:val="0"/>
          <w:numId w:val="1"/>
        </w:numPr>
        <w:autoSpaceDE w:val="0"/>
        <w:autoSpaceDN w:val="0"/>
        <w:adjustRightInd w:val="0"/>
        <w:spacing w:after="0" w:line="240" w:lineRule="auto"/>
        <w:rPr>
          <w:rFonts w:ascii="Arial" w:hAnsi="Arial" w:cs="Arial"/>
          <w:b/>
          <w:bCs/>
          <w:sz w:val="24"/>
          <w:szCs w:val="24"/>
        </w:rPr>
      </w:pPr>
      <w:r w:rsidRPr="00E44041">
        <w:rPr>
          <w:rFonts w:ascii="Arial" w:hAnsi="Arial" w:cs="Arial"/>
          <w:b/>
          <w:bCs/>
          <w:sz w:val="24"/>
          <w:szCs w:val="24"/>
        </w:rPr>
        <w:t>Meetings</w:t>
      </w:r>
    </w:p>
    <w:p w:rsidR="00EF51E1" w:rsidRPr="00EF51E1" w:rsidRDefault="00EF51E1" w:rsidP="00EF51E1">
      <w:pPr>
        <w:autoSpaceDE w:val="0"/>
        <w:autoSpaceDN w:val="0"/>
        <w:adjustRightInd w:val="0"/>
        <w:spacing w:after="0" w:line="240" w:lineRule="auto"/>
        <w:rPr>
          <w:rFonts w:ascii="Arial" w:hAnsi="Arial" w:cs="Arial"/>
          <w:sz w:val="24"/>
          <w:szCs w:val="24"/>
        </w:rPr>
      </w:pPr>
      <w:r w:rsidRPr="00EF51E1">
        <w:rPr>
          <w:rFonts w:ascii="Arial" w:hAnsi="Arial" w:cs="Arial"/>
          <w:b/>
          <w:bCs/>
          <w:sz w:val="24"/>
          <w:szCs w:val="24"/>
        </w:rPr>
        <w:t xml:space="preserve"> </w:t>
      </w:r>
    </w:p>
    <w:p w:rsidR="00E44041" w:rsidRPr="00E44041" w:rsidRDefault="00EF51E1" w:rsidP="00E44041">
      <w:pPr>
        <w:pStyle w:val="ListParagraph"/>
        <w:numPr>
          <w:ilvl w:val="1"/>
          <w:numId w:val="1"/>
        </w:numPr>
        <w:jc w:val="both"/>
        <w:rPr>
          <w:rFonts w:ascii="Arial" w:hAnsi="Arial" w:cs="Arial"/>
          <w:sz w:val="24"/>
          <w:szCs w:val="24"/>
        </w:rPr>
      </w:pPr>
      <w:r w:rsidRPr="00E44041">
        <w:rPr>
          <w:rFonts w:ascii="Arial" w:hAnsi="Arial" w:cs="Arial"/>
          <w:sz w:val="24"/>
          <w:szCs w:val="24"/>
        </w:rPr>
        <w:t xml:space="preserve">The panel will convene quarterly; additional meetings will be scheduled at the discretion of the Chair. </w:t>
      </w:r>
    </w:p>
    <w:p w:rsidR="00E44041" w:rsidRDefault="00E44041" w:rsidP="00E44041">
      <w:pPr>
        <w:pStyle w:val="ListParagraph"/>
        <w:ind w:left="405"/>
        <w:jc w:val="both"/>
      </w:pPr>
    </w:p>
    <w:p w:rsidR="00EF51E1" w:rsidRPr="00E44041" w:rsidRDefault="00EF51E1" w:rsidP="00E44041">
      <w:pPr>
        <w:pStyle w:val="ListParagraph"/>
        <w:numPr>
          <w:ilvl w:val="1"/>
          <w:numId w:val="1"/>
        </w:numPr>
        <w:rPr>
          <w:rFonts w:ascii="Arial" w:hAnsi="Arial" w:cs="Arial"/>
          <w:sz w:val="24"/>
          <w:szCs w:val="24"/>
        </w:rPr>
      </w:pPr>
      <w:r w:rsidRPr="00E44041">
        <w:rPr>
          <w:rFonts w:ascii="Arial" w:hAnsi="Arial" w:cs="Arial"/>
          <w:sz w:val="24"/>
          <w:szCs w:val="24"/>
        </w:rPr>
        <w:t xml:space="preserve">The panel will independently and retrospectively scrutinise case files, selected by the Chair from an anonymised database, the number and focus of which will be agreed by the Panel at each meeting. The files will be presented to the Panel for scrutiny, and each member must scrutinise the case using his or her expertise and provide an honest and open analysis which he or she is willing to share with other panel members. </w:t>
      </w:r>
    </w:p>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44041" w:rsidRDefault="00EF51E1" w:rsidP="00E44041">
      <w:pPr>
        <w:pStyle w:val="ListParagraph"/>
        <w:numPr>
          <w:ilvl w:val="1"/>
          <w:numId w:val="1"/>
        </w:numPr>
        <w:rPr>
          <w:rFonts w:ascii="Arial" w:hAnsi="Arial" w:cs="Arial"/>
          <w:sz w:val="24"/>
          <w:szCs w:val="24"/>
        </w:rPr>
      </w:pPr>
      <w:r w:rsidRPr="00E44041">
        <w:rPr>
          <w:rFonts w:ascii="Arial" w:hAnsi="Arial" w:cs="Arial"/>
          <w:sz w:val="24"/>
          <w:szCs w:val="24"/>
        </w:rPr>
        <w:t xml:space="preserve">Discussions of cases and the Panels deliberations on cases shall be confidential and must not be discussed outside of the Panel meeting itself. Should a Panel member have personal knowledge of anyone involved in a case (excluding those who have professional knowledge of Police Officers and staff involved in cases) should declare that interest to the rest of the Panel and should not be included on the scrutiny of that case. </w:t>
      </w:r>
    </w:p>
    <w:p w:rsidR="00EF51E1" w:rsidRPr="00EF51E1" w:rsidRDefault="00EF51E1" w:rsidP="00EF51E1">
      <w:pPr>
        <w:autoSpaceDE w:val="0"/>
        <w:autoSpaceDN w:val="0"/>
        <w:adjustRightInd w:val="0"/>
        <w:spacing w:after="0" w:line="240" w:lineRule="auto"/>
        <w:rPr>
          <w:rFonts w:ascii="Arial" w:hAnsi="Arial"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991"/>
      </w:tblGrid>
      <w:tr w:rsidR="00EF51E1" w:rsidRPr="00EF51E1">
        <w:tblPrEx>
          <w:tblCellMar>
            <w:top w:w="0" w:type="dxa"/>
            <w:bottom w:w="0" w:type="dxa"/>
          </w:tblCellMar>
        </w:tblPrEx>
        <w:trPr>
          <w:trHeight w:val="253"/>
        </w:trPr>
        <w:tc>
          <w:tcPr>
            <w:tcW w:w="7991" w:type="dxa"/>
          </w:tcPr>
          <w:p w:rsidR="00EF51E1" w:rsidRPr="00E44041" w:rsidRDefault="00EF51E1" w:rsidP="00E44041">
            <w:pPr>
              <w:pStyle w:val="ListParagraph"/>
              <w:numPr>
                <w:ilvl w:val="1"/>
                <w:numId w:val="1"/>
              </w:numPr>
              <w:jc w:val="both"/>
              <w:rPr>
                <w:rFonts w:ascii="Arial" w:hAnsi="Arial" w:cs="Arial"/>
                <w:sz w:val="24"/>
                <w:szCs w:val="24"/>
              </w:rPr>
            </w:pPr>
            <w:r w:rsidRPr="00E44041">
              <w:rPr>
                <w:rFonts w:ascii="Arial" w:hAnsi="Arial" w:cs="Arial"/>
                <w:sz w:val="24"/>
                <w:szCs w:val="24"/>
              </w:rPr>
              <w:t xml:space="preserve">The Panel will decide, using the formal cautioning criteria, on the disposal of the case using the following options only: </w:t>
            </w:r>
          </w:p>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lastRenderedPageBreak/>
              <w:t xml:space="preserve">Appropriate and consistent with </w:t>
            </w:r>
            <w:r>
              <w:rPr>
                <w:rFonts w:ascii="Arial" w:hAnsi="Arial" w:cs="Arial"/>
                <w:color w:val="000000"/>
                <w:sz w:val="24"/>
                <w:szCs w:val="24"/>
              </w:rPr>
              <w:t xml:space="preserve">Gwent </w:t>
            </w:r>
            <w:r w:rsidR="009629FB">
              <w:rPr>
                <w:rFonts w:ascii="Arial" w:hAnsi="Arial" w:cs="Arial"/>
                <w:color w:val="000000"/>
                <w:sz w:val="24"/>
                <w:szCs w:val="24"/>
              </w:rPr>
              <w:t xml:space="preserve">Police </w:t>
            </w:r>
            <w:r w:rsidRPr="00EF51E1">
              <w:rPr>
                <w:rFonts w:ascii="Arial" w:hAnsi="Arial" w:cs="Arial"/>
                <w:color w:val="000000"/>
                <w:sz w:val="24"/>
                <w:szCs w:val="24"/>
              </w:rPr>
              <w:t xml:space="preserve">policies / the CPS Code for Crown Prosecutors.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tc>
      </w:tr>
      <w:tr w:rsidR="00EF51E1" w:rsidRPr="00EF51E1">
        <w:tblPrEx>
          <w:tblCellMar>
            <w:top w:w="0" w:type="dxa"/>
            <w:bottom w:w="0" w:type="dxa"/>
          </w:tblCellMar>
        </w:tblPrEx>
        <w:trPr>
          <w:trHeight w:val="120"/>
        </w:trPr>
        <w:tc>
          <w:tcPr>
            <w:tcW w:w="7991" w:type="dxa"/>
          </w:tcPr>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Appropriate with observations.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tc>
      </w:tr>
      <w:tr w:rsidR="00EF51E1" w:rsidRPr="00EF51E1">
        <w:tblPrEx>
          <w:tblCellMar>
            <w:top w:w="0" w:type="dxa"/>
            <w:bottom w:w="0" w:type="dxa"/>
          </w:tblCellMar>
        </w:tblPrEx>
        <w:trPr>
          <w:trHeight w:val="120"/>
        </w:trPr>
        <w:tc>
          <w:tcPr>
            <w:tcW w:w="7991" w:type="dxa"/>
          </w:tcPr>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Inappropriate and inconsistent with policy.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tc>
      </w:tr>
      <w:tr w:rsidR="00EF51E1" w:rsidRPr="00EF51E1">
        <w:tblPrEx>
          <w:tblCellMar>
            <w:top w:w="0" w:type="dxa"/>
            <w:bottom w:w="0" w:type="dxa"/>
          </w:tblCellMar>
        </w:tblPrEx>
        <w:trPr>
          <w:trHeight w:val="120"/>
        </w:trPr>
        <w:tc>
          <w:tcPr>
            <w:tcW w:w="7991" w:type="dxa"/>
          </w:tcPr>
          <w:p w:rsidR="00EF51E1" w:rsidRPr="00EF51E1" w:rsidRDefault="00EF51E1" w:rsidP="00EF51E1">
            <w:pPr>
              <w:autoSpaceDE w:val="0"/>
              <w:autoSpaceDN w:val="0"/>
              <w:adjustRightInd w:val="0"/>
              <w:spacing w:after="0" w:line="240" w:lineRule="auto"/>
              <w:rPr>
                <w:rFonts w:ascii="Arial" w:hAnsi="Arial" w:cs="Arial"/>
                <w:sz w:val="24"/>
                <w:szCs w:val="24"/>
              </w:rPr>
            </w:pPr>
          </w:p>
          <w:p w:rsidR="00EF51E1" w:rsidRPr="00EF51E1" w:rsidRDefault="00EF51E1" w:rsidP="00EF51E1">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EF51E1">
              <w:rPr>
                <w:rFonts w:ascii="Arial" w:hAnsi="Arial" w:cs="Arial"/>
                <w:color w:val="000000"/>
                <w:sz w:val="24"/>
                <w:szCs w:val="24"/>
              </w:rPr>
              <w:t xml:space="preserve">Panel fails to reach a conclusion. </w:t>
            </w:r>
          </w:p>
          <w:p w:rsidR="00EF51E1" w:rsidRPr="00EF51E1" w:rsidRDefault="00EF51E1" w:rsidP="00EF51E1">
            <w:pPr>
              <w:autoSpaceDE w:val="0"/>
              <w:autoSpaceDN w:val="0"/>
              <w:adjustRightInd w:val="0"/>
              <w:spacing w:after="0" w:line="240" w:lineRule="auto"/>
              <w:rPr>
                <w:rFonts w:ascii="Arial" w:hAnsi="Arial" w:cs="Arial"/>
                <w:color w:val="000000"/>
                <w:sz w:val="24"/>
                <w:szCs w:val="24"/>
              </w:rPr>
            </w:pPr>
          </w:p>
        </w:tc>
      </w:tr>
    </w:tbl>
    <w:p w:rsidR="00EF51E1" w:rsidRPr="00EF51E1" w:rsidRDefault="00EF51E1" w:rsidP="00EF51E1">
      <w:pPr>
        <w:rPr>
          <w:rFonts w:ascii="Arial" w:hAnsi="Arial" w:cs="Arial"/>
          <w:b/>
          <w:sz w:val="24"/>
          <w:szCs w:val="24"/>
        </w:rPr>
      </w:pPr>
    </w:p>
    <w:p w:rsidR="00E44041" w:rsidRDefault="00E44041" w:rsidP="00E44041">
      <w:pPr>
        <w:pStyle w:val="Default"/>
        <w:numPr>
          <w:ilvl w:val="1"/>
          <w:numId w:val="1"/>
        </w:numPr>
        <w:jc w:val="both"/>
      </w:pPr>
      <w:r w:rsidRPr="00E44041">
        <w:t xml:space="preserve">Unanimity of decision making will be sought wherever possible. Where a vote is required, each full member shall have one vote. Deputies will have voting powers. The independence of each member organisation will always be respected by the board. Where a unanimous decision cannot be reached a majority decision will prevail and in the event of a tie, the Chairperson shall have a deciding vote. </w:t>
      </w:r>
    </w:p>
    <w:p w:rsidR="00E44041" w:rsidRPr="00E44041" w:rsidRDefault="00E44041" w:rsidP="00E44041">
      <w:pPr>
        <w:pStyle w:val="Default"/>
        <w:ind w:left="405"/>
        <w:jc w:val="both"/>
      </w:pPr>
    </w:p>
    <w:p w:rsidR="00E44041" w:rsidRDefault="00E44041" w:rsidP="00E44041">
      <w:pPr>
        <w:pStyle w:val="Default"/>
        <w:numPr>
          <w:ilvl w:val="1"/>
          <w:numId w:val="1"/>
        </w:numPr>
        <w:jc w:val="both"/>
      </w:pPr>
      <w:r w:rsidRPr="00E44041">
        <w:t xml:space="preserve">The agenda for board meetings will be drawn up at the discretion of the Chair. Members will be invited to submit agenda items and supporting papers 14 days prior to meetings. </w:t>
      </w:r>
    </w:p>
    <w:p w:rsidR="00E44041" w:rsidRPr="00E44041" w:rsidRDefault="00E44041" w:rsidP="00E44041">
      <w:pPr>
        <w:pStyle w:val="Default"/>
        <w:jc w:val="both"/>
      </w:pPr>
    </w:p>
    <w:p w:rsidR="00E44041" w:rsidRDefault="00E44041" w:rsidP="00E44041">
      <w:pPr>
        <w:pStyle w:val="Default"/>
        <w:numPr>
          <w:ilvl w:val="1"/>
          <w:numId w:val="1"/>
        </w:numPr>
        <w:jc w:val="both"/>
      </w:pPr>
      <w:r w:rsidRPr="00E44041">
        <w:t xml:space="preserve">Agendas and papers will be circulated where possible one week prior to board meetings. </w:t>
      </w:r>
    </w:p>
    <w:p w:rsidR="00E44041" w:rsidRPr="00E44041" w:rsidRDefault="00E44041" w:rsidP="00E44041">
      <w:pPr>
        <w:pStyle w:val="Default"/>
        <w:jc w:val="both"/>
      </w:pPr>
    </w:p>
    <w:p w:rsidR="00E44041" w:rsidRDefault="00E44041" w:rsidP="00E44041">
      <w:pPr>
        <w:pStyle w:val="Default"/>
        <w:numPr>
          <w:ilvl w:val="1"/>
          <w:numId w:val="1"/>
        </w:numPr>
        <w:jc w:val="both"/>
      </w:pPr>
      <w:r w:rsidRPr="00E44041">
        <w:t xml:space="preserve">Each board member is committed to effective delivery of agreed actions whether collective or individual. </w:t>
      </w:r>
    </w:p>
    <w:p w:rsidR="00E44041" w:rsidRPr="00E44041" w:rsidRDefault="00E44041" w:rsidP="00E44041">
      <w:pPr>
        <w:pStyle w:val="Default"/>
        <w:jc w:val="both"/>
      </w:pPr>
    </w:p>
    <w:p w:rsidR="00E44041" w:rsidRDefault="00E44041" w:rsidP="00E44041">
      <w:pPr>
        <w:pStyle w:val="Default"/>
        <w:numPr>
          <w:ilvl w:val="1"/>
          <w:numId w:val="1"/>
        </w:numPr>
        <w:jc w:val="both"/>
      </w:pPr>
      <w:r w:rsidRPr="00E44041">
        <w:t>The Panel will produce a generalised report after each meeting, summarising its findings and recommendations to the</w:t>
      </w:r>
      <w:r w:rsidR="009629FB">
        <w:t xml:space="preserve"> Force</w:t>
      </w:r>
      <w:bookmarkStart w:id="0" w:name="_GoBack"/>
      <w:bookmarkEnd w:id="0"/>
      <w:r w:rsidRPr="00E44041">
        <w:t xml:space="preserve">. The report will be published by the OPCC on its website. </w:t>
      </w:r>
    </w:p>
    <w:p w:rsidR="00E44041" w:rsidRPr="00E44041" w:rsidRDefault="00E44041" w:rsidP="00E44041">
      <w:pPr>
        <w:pStyle w:val="Default"/>
        <w:jc w:val="both"/>
      </w:pPr>
    </w:p>
    <w:p w:rsidR="00E44041" w:rsidRDefault="00E44041" w:rsidP="00E44041">
      <w:pPr>
        <w:pStyle w:val="Default"/>
        <w:numPr>
          <w:ilvl w:val="1"/>
          <w:numId w:val="1"/>
        </w:numPr>
        <w:jc w:val="both"/>
      </w:pPr>
      <w:r w:rsidRPr="00E44041">
        <w:t xml:space="preserve">An annual report will be prepared for presentation to the Magistrates Committee. </w:t>
      </w:r>
    </w:p>
    <w:p w:rsidR="00E44041" w:rsidRDefault="00E44041" w:rsidP="00E44041">
      <w:pPr>
        <w:pStyle w:val="Default"/>
        <w:jc w:val="both"/>
      </w:pPr>
    </w:p>
    <w:p w:rsidR="00E44041" w:rsidRDefault="00E44041" w:rsidP="00E44041">
      <w:pPr>
        <w:pStyle w:val="Default"/>
        <w:jc w:val="both"/>
      </w:pPr>
    </w:p>
    <w:p w:rsidR="00E44041" w:rsidRPr="00E44041" w:rsidRDefault="00E44041" w:rsidP="00E44041">
      <w:pPr>
        <w:pStyle w:val="Default"/>
        <w:jc w:val="both"/>
      </w:pPr>
    </w:p>
    <w:p w:rsidR="00E44041" w:rsidRPr="00E44041" w:rsidRDefault="00E44041" w:rsidP="00E44041">
      <w:pPr>
        <w:pStyle w:val="Default"/>
        <w:numPr>
          <w:ilvl w:val="0"/>
          <w:numId w:val="1"/>
        </w:numPr>
        <w:jc w:val="both"/>
      </w:pPr>
      <w:r w:rsidRPr="00E44041">
        <w:rPr>
          <w:b/>
          <w:bCs/>
        </w:rPr>
        <w:t xml:space="preserve">Information sharing </w:t>
      </w:r>
    </w:p>
    <w:p w:rsidR="00E44041" w:rsidRPr="00E44041" w:rsidRDefault="00E44041" w:rsidP="00E44041">
      <w:pPr>
        <w:pStyle w:val="Default"/>
        <w:ind w:left="405"/>
        <w:jc w:val="both"/>
      </w:pPr>
    </w:p>
    <w:p w:rsidR="00E32058" w:rsidRPr="00E44041" w:rsidRDefault="00E44041" w:rsidP="00E44041">
      <w:pPr>
        <w:pStyle w:val="ListParagraph"/>
        <w:numPr>
          <w:ilvl w:val="1"/>
          <w:numId w:val="1"/>
        </w:numPr>
        <w:jc w:val="both"/>
        <w:rPr>
          <w:rFonts w:ascii="Arial" w:hAnsi="Arial" w:cs="Arial"/>
          <w:sz w:val="24"/>
          <w:szCs w:val="24"/>
        </w:rPr>
      </w:pPr>
      <w:r w:rsidRPr="00E44041">
        <w:rPr>
          <w:rFonts w:ascii="Arial" w:hAnsi="Arial" w:cs="Arial"/>
          <w:sz w:val="24"/>
          <w:szCs w:val="24"/>
        </w:rPr>
        <w:t>All partners will be signatories of the overarching information sharing protocol</w:t>
      </w:r>
      <w:r w:rsidRPr="00E44041">
        <w:rPr>
          <w:rFonts w:ascii="Arial" w:hAnsi="Arial" w:cs="Arial"/>
          <w:sz w:val="24"/>
          <w:szCs w:val="24"/>
        </w:rPr>
        <w:t xml:space="preserve"> developed by the Police.</w:t>
      </w:r>
    </w:p>
    <w:p w:rsidR="00E44041" w:rsidRPr="00E44041" w:rsidRDefault="00E44041" w:rsidP="00E44041">
      <w:pPr>
        <w:jc w:val="both"/>
        <w:rPr>
          <w:rFonts w:ascii="Arial" w:hAnsi="Arial" w:cs="Arial"/>
          <w:sz w:val="24"/>
          <w:szCs w:val="24"/>
        </w:rPr>
      </w:pPr>
    </w:p>
    <w:p w:rsidR="00E44041" w:rsidRPr="00E44041" w:rsidRDefault="00E44041" w:rsidP="00E44041">
      <w:pPr>
        <w:jc w:val="both"/>
        <w:rPr>
          <w:rFonts w:ascii="Arial" w:hAnsi="Arial" w:cs="Arial"/>
          <w:sz w:val="24"/>
          <w:szCs w:val="24"/>
        </w:rPr>
      </w:pPr>
    </w:p>
    <w:p w:rsidR="00E44041" w:rsidRDefault="00E44041" w:rsidP="00E44041">
      <w:pPr>
        <w:pStyle w:val="ListParagraph"/>
        <w:ind w:left="405"/>
        <w:jc w:val="both"/>
        <w:rPr>
          <w:rFonts w:ascii="Arial" w:hAnsi="Arial" w:cs="Arial"/>
          <w:sz w:val="24"/>
          <w:szCs w:val="24"/>
        </w:rPr>
      </w:pPr>
    </w:p>
    <w:p w:rsidR="00E44041" w:rsidRDefault="00E44041" w:rsidP="00E44041">
      <w:pPr>
        <w:pStyle w:val="ListParagraph"/>
        <w:ind w:left="405"/>
        <w:jc w:val="both"/>
        <w:rPr>
          <w:rFonts w:ascii="Arial" w:hAnsi="Arial" w:cs="Arial"/>
          <w:sz w:val="24"/>
          <w:szCs w:val="24"/>
        </w:rPr>
      </w:pPr>
    </w:p>
    <w:p w:rsidR="00E44041" w:rsidRDefault="00E44041" w:rsidP="00E44041">
      <w:pPr>
        <w:pStyle w:val="ListParagraph"/>
        <w:ind w:left="405"/>
        <w:jc w:val="both"/>
        <w:rPr>
          <w:rFonts w:ascii="Arial" w:hAnsi="Arial" w:cs="Arial"/>
          <w:sz w:val="24"/>
          <w:szCs w:val="24"/>
        </w:rPr>
      </w:pPr>
    </w:p>
    <w:p w:rsidR="00E44041" w:rsidRPr="00E44041" w:rsidRDefault="00E44041" w:rsidP="00E44041">
      <w:pPr>
        <w:pStyle w:val="ListParagraph"/>
        <w:ind w:left="405"/>
        <w:jc w:val="both"/>
        <w:rPr>
          <w:rFonts w:ascii="Arial" w:hAnsi="Arial" w:cs="Arial"/>
          <w:sz w:val="24"/>
          <w:szCs w:val="24"/>
        </w:rPr>
      </w:pPr>
      <w:r w:rsidRPr="00E44041">
        <w:rPr>
          <w:rFonts w:ascii="Arial" w:hAnsi="Arial" w:cs="Arial"/>
          <w:sz w:val="24"/>
          <w:szCs w:val="24"/>
        </w:rPr>
        <w:lastRenderedPageBreak/>
        <w:t>Signed</w:t>
      </w:r>
    </w:p>
    <w:p w:rsidR="00E44041" w:rsidRPr="00E44041" w:rsidRDefault="00E44041" w:rsidP="00E44041">
      <w:pPr>
        <w:jc w:val="both"/>
        <w:rPr>
          <w:rFonts w:ascii="Arial" w:hAnsi="Arial" w:cs="Arial"/>
          <w:sz w:val="24"/>
          <w:szCs w:val="24"/>
        </w:rPr>
      </w:pPr>
    </w:p>
    <w:p w:rsidR="00E44041" w:rsidRPr="00E44041" w:rsidRDefault="00E44041" w:rsidP="00E44041">
      <w:pPr>
        <w:pStyle w:val="ListParagraph"/>
        <w:ind w:left="405"/>
        <w:jc w:val="both"/>
        <w:rPr>
          <w:rFonts w:ascii="Arial" w:hAnsi="Arial" w:cs="Arial"/>
          <w:sz w:val="24"/>
          <w:szCs w:val="24"/>
        </w:rPr>
      </w:pPr>
      <w:r w:rsidRPr="00E44041">
        <w:rPr>
          <w:rFonts w:ascii="Arial" w:hAnsi="Arial" w:cs="Arial"/>
          <w:sz w:val="24"/>
          <w:szCs w:val="24"/>
        </w:rPr>
        <w:t>Agency</w:t>
      </w:r>
    </w:p>
    <w:p w:rsidR="00E44041" w:rsidRDefault="00E44041" w:rsidP="00E44041">
      <w:pPr>
        <w:rPr>
          <w:sz w:val="23"/>
          <w:szCs w:val="23"/>
        </w:rPr>
      </w:pPr>
    </w:p>
    <w:p w:rsidR="00E44041" w:rsidRPr="00E44041" w:rsidRDefault="00E44041" w:rsidP="00E44041">
      <w:pPr>
        <w:ind w:firstLine="405"/>
        <w:rPr>
          <w:rFonts w:ascii="Arial" w:hAnsi="Arial" w:cs="Arial"/>
          <w:sz w:val="24"/>
          <w:szCs w:val="24"/>
        </w:rPr>
      </w:pPr>
      <w:r w:rsidRPr="00E44041">
        <w:rPr>
          <w:rFonts w:ascii="Arial" w:hAnsi="Arial" w:cs="Arial"/>
          <w:sz w:val="24"/>
          <w:szCs w:val="24"/>
        </w:rPr>
        <w:t>Date</w:t>
      </w:r>
    </w:p>
    <w:p w:rsidR="00EF51E1" w:rsidRPr="00EF51E1" w:rsidRDefault="00EF51E1" w:rsidP="00EF51E1">
      <w:pPr>
        <w:jc w:val="center"/>
        <w:rPr>
          <w:rFonts w:ascii="Arial" w:hAnsi="Arial" w:cs="Arial"/>
          <w:sz w:val="24"/>
          <w:szCs w:val="24"/>
        </w:rPr>
      </w:pPr>
    </w:p>
    <w:p w:rsidR="00EF51E1" w:rsidRPr="00EF51E1" w:rsidRDefault="00EF51E1" w:rsidP="00EF51E1">
      <w:pPr>
        <w:jc w:val="center"/>
        <w:rPr>
          <w:rFonts w:ascii="Arial" w:hAnsi="Arial" w:cs="Arial"/>
          <w:sz w:val="24"/>
          <w:szCs w:val="24"/>
        </w:rPr>
      </w:pPr>
    </w:p>
    <w:sectPr w:rsidR="00EF51E1" w:rsidRPr="00EF51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41" w:rsidRDefault="00E44041" w:rsidP="00E44041">
      <w:pPr>
        <w:spacing w:after="0" w:line="240" w:lineRule="auto"/>
      </w:pPr>
      <w:r>
        <w:separator/>
      </w:r>
    </w:p>
  </w:endnote>
  <w:endnote w:type="continuationSeparator" w:id="0">
    <w:p w:rsidR="00E44041" w:rsidRDefault="00E44041" w:rsidP="00E4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41" w:rsidRDefault="00E44041" w:rsidP="00E440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41" w:rsidRDefault="00E44041" w:rsidP="00E44041">
      <w:pPr>
        <w:spacing w:after="0" w:line="240" w:lineRule="auto"/>
      </w:pPr>
      <w:r>
        <w:separator/>
      </w:r>
    </w:p>
  </w:footnote>
  <w:footnote w:type="continuationSeparator" w:id="0">
    <w:p w:rsidR="00E44041" w:rsidRDefault="00E44041" w:rsidP="00E4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41" w:rsidRDefault="00E44041" w:rsidP="00E440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7A"/>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A3A59"/>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53959"/>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02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684B3B"/>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2B78DD"/>
    <w:multiLevelType w:val="multilevel"/>
    <w:tmpl w:val="DF08CA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DE7814"/>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662099"/>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0A7645"/>
    <w:multiLevelType w:val="hybridMultilevel"/>
    <w:tmpl w:val="4EB6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24C95"/>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DE3B83"/>
    <w:multiLevelType w:val="multilevel"/>
    <w:tmpl w:val="F11E9D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AF34CC"/>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063A58"/>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B421F3"/>
    <w:multiLevelType w:val="multilevel"/>
    <w:tmpl w:val="AEEE7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E27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350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53713D"/>
    <w:multiLevelType w:val="multilevel"/>
    <w:tmpl w:val="A68A648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770642"/>
    <w:multiLevelType w:val="hybridMultilevel"/>
    <w:tmpl w:val="B9C8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10"/>
  </w:num>
  <w:num w:numId="5">
    <w:abstractNumId w:val="17"/>
  </w:num>
  <w:num w:numId="6">
    <w:abstractNumId w:val="7"/>
  </w:num>
  <w:num w:numId="7">
    <w:abstractNumId w:val="9"/>
  </w:num>
  <w:num w:numId="8">
    <w:abstractNumId w:val="15"/>
  </w:num>
  <w:num w:numId="9">
    <w:abstractNumId w:val="0"/>
  </w:num>
  <w:num w:numId="10">
    <w:abstractNumId w:val="13"/>
  </w:num>
  <w:num w:numId="11">
    <w:abstractNumId w:val="11"/>
  </w:num>
  <w:num w:numId="12">
    <w:abstractNumId w:val="12"/>
  </w:num>
  <w:num w:numId="13">
    <w:abstractNumId w:val="2"/>
  </w:num>
  <w:num w:numId="14">
    <w:abstractNumId w:val="1"/>
  </w:num>
  <w:num w:numId="15">
    <w:abstractNumId w:val="6"/>
  </w:num>
  <w:num w:numId="16">
    <w:abstractNumId w:val="3"/>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E1"/>
    <w:rsid w:val="005F6295"/>
    <w:rsid w:val="008058CA"/>
    <w:rsid w:val="008E0733"/>
    <w:rsid w:val="009629FB"/>
    <w:rsid w:val="00E32058"/>
    <w:rsid w:val="00E44041"/>
    <w:rsid w:val="00EF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5736"/>
  <w15:chartTrackingRefBased/>
  <w15:docId w15:val="{E8F34225-5F95-4773-A16A-9BEA0293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1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F51E1"/>
    <w:pPr>
      <w:ind w:left="720"/>
      <w:contextualSpacing/>
    </w:pPr>
  </w:style>
  <w:style w:type="paragraph" w:styleId="Header">
    <w:name w:val="header"/>
    <w:basedOn w:val="Normal"/>
    <w:link w:val="HeaderChar"/>
    <w:uiPriority w:val="99"/>
    <w:unhideWhenUsed/>
    <w:rsid w:val="00E4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41"/>
  </w:style>
  <w:style w:type="paragraph" w:styleId="Footer">
    <w:name w:val="footer"/>
    <w:basedOn w:val="Normal"/>
    <w:link w:val="FooterChar"/>
    <w:uiPriority w:val="99"/>
    <w:unhideWhenUsed/>
    <w:rsid w:val="00E4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41"/>
  </w:style>
  <w:style w:type="paragraph" w:styleId="BalloonText">
    <w:name w:val="Balloon Text"/>
    <w:basedOn w:val="Normal"/>
    <w:link w:val="BalloonTextChar"/>
    <w:uiPriority w:val="99"/>
    <w:semiHidden/>
    <w:unhideWhenUsed/>
    <w:rsid w:val="00E4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Malson-Ricketts Nicola</dc:creator>
  <cp:keywords/>
  <dc:description/>
  <cp:lastModifiedBy>Malson-Ricketts Nicola</cp:lastModifiedBy>
  <cp:revision>2</cp:revision>
  <cp:lastPrinted>2019-06-18T08:10:00Z</cp:lastPrinted>
  <dcterms:created xsi:type="dcterms:W3CDTF">2019-06-18T08:57:00Z</dcterms:created>
  <dcterms:modified xsi:type="dcterms:W3CDTF">2019-06-18T08:57:00Z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SWYDDOGOL-DIM ANGEN MARC OFFICIAL - NO MARKING</vt:lpwstr>
  </property>
  <property fmtid="{D5CDD505-2E9C-101B-9397-08002B2CF9AE}" pid="3" name="Additional Descriptor">
    <vt:lpwstr/>
  </property>
</Properties>
</file>