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08066" w14:textId="77777777" w:rsidR="00626EE0" w:rsidRDefault="00626EE0" w:rsidP="00626EE0">
      <w:pPr>
        <w:jc w:val="both"/>
        <w:rPr>
          <w:rFonts w:eastAsia="Times New Roman"/>
          <w:b/>
        </w:rPr>
      </w:pPr>
    </w:p>
    <w:p w14:paraId="30475B20" w14:textId="77777777" w:rsidR="00626EE0" w:rsidRDefault="00626EE0" w:rsidP="00626EE0">
      <w:pPr>
        <w:jc w:val="both"/>
        <w:rPr>
          <w:rFonts w:eastAsia="Times New Roman"/>
          <w:b/>
        </w:rPr>
      </w:pPr>
    </w:p>
    <w:p w14:paraId="0AF302A1" w14:textId="77777777" w:rsidR="00626EE0" w:rsidRDefault="00626EE0" w:rsidP="00626EE0">
      <w:pPr>
        <w:jc w:val="both"/>
        <w:rPr>
          <w:rFonts w:eastAsia="Times New Roman"/>
          <w:b/>
        </w:rPr>
      </w:pPr>
    </w:p>
    <w:p w14:paraId="244CFE23" w14:textId="5CCE9103" w:rsidR="00626EE0" w:rsidRPr="005D2E2D" w:rsidRDefault="00626EE0" w:rsidP="00626EE0">
      <w:pPr>
        <w:jc w:val="both"/>
        <w:rPr>
          <w:rFonts w:eastAsia="Times New Roman"/>
          <w:b/>
          <w:sz w:val="24"/>
          <w:szCs w:val="24"/>
        </w:rPr>
      </w:pPr>
      <w:r w:rsidRPr="005D2E2D">
        <w:rPr>
          <w:rFonts w:eastAsia="Times New Roman"/>
          <w:b/>
          <w:sz w:val="24"/>
          <w:szCs w:val="24"/>
        </w:rPr>
        <w:t xml:space="preserve">REPORT ON THE </w:t>
      </w:r>
      <w:r w:rsidR="005725B0">
        <w:rPr>
          <w:rFonts w:eastAsia="Times New Roman"/>
          <w:b/>
          <w:sz w:val="24"/>
          <w:szCs w:val="24"/>
        </w:rPr>
        <w:t xml:space="preserve">ACTING </w:t>
      </w:r>
      <w:r w:rsidRPr="005D2E2D">
        <w:rPr>
          <w:rFonts w:eastAsia="Times New Roman"/>
          <w:b/>
          <w:sz w:val="24"/>
          <w:szCs w:val="24"/>
        </w:rPr>
        <w:t>POLICE AND CRIME COMMISSIONER FOR GWENT’S PROPOSED COUNCIL TAX PRECEPT FOR 202</w:t>
      </w:r>
      <w:r w:rsidR="00185572">
        <w:rPr>
          <w:rFonts w:eastAsia="Times New Roman"/>
          <w:b/>
          <w:sz w:val="24"/>
          <w:szCs w:val="24"/>
        </w:rPr>
        <w:t>4/25</w:t>
      </w:r>
      <w:r w:rsidRPr="005D2E2D">
        <w:rPr>
          <w:rFonts w:eastAsia="Times New Roman"/>
          <w:b/>
          <w:sz w:val="24"/>
          <w:szCs w:val="24"/>
        </w:rPr>
        <w:t xml:space="preserve"> </w:t>
      </w:r>
    </w:p>
    <w:p w14:paraId="38BE4B39" w14:textId="77777777" w:rsidR="00626EE0" w:rsidRPr="005D2E2D" w:rsidRDefault="00626EE0" w:rsidP="00626EE0">
      <w:pPr>
        <w:jc w:val="both"/>
        <w:rPr>
          <w:rFonts w:eastAsia="Times New Roman"/>
          <w:b/>
          <w:sz w:val="24"/>
          <w:szCs w:val="24"/>
        </w:rPr>
      </w:pPr>
    </w:p>
    <w:p w14:paraId="7758A09F" w14:textId="77777777" w:rsidR="00626EE0" w:rsidRPr="005D2E2D" w:rsidRDefault="00626EE0" w:rsidP="00626EE0">
      <w:pPr>
        <w:jc w:val="both"/>
        <w:rPr>
          <w:rFonts w:eastAsia="Times New Roman"/>
          <w:b/>
          <w:sz w:val="24"/>
          <w:szCs w:val="24"/>
        </w:rPr>
      </w:pPr>
      <w:r w:rsidRPr="005D2E2D">
        <w:rPr>
          <w:rFonts w:eastAsia="Times New Roman"/>
          <w:b/>
          <w:sz w:val="24"/>
          <w:szCs w:val="24"/>
        </w:rPr>
        <w:t>INTRODUCTION</w:t>
      </w:r>
    </w:p>
    <w:p w14:paraId="1E16E894" w14:textId="77777777" w:rsidR="00626EE0" w:rsidRPr="005D2E2D" w:rsidRDefault="00626EE0" w:rsidP="00626EE0">
      <w:pPr>
        <w:jc w:val="both"/>
        <w:rPr>
          <w:rFonts w:eastAsia="Times New Roman"/>
          <w:b/>
          <w:sz w:val="24"/>
          <w:szCs w:val="24"/>
        </w:rPr>
      </w:pPr>
    </w:p>
    <w:p w14:paraId="6FE53022" w14:textId="31F45356" w:rsidR="00626EE0" w:rsidRPr="005D2E2D" w:rsidRDefault="00626EE0" w:rsidP="00626EE0">
      <w:pPr>
        <w:numPr>
          <w:ilvl w:val="0"/>
          <w:numId w:val="1"/>
        </w:numPr>
        <w:autoSpaceDE w:val="0"/>
        <w:autoSpaceDN w:val="0"/>
        <w:adjustRightInd w:val="0"/>
        <w:jc w:val="both"/>
        <w:rPr>
          <w:rFonts w:eastAsia="Times New Roman"/>
          <w:sz w:val="24"/>
          <w:szCs w:val="24"/>
        </w:rPr>
      </w:pPr>
      <w:r w:rsidRPr="005D2E2D">
        <w:rPr>
          <w:rFonts w:eastAsia="Times New Roman"/>
          <w:sz w:val="24"/>
          <w:szCs w:val="24"/>
        </w:rPr>
        <w:t xml:space="preserve">This report is made in accordance with the </w:t>
      </w:r>
      <w:r w:rsidR="00D05EDB">
        <w:rPr>
          <w:rFonts w:eastAsia="Times New Roman"/>
          <w:sz w:val="24"/>
          <w:szCs w:val="24"/>
        </w:rPr>
        <w:t xml:space="preserve">Acting </w:t>
      </w:r>
      <w:r w:rsidRPr="005D2E2D">
        <w:rPr>
          <w:rFonts w:eastAsia="Times New Roman"/>
          <w:sz w:val="24"/>
          <w:szCs w:val="24"/>
        </w:rPr>
        <w:t>Police and Crime Commissioner for Gwent’s (</w:t>
      </w:r>
      <w:r w:rsidR="00290A1A">
        <w:rPr>
          <w:rFonts w:eastAsia="Times New Roman"/>
          <w:sz w:val="24"/>
          <w:szCs w:val="24"/>
        </w:rPr>
        <w:t xml:space="preserve">Acting </w:t>
      </w:r>
      <w:r w:rsidRPr="005D2E2D">
        <w:rPr>
          <w:rFonts w:eastAsia="Times New Roman"/>
          <w:sz w:val="24"/>
          <w:szCs w:val="24"/>
        </w:rPr>
        <w:t>Commissioner) statutory duty contained in Paragraph 5, Schedule 5 of the Police Reform and Social Responsibility Act 2011.</w:t>
      </w:r>
    </w:p>
    <w:p w14:paraId="4674754C" w14:textId="77777777" w:rsidR="00626EE0" w:rsidRPr="005D2E2D" w:rsidRDefault="00626EE0" w:rsidP="00626EE0">
      <w:pPr>
        <w:jc w:val="both"/>
        <w:rPr>
          <w:rFonts w:eastAsia="Times New Roman"/>
          <w:b/>
          <w:sz w:val="24"/>
          <w:szCs w:val="24"/>
        </w:rPr>
      </w:pPr>
    </w:p>
    <w:p w14:paraId="7CC4C2A4" w14:textId="77777777" w:rsidR="00626EE0" w:rsidRPr="005D2E2D" w:rsidRDefault="00626EE0" w:rsidP="00626EE0">
      <w:pPr>
        <w:jc w:val="both"/>
        <w:rPr>
          <w:rFonts w:eastAsia="Times New Roman"/>
          <w:b/>
          <w:sz w:val="24"/>
          <w:szCs w:val="24"/>
        </w:rPr>
      </w:pPr>
    </w:p>
    <w:p w14:paraId="236C0C36" w14:textId="77777777" w:rsidR="00626EE0" w:rsidRPr="005D2E2D" w:rsidRDefault="00626EE0" w:rsidP="00626EE0">
      <w:pPr>
        <w:jc w:val="both"/>
        <w:rPr>
          <w:rFonts w:eastAsia="Times New Roman"/>
          <w:b/>
          <w:sz w:val="24"/>
          <w:szCs w:val="24"/>
        </w:rPr>
      </w:pPr>
      <w:r w:rsidRPr="005D2E2D">
        <w:rPr>
          <w:rFonts w:eastAsia="Times New Roman"/>
          <w:b/>
          <w:sz w:val="24"/>
          <w:szCs w:val="24"/>
        </w:rPr>
        <w:t>BACKGROUND</w:t>
      </w:r>
    </w:p>
    <w:p w14:paraId="031D2633" w14:textId="77777777" w:rsidR="00626EE0" w:rsidRPr="005D2E2D" w:rsidRDefault="00626EE0" w:rsidP="00626EE0">
      <w:pPr>
        <w:jc w:val="both"/>
        <w:rPr>
          <w:rFonts w:eastAsia="Times New Roman"/>
          <w:b/>
          <w:sz w:val="24"/>
          <w:szCs w:val="24"/>
        </w:rPr>
      </w:pPr>
    </w:p>
    <w:p w14:paraId="104F16F2" w14:textId="6B41EB79" w:rsidR="00626EE0" w:rsidRPr="005D2E2D" w:rsidRDefault="00626EE0" w:rsidP="00626EE0">
      <w:pPr>
        <w:numPr>
          <w:ilvl w:val="0"/>
          <w:numId w:val="1"/>
        </w:numPr>
        <w:autoSpaceDE w:val="0"/>
        <w:autoSpaceDN w:val="0"/>
        <w:adjustRightInd w:val="0"/>
        <w:jc w:val="both"/>
        <w:rPr>
          <w:rFonts w:eastAsia="Times New Roman"/>
          <w:sz w:val="24"/>
          <w:szCs w:val="24"/>
        </w:rPr>
      </w:pPr>
      <w:r w:rsidRPr="005D2E2D">
        <w:rPr>
          <w:rFonts w:eastAsia="Times New Roman"/>
          <w:sz w:val="24"/>
          <w:szCs w:val="24"/>
        </w:rPr>
        <w:t xml:space="preserve">The </w:t>
      </w:r>
      <w:r w:rsidR="00290A1A">
        <w:rPr>
          <w:rFonts w:eastAsia="Times New Roman"/>
          <w:sz w:val="24"/>
          <w:szCs w:val="24"/>
        </w:rPr>
        <w:t xml:space="preserve">Acting </w:t>
      </w:r>
      <w:r w:rsidRPr="005D2E2D">
        <w:rPr>
          <w:rFonts w:eastAsia="Times New Roman"/>
          <w:sz w:val="24"/>
          <w:szCs w:val="24"/>
        </w:rPr>
        <w:t xml:space="preserve">Commissioner notified the Gwent Police and Crime Panel (PCP) on the </w:t>
      </w:r>
      <w:r w:rsidR="00BE73BA">
        <w:rPr>
          <w:rFonts w:eastAsia="Times New Roman"/>
          <w:sz w:val="24"/>
          <w:szCs w:val="24"/>
        </w:rPr>
        <w:t>19</w:t>
      </w:r>
      <w:r w:rsidR="00393BB5" w:rsidRPr="00393BB5">
        <w:rPr>
          <w:rFonts w:eastAsia="Times New Roman"/>
          <w:sz w:val="24"/>
          <w:szCs w:val="24"/>
          <w:vertAlign w:val="superscript"/>
        </w:rPr>
        <w:t>th</w:t>
      </w:r>
      <w:r w:rsidR="00393BB5">
        <w:rPr>
          <w:rFonts w:eastAsia="Times New Roman"/>
          <w:sz w:val="24"/>
          <w:szCs w:val="24"/>
        </w:rPr>
        <w:t xml:space="preserve"> of </w:t>
      </w:r>
      <w:r w:rsidRPr="005D2E2D">
        <w:rPr>
          <w:rFonts w:eastAsia="Times New Roman"/>
          <w:sz w:val="24"/>
          <w:szCs w:val="24"/>
        </w:rPr>
        <w:t>January 202</w:t>
      </w:r>
      <w:r w:rsidR="00185572">
        <w:rPr>
          <w:rFonts w:eastAsia="Times New Roman"/>
          <w:sz w:val="24"/>
          <w:szCs w:val="24"/>
        </w:rPr>
        <w:t>4</w:t>
      </w:r>
      <w:r w:rsidRPr="005D2E2D">
        <w:rPr>
          <w:rFonts w:eastAsia="Times New Roman"/>
          <w:sz w:val="24"/>
          <w:szCs w:val="24"/>
        </w:rPr>
        <w:t xml:space="preserve"> of </w:t>
      </w:r>
      <w:r w:rsidR="00C36195">
        <w:rPr>
          <w:rFonts w:eastAsia="Times New Roman"/>
          <w:sz w:val="24"/>
          <w:szCs w:val="24"/>
        </w:rPr>
        <w:t>her</w:t>
      </w:r>
      <w:r w:rsidR="00D05EDB">
        <w:rPr>
          <w:rFonts w:eastAsia="Times New Roman"/>
          <w:sz w:val="24"/>
          <w:szCs w:val="24"/>
        </w:rPr>
        <w:t xml:space="preserve"> </w:t>
      </w:r>
      <w:r w:rsidRPr="005D2E2D">
        <w:rPr>
          <w:rFonts w:eastAsia="Times New Roman"/>
          <w:sz w:val="24"/>
          <w:szCs w:val="24"/>
        </w:rPr>
        <w:t>Budget Requirement and Council Tax Precept Proposal for 202</w:t>
      </w:r>
      <w:r w:rsidR="00D05EDB">
        <w:rPr>
          <w:rFonts w:eastAsia="Times New Roman"/>
          <w:sz w:val="24"/>
          <w:szCs w:val="24"/>
        </w:rPr>
        <w:t>4/</w:t>
      </w:r>
      <w:r w:rsidR="00DA213C">
        <w:rPr>
          <w:rFonts w:eastAsia="Times New Roman"/>
          <w:sz w:val="24"/>
          <w:szCs w:val="24"/>
        </w:rPr>
        <w:t>25</w:t>
      </w:r>
      <w:r w:rsidRPr="005D2E2D">
        <w:rPr>
          <w:rFonts w:eastAsia="Times New Roman"/>
          <w:sz w:val="24"/>
          <w:szCs w:val="24"/>
        </w:rPr>
        <w:t xml:space="preserve">.  The PCP considered this detailed report, </w:t>
      </w:r>
      <w:proofErr w:type="gramStart"/>
      <w:r w:rsidRPr="005D2E2D">
        <w:rPr>
          <w:rFonts w:eastAsia="Times New Roman"/>
          <w:sz w:val="24"/>
          <w:szCs w:val="24"/>
        </w:rPr>
        <w:t>annexe</w:t>
      </w:r>
      <w:r w:rsidR="00BE73BA">
        <w:rPr>
          <w:rFonts w:eastAsia="Times New Roman"/>
          <w:sz w:val="24"/>
          <w:szCs w:val="24"/>
        </w:rPr>
        <w:t>s</w:t>
      </w:r>
      <w:proofErr w:type="gramEnd"/>
      <w:r w:rsidRPr="005D2E2D">
        <w:rPr>
          <w:rFonts w:eastAsia="Times New Roman"/>
          <w:sz w:val="24"/>
          <w:szCs w:val="24"/>
        </w:rPr>
        <w:t xml:space="preserve"> and associated appendices in support of the Proposal at their meeting held at Penallta House, Caerphilly Borough County Council on the 2</w:t>
      </w:r>
      <w:r w:rsidR="00185572">
        <w:rPr>
          <w:rFonts w:eastAsia="Times New Roman"/>
          <w:sz w:val="24"/>
          <w:szCs w:val="24"/>
        </w:rPr>
        <w:t>6</w:t>
      </w:r>
      <w:r w:rsidRPr="005D2E2D">
        <w:rPr>
          <w:rFonts w:eastAsia="Times New Roman"/>
          <w:sz w:val="24"/>
          <w:szCs w:val="24"/>
          <w:vertAlign w:val="superscript"/>
        </w:rPr>
        <w:t xml:space="preserve">th </w:t>
      </w:r>
      <w:r w:rsidRPr="005D2E2D">
        <w:rPr>
          <w:rFonts w:eastAsia="Times New Roman"/>
          <w:sz w:val="24"/>
          <w:szCs w:val="24"/>
        </w:rPr>
        <w:t>of January 202</w:t>
      </w:r>
      <w:r w:rsidR="00185572">
        <w:rPr>
          <w:rFonts w:eastAsia="Times New Roman"/>
          <w:sz w:val="24"/>
          <w:szCs w:val="24"/>
        </w:rPr>
        <w:t>4</w:t>
      </w:r>
      <w:r w:rsidR="00393BB5">
        <w:rPr>
          <w:rFonts w:eastAsia="Times New Roman"/>
          <w:sz w:val="24"/>
          <w:szCs w:val="24"/>
        </w:rPr>
        <w:t xml:space="preserve"> (PCP meeting)</w:t>
      </w:r>
      <w:r w:rsidRPr="005D2E2D">
        <w:rPr>
          <w:rFonts w:eastAsia="Times New Roman"/>
          <w:sz w:val="24"/>
          <w:szCs w:val="24"/>
        </w:rPr>
        <w:t>.</w:t>
      </w:r>
    </w:p>
    <w:p w14:paraId="45300008" w14:textId="77777777" w:rsidR="00626EE0" w:rsidRPr="005D2E2D" w:rsidRDefault="00626EE0" w:rsidP="00626EE0">
      <w:pPr>
        <w:autoSpaceDE w:val="0"/>
        <w:autoSpaceDN w:val="0"/>
        <w:adjustRightInd w:val="0"/>
        <w:ind w:left="680"/>
        <w:jc w:val="both"/>
        <w:rPr>
          <w:rFonts w:eastAsia="Times New Roman"/>
          <w:sz w:val="24"/>
          <w:szCs w:val="24"/>
        </w:rPr>
      </w:pPr>
    </w:p>
    <w:p w14:paraId="5D7E13A3" w14:textId="3704769B" w:rsidR="00626EE0" w:rsidRPr="005D2E2D" w:rsidRDefault="00626EE0" w:rsidP="00626EE0">
      <w:pPr>
        <w:numPr>
          <w:ilvl w:val="0"/>
          <w:numId w:val="1"/>
        </w:numPr>
        <w:autoSpaceDE w:val="0"/>
        <w:autoSpaceDN w:val="0"/>
        <w:adjustRightInd w:val="0"/>
        <w:jc w:val="both"/>
        <w:rPr>
          <w:rFonts w:eastAsia="Times New Roman"/>
          <w:sz w:val="24"/>
          <w:szCs w:val="24"/>
        </w:rPr>
      </w:pPr>
      <w:r w:rsidRPr="005D2E2D">
        <w:rPr>
          <w:rFonts w:eastAsia="Times New Roman"/>
          <w:sz w:val="24"/>
          <w:szCs w:val="24"/>
        </w:rPr>
        <w:t xml:space="preserve">Following a full debate regarding the </w:t>
      </w:r>
      <w:r w:rsidRPr="005D2E2D">
        <w:rPr>
          <w:sz w:val="24"/>
          <w:szCs w:val="24"/>
        </w:rPr>
        <w:t>proposed increase, considering both the impact on the residents and communities of Gwent and the needs for Gwent Police to maintain current levels of service</w:t>
      </w:r>
      <w:r w:rsidRPr="005D2E2D">
        <w:rPr>
          <w:rFonts w:eastAsia="Times New Roman"/>
          <w:sz w:val="24"/>
          <w:szCs w:val="24"/>
        </w:rPr>
        <w:t xml:space="preserve">, the PCP unanimously resolved to agree an increase of </w:t>
      </w:r>
      <w:r w:rsidR="00185572">
        <w:rPr>
          <w:rFonts w:eastAsia="Times New Roman"/>
          <w:sz w:val="24"/>
          <w:szCs w:val="24"/>
        </w:rPr>
        <w:t>7.70</w:t>
      </w:r>
      <w:r w:rsidRPr="005D2E2D">
        <w:rPr>
          <w:rFonts w:eastAsia="Times New Roman"/>
          <w:sz w:val="24"/>
          <w:szCs w:val="24"/>
        </w:rPr>
        <w:t xml:space="preserve">% on the </w:t>
      </w:r>
      <w:r w:rsidR="00290A1A">
        <w:rPr>
          <w:rFonts w:eastAsia="Times New Roman"/>
          <w:sz w:val="24"/>
          <w:szCs w:val="24"/>
        </w:rPr>
        <w:t xml:space="preserve">Acting </w:t>
      </w:r>
      <w:r w:rsidRPr="005D2E2D">
        <w:rPr>
          <w:rFonts w:eastAsia="Times New Roman"/>
          <w:sz w:val="24"/>
          <w:szCs w:val="24"/>
        </w:rPr>
        <w:t>Commissioner’s Council Tax Precept for 202</w:t>
      </w:r>
      <w:r w:rsidR="00185572">
        <w:rPr>
          <w:rFonts w:eastAsia="Times New Roman"/>
          <w:sz w:val="24"/>
          <w:szCs w:val="24"/>
        </w:rPr>
        <w:t>4/25</w:t>
      </w:r>
      <w:r w:rsidRPr="005D2E2D">
        <w:rPr>
          <w:rFonts w:eastAsia="Times New Roman"/>
          <w:sz w:val="24"/>
          <w:szCs w:val="24"/>
        </w:rPr>
        <w:t xml:space="preserve">.  It was within the PCP’s gift however, whilst </w:t>
      </w:r>
      <w:r w:rsidR="00393BB5">
        <w:rPr>
          <w:rFonts w:eastAsia="Times New Roman"/>
          <w:sz w:val="24"/>
          <w:szCs w:val="24"/>
        </w:rPr>
        <w:t>supporting</w:t>
      </w:r>
      <w:r w:rsidRPr="005D2E2D">
        <w:rPr>
          <w:rFonts w:eastAsia="Times New Roman"/>
          <w:sz w:val="24"/>
          <w:szCs w:val="24"/>
        </w:rPr>
        <w:t xml:space="preserve"> the Council Tax Precept Proposal increase, to recommend to the </w:t>
      </w:r>
      <w:r w:rsidR="00290A1A">
        <w:rPr>
          <w:rFonts w:eastAsia="Times New Roman"/>
          <w:sz w:val="24"/>
          <w:szCs w:val="24"/>
        </w:rPr>
        <w:t xml:space="preserve">Acting </w:t>
      </w:r>
      <w:r w:rsidRPr="005D2E2D">
        <w:rPr>
          <w:rFonts w:eastAsia="Times New Roman"/>
          <w:sz w:val="24"/>
          <w:szCs w:val="24"/>
        </w:rPr>
        <w:t xml:space="preserve">Commissioner an alternative increase for </w:t>
      </w:r>
      <w:r w:rsidR="00C36195">
        <w:rPr>
          <w:rFonts w:eastAsia="Times New Roman"/>
          <w:sz w:val="24"/>
          <w:szCs w:val="24"/>
        </w:rPr>
        <w:t xml:space="preserve">her </w:t>
      </w:r>
      <w:r w:rsidRPr="005D2E2D">
        <w:rPr>
          <w:rFonts w:eastAsia="Times New Roman"/>
          <w:sz w:val="24"/>
          <w:szCs w:val="24"/>
        </w:rPr>
        <w:t>consideration.</w:t>
      </w:r>
    </w:p>
    <w:p w14:paraId="48C44129" w14:textId="77777777" w:rsidR="00626EE0" w:rsidRPr="005D2E2D" w:rsidRDefault="00626EE0" w:rsidP="00626EE0">
      <w:pPr>
        <w:autoSpaceDE w:val="0"/>
        <w:autoSpaceDN w:val="0"/>
        <w:adjustRightInd w:val="0"/>
        <w:ind w:left="680"/>
        <w:jc w:val="both"/>
        <w:rPr>
          <w:rFonts w:eastAsia="Times New Roman"/>
          <w:sz w:val="24"/>
          <w:szCs w:val="24"/>
        </w:rPr>
      </w:pPr>
    </w:p>
    <w:p w14:paraId="2C049FC8" w14:textId="72BF9469" w:rsidR="00626EE0" w:rsidRPr="005D2E2D" w:rsidRDefault="00626EE0" w:rsidP="003E7DA0">
      <w:pPr>
        <w:numPr>
          <w:ilvl w:val="0"/>
          <w:numId w:val="1"/>
        </w:numPr>
        <w:autoSpaceDE w:val="0"/>
        <w:autoSpaceDN w:val="0"/>
        <w:adjustRightInd w:val="0"/>
        <w:jc w:val="both"/>
        <w:rPr>
          <w:rFonts w:eastAsia="Times New Roman"/>
          <w:sz w:val="24"/>
          <w:szCs w:val="24"/>
        </w:rPr>
      </w:pPr>
      <w:r w:rsidRPr="005D2E2D">
        <w:rPr>
          <w:rFonts w:eastAsia="Times New Roman"/>
          <w:sz w:val="24"/>
          <w:szCs w:val="24"/>
        </w:rPr>
        <w:t xml:space="preserve">On the </w:t>
      </w:r>
      <w:r w:rsidR="00211B5B">
        <w:rPr>
          <w:rFonts w:eastAsia="Times New Roman"/>
          <w:sz w:val="24"/>
          <w:szCs w:val="24"/>
        </w:rPr>
        <w:t>2</w:t>
      </w:r>
      <w:r w:rsidR="00211B5B" w:rsidRPr="00211B5B">
        <w:rPr>
          <w:rFonts w:eastAsia="Times New Roman"/>
          <w:sz w:val="24"/>
          <w:szCs w:val="24"/>
          <w:vertAlign w:val="superscript"/>
        </w:rPr>
        <w:t>nd</w:t>
      </w:r>
      <w:r w:rsidR="00211B5B">
        <w:rPr>
          <w:rFonts w:eastAsia="Times New Roman"/>
          <w:sz w:val="24"/>
          <w:szCs w:val="24"/>
        </w:rPr>
        <w:t xml:space="preserve"> </w:t>
      </w:r>
      <w:r w:rsidR="00393BB5">
        <w:rPr>
          <w:rFonts w:eastAsia="Times New Roman"/>
          <w:sz w:val="24"/>
          <w:szCs w:val="24"/>
        </w:rPr>
        <w:t xml:space="preserve">of </w:t>
      </w:r>
      <w:r w:rsidRPr="005D2E2D">
        <w:rPr>
          <w:rFonts w:eastAsia="Times New Roman"/>
          <w:sz w:val="24"/>
          <w:szCs w:val="24"/>
        </w:rPr>
        <w:t>February 202</w:t>
      </w:r>
      <w:r w:rsidR="00211B5B">
        <w:rPr>
          <w:rFonts w:eastAsia="Times New Roman"/>
          <w:sz w:val="24"/>
          <w:szCs w:val="24"/>
        </w:rPr>
        <w:t>4</w:t>
      </w:r>
      <w:r w:rsidRPr="005D2E2D">
        <w:rPr>
          <w:rFonts w:eastAsia="Times New Roman"/>
          <w:sz w:val="24"/>
          <w:szCs w:val="24"/>
        </w:rPr>
        <w:t xml:space="preserve">, the </w:t>
      </w:r>
      <w:r w:rsidR="00290A1A">
        <w:rPr>
          <w:rFonts w:eastAsia="Times New Roman"/>
          <w:sz w:val="24"/>
          <w:szCs w:val="24"/>
        </w:rPr>
        <w:t xml:space="preserve">Acting </w:t>
      </w:r>
      <w:r w:rsidRPr="005D2E2D">
        <w:rPr>
          <w:rFonts w:eastAsia="Times New Roman"/>
          <w:sz w:val="24"/>
          <w:szCs w:val="24"/>
        </w:rPr>
        <w:t>Commissioner received the formal report on the Gwent Police and Crime Commissioner’s Proposed Precept for 202</w:t>
      </w:r>
      <w:r w:rsidR="00211B5B">
        <w:rPr>
          <w:rFonts w:eastAsia="Times New Roman"/>
          <w:sz w:val="24"/>
          <w:szCs w:val="24"/>
        </w:rPr>
        <w:t>4/25</w:t>
      </w:r>
      <w:r w:rsidRPr="005D2E2D">
        <w:rPr>
          <w:rFonts w:eastAsia="Times New Roman"/>
          <w:sz w:val="24"/>
          <w:szCs w:val="24"/>
        </w:rPr>
        <w:t xml:space="preserve"> from the PCP</w:t>
      </w:r>
      <w:r w:rsidR="00393BB5">
        <w:rPr>
          <w:rFonts w:eastAsia="Times New Roman"/>
          <w:sz w:val="24"/>
          <w:szCs w:val="24"/>
        </w:rPr>
        <w:t>,</w:t>
      </w:r>
      <w:r w:rsidRPr="005D2E2D">
        <w:rPr>
          <w:rFonts w:eastAsia="Times New Roman"/>
          <w:sz w:val="24"/>
          <w:szCs w:val="24"/>
        </w:rPr>
        <w:t xml:space="preserve"> </w:t>
      </w:r>
      <w:r w:rsidR="00393BB5">
        <w:rPr>
          <w:rFonts w:eastAsia="Times New Roman"/>
          <w:sz w:val="24"/>
          <w:szCs w:val="24"/>
        </w:rPr>
        <w:t xml:space="preserve">unanimously </w:t>
      </w:r>
      <w:r w:rsidRPr="005D2E2D">
        <w:rPr>
          <w:rFonts w:eastAsia="Times New Roman"/>
          <w:sz w:val="24"/>
          <w:szCs w:val="24"/>
        </w:rPr>
        <w:t xml:space="preserve">endorsing </w:t>
      </w:r>
      <w:r w:rsidR="00211B5B">
        <w:rPr>
          <w:rFonts w:eastAsia="Times New Roman"/>
          <w:sz w:val="24"/>
          <w:szCs w:val="24"/>
        </w:rPr>
        <w:t xml:space="preserve">the </w:t>
      </w:r>
      <w:r w:rsidRPr="005D2E2D">
        <w:rPr>
          <w:rFonts w:eastAsia="Times New Roman"/>
          <w:sz w:val="24"/>
          <w:szCs w:val="24"/>
        </w:rPr>
        <w:t xml:space="preserve">proposed Council Tax Precept increase.  </w:t>
      </w:r>
      <w:r w:rsidR="00393BB5">
        <w:rPr>
          <w:rFonts w:eastAsia="Times New Roman"/>
          <w:sz w:val="24"/>
          <w:szCs w:val="24"/>
        </w:rPr>
        <w:t>Although in support of the increase, t</w:t>
      </w:r>
      <w:r w:rsidRPr="005D2E2D">
        <w:rPr>
          <w:rFonts w:eastAsia="Times New Roman"/>
          <w:sz w:val="24"/>
          <w:szCs w:val="24"/>
        </w:rPr>
        <w:t xml:space="preserve">he report also </w:t>
      </w:r>
      <w:r w:rsidR="00393BB5">
        <w:rPr>
          <w:rFonts w:eastAsia="Times New Roman"/>
          <w:sz w:val="24"/>
          <w:szCs w:val="24"/>
        </w:rPr>
        <w:t>highlighted</w:t>
      </w:r>
      <w:r w:rsidRPr="005D2E2D">
        <w:rPr>
          <w:rFonts w:eastAsia="Times New Roman"/>
          <w:sz w:val="24"/>
          <w:szCs w:val="24"/>
        </w:rPr>
        <w:t xml:space="preserve"> that:</w:t>
      </w:r>
    </w:p>
    <w:p w14:paraId="487285FC" w14:textId="77777777" w:rsidR="00626EE0" w:rsidRPr="005D2E2D" w:rsidRDefault="00626EE0" w:rsidP="003E7DA0">
      <w:pPr>
        <w:pStyle w:val="ListParagraph"/>
        <w:rPr>
          <w:rFonts w:eastAsia="Times New Roman"/>
          <w:sz w:val="24"/>
          <w:szCs w:val="24"/>
        </w:rPr>
      </w:pPr>
    </w:p>
    <w:p w14:paraId="6C7BC7D6" w14:textId="77777777" w:rsidR="00593590" w:rsidRPr="0013147B" w:rsidRDefault="00593590" w:rsidP="00593590">
      <w:pPr>
        <w:pStyle w:val="ListParagraph"/>
        <w:numPr>
          <w:ilvl w:val="0"/>
          <w:numId w:val="2"/>
        </w:numPr>
        <w:jc w:val="both"/>
        <w:rPr>
          <w:rFonts w:eastAsia="Times New Roman"/>
          <w:sz w:val="24"/>
          <w:szCs w:val="24"/>
        </w:rPr>
      </w:pPr>
      <w:r w:rsidRPr="0013147B">
        <w:rPr>
          <w:rFonts w:eastAsia="Times New Roman"/>
          <w:sz w:val="24"/>
          <w:szCs w:val="24"/>
        </w:rPr>
        <w:t>The Panel wished to thank the Acting Police and Crime Commissioner for Gwent, and the Acting Section 151 Officer, for the amended structure of the report this year. The provision of a clear presentation supported by the handout made the process much easier for members. Members appreciated the opportunity for engagement and discussion throughout the process. The information provided was clear and appropriate with detailed responses, the lack of jargon was appreciated.</w:t>
      </w:r>
    </w:p>
    <w:p w14:paraId="30E843F7" w14:textId="77777777" w:rsidR="00593590" w:rsidRPr="0013147B" w:rsidRDefault="00593590" w:rsidP="00593590">
      <w:pPr>
        <w:pStyle w:val="ListParagraph"/>
        <w:numPr>
          <w:ilvl w:val="0"/>
          <w:numId w:val="2"/>
        </w:numPr>
        <w:rPr>
          <w:rFonts w:eastAsia="Times New Roman"/>
          <w:sz w:val="24"/>
          <w:szCs w:val="24"/>
        </w:rPr>
      </w:pPr>
      <w:r w:rsidRPr="0013147B">
        <w:rPr>
          <w:rFonts w:eastAsia="Times New Roman"/>
          <w:sz w:val="24"/>
          <w:szCs w:val="24"/>
        </w:rPr>
        <w:lastRenderedPageBreak/>
        <w:t xml:space="preserve">The Panel would however wish to record their concerns regarding the Estates Strategy and note the pause of the Gwent Police Operational Facility (GPOF). The funding gap of £2.8m still </w:t>
      </w:r>
      <w:proofErr w:type="gramStart"/>
      <w:r w:rsidRPr="0013147B">
        <w:rPr>
          <w:rFonts w:eastAsia="Times New Roman"/>
          <w:sz w:val="24"/>
          <w:szCs w:val="24"/>
        </w:rPr>
        <w:t>has to</w:t>
      </w:r>
      <w:proofErr w:type="gramEnd"/>
      <w:r w:rsidRPr="0013147B">
        <w:rPr>
          <w:rFonts w:eastAsia="Times New Roman"/>
          <w:sz w:val="24"/>
          <w:szCs w:val="24"/>
        </w:rPr>
        <w:t xml:space="preserve"> be closed and it is recognised that savings of £4.4m have already been included in this budget. </w:t>
      </w:r>
    </w:p>
    <w:p w14:paraId="4029737A" w14:textId="2C694027" w:rsidR="00593590" w:rsidRPr="0013147B" w:rsidRDefault="00593590" w:rsidP="00593590">
      <w:pPr>
        <w:pStyle w:val="ListParagraph"/>
        <w:numPr>
          <w:ilvl w:val="0"/>
          <w:numId w:val="2"/>
        </w:numPr>
        <w:jc w:val="both"/>
        <w:rPr>
          <w:rFonts w:eastAsia="Times New Roman"/>
          <w:sz w:val="24"/>
          <w:szCs w:val="24"/>
        </w:rPr>
      </w:pPr>
      <w:r w:rsidRPr="0013147B">
        <w:rPr>
          <w:rFonts w:eastAsia="Times New Roman"/>
          <w:sz w:val="24"/>
          <w:szCs w:val="24"/>
        </w:rPr>
        <w:t>Members are very uncomfortable with the increase of 7.70% due to the impact upon the residents of Gwent however extensive scrutiny and challenge has been carried out by the A</w:t>
      </w:r>
      <w:r w:rsidR="00290A1A">
        <w:rPr>
          <w:rFonts w:eastAsia="Times New Roman"/>
          <w:sz w:val="24"/>
          <w:szCs w:val="24"/>
        </w:rPr>
        <w:t xml:space="preserve">cting Commissioner </w:t>
      </w:r>
      <w:r w:rsidRPr="0013147B">
        <w:rPr>
          <w:rFonts w:eastAsia="Times New Roman"/>
          <w:sz w:val="24"/>
          <w:szCs w:val="24"/>
        </w:rPr>
        <w:t xml:space="preserve">and her office therefore the Panel have supported the increase. </w:t>
      </w:r>
    </w:p>
    <w:p w14:paraId="426859BA" w14:textId="77777777" w:rsidR="00626EE0" w:rsidRDefault="00626EE0" w:rsidP="003E7DA0">
      <w:pPr>
        <w:autoSpaceDE w:val="0"/>
        <w:autoSpaceDN w:val="0"/>
        <w:adjustRightInd w:val="0"/>
        <w:ind w:left="680"/>
        <w:jc w:val="both"/>
        <w:rPr>
          <w:rFonts w:eastAsia="Times New Roman"/>
          <w:sz w:val="24"/>
          <w:szCs w:val="24"/>
        </w:rPr>
      </w:pPr>
    </w:p>
    <w:p w14:paraId="3CDE3B89" w14:textId="77777777" w:rsidR="00C36195" w:rsidRPr="005D2E2D" w:rsidRDefault="00C36195" w:rsidP="003E7DA0">
      <w:pPr>
        <w:autoSpaceDE w:val="0"/>
        <w:autoSpaceDN w:val="0"/>
        <w:adjustRightInd w:val="0"/>
        <w:ind w:left="680"/>
        <w:jc w:val="both"/>
        <w:rPr>
          <w:rFonts w:eastAsia="Times New Roman"/>
          <w:sz w:val="24"/>
          <w:szCs w:val="24"/>
        </w:rPr>
      </w:pPr>
    </w:p>
    <w:p w14:paraId="38471215" w14:textId="77777777" w:rsidR="00626EE0" w:rsidRPr="005D2E2D" w:rsidRDefault="00626EE0" w:rsidP="00626EE0">
      <w:pPr>
        <w:jc w:val="both"/>
        <w:rPr>
          <w:rFonts w:eastAsia="Times New Roman"/>
          <w:b/>
          <w:sz w:val="24"/>
          <w:szCs w:val="24"/>
        </w:rPr>
      </w:pPr>
      <w:r w:rsidRPr="005D2E2D">
        <w:rPr>
          <w:rFonts w:eastAsia="Times New Roman"/>
          <w:b/>
          <w:sz w:val="24"/>
          <w:szCs w:val="24"/>
        </w:rPr>
        <w:t>CONSIDERATION OF THE GWENT POLICE AND CRIME PANEL’S COUNCIL TAX PRECEPT REPORT</w:t>
      </w:r>
    </w:p>
    <w:p w14:paraId="198D7D7B" w14:textId="77777777" w:rsidR="00626EE0" w:rsidRPr="005D2E2D" w:rsidRDefault="00626EE0" w:rsidP="00626EE0">
      <w:pPr>
        <w:jc w:val="both"/>
        <w:rPr>
          <w:rFonts w:eastAsia="Times New Roman"/>
          <w:b/>
          <w:sz w:val="24"/>
          <w:szCs w:val="24"/>
        </w:rPr>
      </w:pPr>
    </w:p>
    <w:p w14:paraId="2381B3DA" w14:textId="22E5AE03" w:rsidR="00FE5FF4" w:rsidRDefault="00626EE0" w:rsidP="00626EE0">
      <w:pPr>
        <w:numPr>
          <w:ilvl w:val="0"/>
          <w:numId w:val="1"/>
        </w:numPr>
        <w:autoSpaceDE w:val="0"/>
        <w:autoSpaceDN w:val="0"/>
        <w:adjustRightInd w:val="0"/>
        <w:jc w:val="both"/>
        <w:rPr>
          <w:rFonts w:eastAsia="Times New Roman"/>
          <w:sz w:val="24"/>
          <w:szCs w:val="24"/>
        </w:rPr>
      </w:pPr>
      <w:r w:rsidRPr="005D2E2D">
        <w:rPr>
          <w:rFonts w:eastAsia="Times New Roman"/>
          <w:sz w:val="24"/>
          <w:szCs w:val="24"/>
        </w:rPr>
        <w:t>Upon receipt of the P</w:t>
      </w:r>
      <w:r w:rsidR="003E7DA0" w:rsidRPr="005D2E2D">
        <w:rPr>
          <w:rFonts w:eastAsia="Times New Roman"/>
          <w:sz w:val="24"/>
          <w:szCs w:val="24"/>
        </w:rPr>
        <w:t>CP</w:t>
      </w:r>
      <w:r w:rsidRPr="005D2E2D">
        <w:rPr>
          <w:rFonts w:eastAsia="Times New Roman"/>
          <w:sz w:val="24"/>
          <w:szCs w:val="24"/>
        </w:rPr>
        <w:t xml:space="preserve">’s formal report on the </w:t>
      </w:r>
      <w:r w:rsidR="00E149E3">
        <w:rPr>
          <w:rFonts w:eastAsia="Times New Roman"/>
          <w:sz w:val="24"/>
          <w:szCs w:val="24"/>
        </w:rPr>
        <w:t>2</w:t>
      </w:r>
      <w:r w:rsidR="00E149E3" w:rsidRPr="00E149E3">
        <w:rPr>
          <w:rFonts w:eastAsia="Times New Roman"/>
          <w:sz w:val="24"/>
          <w:szCs w:val="24"/>
          <w:vertAlign w:val="superscript"/>
        </w:rPr>
        <w:t>nd</w:t>
      </w:r>
      <w:r w:rsidR="00E149E3">
        <w:rPr>
          <w:rFonts w:eastAsia="Times New Roman"/>
          <w:sz w:val="24"/>
          <w:szCs w:val="24"/>
        </w:rPr>
        <w:t xml:space="preserve"> </w:t>
      </w:r>
      <w:r w:rsidR="00393BB5">
        <w:rPr>
          <w:rFonts w:eastAsia="Times New Roman"/>
          <w:sz w:val="24"/>
          <w:szCs w:val="24"/>
        </w:rPr>
        <w:t xml:space="preserve">of </w:t>
      </w:r>
      <w:r w:rsidRPr="005D2E2D">
        <w:rPr>
          <w:rFonts w:eastAsia="Times New Roman"/>
          <w:sz w:val="24"/>
          <w:szCs w:val="24"/>
        </w:rPr>
        <w:t>February 202</w:t>
      </w:r>
      <w:r w:rsidR="00E149E3">
        <w:rPr>
          <w:rFonts w:eastAsia="Times New Roman"/>
          <w:sz w:val="24"/>
          <w:szCs w:val="24"/>
        </w:rPr>
        <w:t>4</w:t>
      </w:r>
      <w:r w:rsidRPr="005D2E2D">
        <w:rPr>
          <w:rFonts w:eastAsia="Times New Roman"/>
          <w:sz w:val="24"/>
          <w:szCs w:val="24"/>
        </w:rPr>
        <w:t xml:space="preserve">, the </w:t>
      </w:r>
      <w:r w:rsidR="00290A1A">
        <w:rPr>
          <w:rFonts w:eastAsia="Times New Roman"/>
          <w:sz w:val="24"/>
          <w:szCs w:val="24"/>
        </w:rPr>
        <w:t xml:space="preserve">Acting </w:t>
      </w:r>
      <w:r w:rsidRPr="005D2E2D">
        <w:rPr>
          <w:rFonts w:eastAsia="Times New Roman"/>
          <w:sz w:val="24"/>
          <w:szCs w:val="24"/>
        </w:rPr>
        <w:t xml:space="preserve">Commissioner, </w:t>
      </w:r>
      <w:r w:rsidR="003350A5">
        <w:rPr>
          <w:rFonts w:eastAsia="Times New Roman"/>
          <w:sz w:val="24"/>
          <w:szCs w:val="24"/>
        </w:rPr>
        <w:t>Acting S151 Officer,</w:t>
      </w:r>
      <w:r w:rsidRPr="005D2E2D">
        <w:rPr>
          <w:rFonts w:eastAsia="Times New Roman"/>
          <w:sz w:val="24"/>
          <w:szCs w:val="24"/>
        </w:rPr>
        <w:t xml:space="preserve"> Chief Executive and the OPCC</w:t>
      </w:r>
      <w:r w:rsidR="00393BB5">
        <w:rPr>
          <w:rFonts w:eastAsia="Times New Roman"/>
          <w:sz w:val="24"/>
          <w:szCs w:val="24"/>
        </w:rPr>
        <w:t>’s</w:t>
      </w:r>
      <w:r w:rsidRPr="005D2E2D">
        <w:rPr>
          <w:rFonts w:eastAsia="Times New Roman"/>
          <w:sz w:val="24"/>
          <w:szCs w:val="24"/>
        </w:rPr>
        <w:t xml:space="preserve"> Head of Communications and Engagement </w:t>
      </w:r>
      <w:r w:rsidR="00D12D1D">
        <w:rPr>
          <w:rFonts w:eastAsia="Times New Roman"/>
          <w:sz w:val="24"/>
          <w:szCs w:val="24"/>
        </w:rPr>
        <w:t xml:space="preserve">have </w:t>
      </w:r>
      <w:r w:rsidR="009D7C36">
        <w:rPr>
          <w:rFonts w:eastAsia="Times New Roman"/>
          <w:sz w:val="24"/>
          <w:szCs w:val="24"/>
        </w:rPr>
        <w:t xml:space="preserve">each </w:t>
      </w:r>
      <w:r w:rsidRPr="005D2E2D">
        <w:rPr>
          <w:rFonts w:eastAsia="Times New Roman"/>
          <w:sz w:val="24"/>
          <w:szCs w:val="24"/>
        </w:rPr>
        <w:t>consider</w:t>
      </w:r>
      <w:r w:rsidR="009D7C36">
        <w:rPr>
          <w:rFonts w:eastAsia="Times New Roman"/>
          <w:sz w:val="24"/>
          <w:szCs w:val="24"/>
        </w:rPr>
        <w:t>ed</w:t>
      </w:r>
      <w:r w:rsidRPr="005D2E2D">
        <w:rPr>
          <w:rFonts w:eastAsia="Times New Roman"/>
          <w:sz w:val="24"/>
          <w:szCs w:val="24"/>
        </w:rPr>
        <w:t xml:space="preserve"> th</w:t>
      </w:r>
      <w:r w:rsidR="00DA45E1">
        <w:rPr>
          <w:rFonts w:eastAsia="Times New Roman"/>
          <w:sz w:val="24"/>
          <w:szCs w:val="24"/>
        </w:rPr>
        <w:t xml:space="preserve">at report </w:t>
      </w:r>
      <w:r w:rsidR="005D71A1">
        <w:rPr>
          <w:rFonts w:eastAsia="Times New Roman"/>
          <w:sz w:val="24"/>
          <w:szCs w:val="24"/>
        </w:rPr>
        <w:t xml:space="preserve">and discussed its contents. </w:t>
      </w:r>
      <w:r w:rsidRPr="005D2E2D">
        <w:rPr>
          <w:rFonts w:eastAsia="Times New Roman"/>
          <w:sz w:val="24"/>
          <w:szCs w:val="24"/>
        </w:rPr>
        <w:t xml:space="preserve"> </w:t>
      </w:r>
    </w:p>
    <w:p w14:paraId="5BBAD523" w14:textId="16D1BB13" w:rsidR="00F063F5" w:rsidRPr="00F063F5" w:rsidRDefault="00FE5FF4" w:rsidP="00F063F5">
      <w:pPr>
        <w:numPr>
          <w:ilvl w:val="0"/>
          <w:numId w:val="1"/>
        </w:numPr>
        <w:autoSpaceDE w:val="0"/>
        <w:autoSpaceDN w:val="0"/>
        <w:adjustRightInd w:val="0"/>
        <w:jc w:val="both"/>
        <w:rPr>
          <w:rFonts w:eastAsia="Times New Roman"/>
          <w:sz w:val="24"/>
          <w:szCs w:val="24"/>
        </w:rPr>
      </w:pPr>
      <w:proofErr w:type="gramStart"/>
      <w:r w:rsidRPr="00F063F5">
        <w:rPr>
          <w:rFonts w:eastAsia="Times New Roman"/>
          <w:sz w:val="24"/>
          <w:szCs w:val="24"/>
        </w:rPr>
        <w:t>A number of</w:t>
      </w:r>
      <w:proofErr w:type="gramEnd"/>
      <w:r w:rsidRPr="00F063F5">
        <w:rPr>
          <w:rFonts w:eastAsia="Times New Roman"/>
          <w:sz w:val="24"/>
          <w:szCs w:val="24"/>
        </w:rPr>
        <w:t xml:space="preserve"> internal meetings </w:t>
      </w:r>
      <w:r w:rsidR="00CC7DF1" w:rsidRPr="00F063F5">
        <w:rPr>
          <w:rFonts w:eastAsia="Times New Roman"/>
          <w:sz w:val="24"/>
          <w:szCs w:val="24"/>
        </w:rPr>
        <w:t xml:space="preserve">have </w:t>
      </w:r>
      <w:r w:rsidR="00126AEC">
        <w:rPr>
          <w:rFonts w:eastAsia="Times New Roman"/>
          <w:sz w:val="24"/>
          <w:szCs w:val="24"/>
        </w:rPr>
        <w:t xml:space="preserve">already </w:t>
      </w:r>
      <w:r w:rsidR="00CC7DF1" w:rsidRPr="00F063F5">
        <w:rPr>
          <w:rFonts w:eastAsia="Times New Roman"/>
          <w:sz w:val="24"/>
          <w:szCs w:val="24"/>
        </w:rPr>
        <w:t xml:space="preserve">been held in the normal course of business between the </w:t>
      </w:r>
      <w:r w:rsidR="00290A1A">
        <w:rPr>
          <w:rFonts w:eastAsia="Times New Roman"/>
          <w:sz w:val="24"/>
          <w:szCs w:val="24"/>
        </w:rPr>
        <w:t xml:space="preserve">Acting </w:t>
      </w:r>
      <w:r w:rsidR="003350A5" w:rsidRPr="00F063F5">
        <w:rPr>
          <w:rFonts w:eastAsia="Times New Roman"/>
          <w:sz w:val="24"/>
          <w:szCs w:val="24"/>
        </w:rPr>
        <w:t xml:space="preserve">Commissioner, </w:t>
      </w:r>
      <w:r w:rsidR="00CD55B2" w:rsidRPr="00F063F5">
        <w:rPr>
          <w:rFonts w:eastAsia="Times New Roman"/>
          <w:sz w:val="24"/>
          <w:szCs w:val="24"/>
        </w:rPr>
        <w:t xml:space="preserve">OPCC, the Chief Constable and chief officers where the </w:t>
      </w:r>
      <w:r w:rsidR="00A70E53">
        <w:rPr>
          <w:rFonts w:eastAsia="Times New Roman"/>
          <w:sz w:val="24"/>
          <w:szCs w:val="24"/>
        </w:rPr>
        <w:t xml:space="preserve">points raised in the </w:t>
      </w:r>
      <w:r w:rsidR="00CD55B2" w:rsidRPr="00F063F5">
        <w:rPr>
          <w:rFonts w:eastAsia="Times New Roman"/>
          <w:sz w:val="24"/>
          <w:szCs w:val="24"/>
        </w:rPr>
        <w:t>PCP’s re</w:t>
      </w:r>
      <w:r w:rsidR="00A70E53">
        <w:rPr>
          <w:rFonts w:eastAsia="Times New Roman"/>
          <w:sz w:val="24"/>
          <w:szCs w:val="24"/>
        </w:rPr>
        <w:t>p</w:t>
      </w:r>
      <w:r w:rsidR="00CD55B2" w:rsidRPr="00F063F5">
        <w:rPr>
          <w:rFonts w:eastAsia="Times New Roman"/>
          <w:sz w:val="24"/>
          <w:szCs w:val="24"/>
        </w:rPr>
        <w:t xml:space="preserve">ort has been considered. </w:t>
      </w:r>
      <w:r w:rsidR="00F063F5" w:rsidRPr="00F063F5">
        <w:rPr>
          <w:rFonts w:eastAsia="Times New Roman"/>
          <w:sz w:val="24"/>
          <w:szCs w:val="24"/>
        </w:rPr>
        <w:t>At the</w:t>
      </w:r>
      <w:r w:rsidR="00A70E53">
        <w:rPr>
          <w:rFonts w:eastAsia="Times New Roman"/>
          <w:sz w:val="24"/>
          <w:szCs w:val="24"/>
        </w:rPr>
        <w:t>se</w:t>
      </w:r>
      <w:r w:rsidR="00F063F5" w:rsidRPr="00F063F5">
        <w:rPr>
          <w:rFonts w:eastAsia="Times New Roman"/>
          <w:sz w:val="24"/>
          <w:szCs w:val="24"/>
        </w:rPr>
        <w:t xml:space="preserve"> internal meetings, the </w:t>
      </w:r>
      <w:r w:rsidR="00290A1A">
        <w:rPr>
          <w:rFonts w:eastAsia="Times New Roman"/>
          <w:sz w:val="24"/>
          <w:szCs w:val="24"/>
        </w:rPr>
        <w:t xml:space="preserve">Acting </w:t>
      </w:r>
      <w:r w:rsidR="00F063F5" w:rsidRPr="00F063F5">
        <w:rPr>
          <w:rFonts w:eastAsia="Times New Roman"/>
          <w:sz w:val="24"/>
          <w:szCs w:val="24"/>
        </w:rPr>
        <w:t>Commissioner commended the valued challenge, scrutiny and importantly the support the PCP provided during its meeting of the 26</w:t>
      </w:r>
      <w:r w:rsidR="00F063F5" w:rsidRPr="00F063F5">
        <w:rPr>
          <w:rFonts w:eastAsia="Times New Roman"/>
          <w:sz w:val="24"/>
          <w:szCs w:val="24"/>
          <w:vertAlign w:val="superscript"/>
        </w:rPr>
        <w:t xml:space="preserve">th </w:t>
      </w:r>
      <w:r w:rsidR="00F063F5" w:rsidRPr="00F063F5">
        <w:rPr>
          <w:rFonts w:eastAsia="Times New Roman"/>
          <w:sz w:val="24"/>
          <w:szCs w:val="24"/>
        </w:rPr>
        <w:t xml:space="preserve">of January 2024 and in particular the work of the PCP’s Finance and Estate Sub-Group.  The </w:t>
      </w:r>
      <w:r w:rsidR="00290A1A">
        <w:rPr>
          <w:rFonts w:eastAsia="Times New Roman"/>
          <w:sz w:val="24"/>
          <w:szCs w:val="24"/>
        </w:rPr>
        <w:t xml:space="preserve">Acting </w:t>
      </w:r>
      <w:r w:rsidR="00F063F5" w:rsidRPr="00F063F5">
        <w:rPr>
          <w:rFonts w:eastAsia="Times New Roman"/>
          <w:sz w:val="24"/>
          <w:szCs w:val="24"/>
        </w:rPr>
        <w:t>Commissioner also conveyed h</w:t>
      </w:r>
      <w:r w:rsidR="004B4E73">
        <w:rPr>
          <w:rFonts w:eastAsia="Times New Roman"/>
          <w:sz w:val="24"/>
          <w:szCs w:val="24"/>
        </w:rPr>
        <w:t>er</w:t>
      </w:r>
      <w:r w:rsidR="00F063F5" w:rsidRPr="00F063F5">
        <w:rPr>
          <w:rFonts w:eastAsia="Times New Roman"/>
          <w:sz w:val="24"/>
          <w:szCs w:val="24"/>
        </w:rPr>
        <w:t xml:space="preserve"> appreciation regarding the thanks given by the PCP, for the work undertaken by the </w:t>
      </w:r>
      <w:r w:rsidR="004B4E73">
        <w:rPr>
          <w:rFonts w:eastAsia="Times New Roman"/>
          <w:sz w:val="24"/>
          <w:szCs w:val="24"/>
        </w:rPr>
        <w:t xml:space="preserve">Acting S151 Officer </w:t>
      </w:r>
      <w:r w:rsidR="00F063F5" w:rsidRPr="00F063F5">
        <w:rPr>
          <w:sz w:val="24"/>
          <w:szCs w:val="24"/>
        </w:rPr>
        <w:t xml:space="preserve">for engaging the Finance and Estate Sub-Group and PCP in early discussions about the </w:t>
      </w:r>
      <w:r w:rsidR="00290A1A">
        <w:rPr>
          <w:sz w:val="24"/>
          <w:szCs w:val="24"/>
        </w:rPr>
        <w:t xml:space="preserve">Acting </w:t>
      </w:r>
      <w:r w:rsidR="00F063F5" w:rsidRPr="00F063F5">
        <w:rPr>
          <w:sz w:val="24"/>
          <w:szCs w:val="24"/>
        </w:rPr>
        <w:t xml:space="preserve">Commissioner’s detailed budget and precept report </w:t>
      </w:r>
      <w:proofErr w:type="gramStart"/>
      <w:r w:rsidR="00F063F5" w:rsidRPr="00F063F5">
        <w:rPr>
          <w:sz w:val="24"/>
          <w:szCs w:val="24"/>
        </w:rPr>
        <w:t>and also</w:t>
      </w:r>
      <w:proofErr w:type="gramEnd"/>
      <w:r w:rsidR="00F063F5" w:rsidRPr="00F063F5">
        <w:rPr>
          <w:sz w:val="24"/>
          <w:szCs w:val="24"/>
        </w:rPr>
        <w:t xml:space="preserve"> for his detailed and comprehensive answers given at the PCP meeting. </w:t>
      </w:r>
    </w:p>
    <w:p w14:paraId="3A5098BA" w14:textId="1D5AE5F5" w:rsidR="00555AF8" w:rsidRDefault="00F063F5" w:rsidP="00626EE0">
      <w:pPr>
        <w:numPr>
          <w:ilvl w:val="0"/>
          <w:numId w:val="1"/>
        </w:numPr>
        <w:autoSpaceDE w:val="0"/>
        <w:autoSpaceDN w:val="0"/>
        <w:adjustRightInd w:val="0"/>
        <w:jc w:val="both"/>
        <w:rPr>
          <w:rFonts w:eastAsia="Times New Roman"/>
          <w:sz w:val="24"/>
          <w:szCs w:val="24"/>
        </w:rPr>
      </w:pPr>
      <w:r>
        <w:rPr>
          <w:rFonts w:eastAsia="Times New Roman"/>
          <w:sz w:val="24"/>
          <w:szCs w:val="24"/>
        </w:rPr>
        <w:t xml:space="preserve">The </w:t>
      </w:r>
      <w:r w:rsidR="00290A1A">
        <w:rPr>
          <w:rFonts w:eastAsia="Times New Roman"/>
          <w:sz w:val="24"/>
          <w:szCs w:val="24"/>
        </w:rPr>
        <w:t xml:space="preserve">Acting </w:t>
      </w:r>
      <w:r w:rsidR="00556192">
        <w:rPr>
          <w:rFonts w:eastAsia="Times New Roman"/>
          <w:sz w:val="24"/>
          <w:szCs w:val="24"/>
        </w:rPr>
        <w:t>C</w:t>
      </w:r>
      <w:r w:rsidR="00630D55">
        <w:rPr>
          <w:rFonts w:eastAsia="Times New Roman"/>
          <w:sz w:val="24"/>
          <w:szCs w:val="24"/>
        </w:rPr>
        <w:t xml:space="preserve">ommissioner fully accepts the concerns raised by the PCP concerning the Estates </w:t>
      </w:r>
      <w:r w:rsidR="00FD55F5">
        <w:rPr>
          <w:rFonts w:eastAsia="Times New Roman"/>
          <w:sz w:val="24"/>
          <w:szCs w:val="24"/>
        </w:rPr>
        <w:t>S</w:t>
      </w:r>
      <w:r w:rsidR="00630D55">
        <w:rPr>
          <w:rFonts w:eastAsia="Times New Roman"/>
          <w:sz w:val="24"/>
          <w:szCs w:val="24"/>
        </w:rPr>
        <w:t xml:space="preserve">trategy, </w:t>
      </w:r>
      <w:r w:rsidR="00FD55F5">
        <w:rPr>
          <w:rFonts w:eastAsia="Times New Roman"/>
          <w:sz w:val="24"/>
          <w:szCs w:val="24"/>
        </w:rPr>
        <w:t xml:space="preserve">the </w:t>
      </w:r>
      <w:r w:rsidR="00630D55">
        <w:rPr>
          <w:rFonts w:eastAsia="Times New Roman"/>
          <w:sz w:val="24"/>
          <w:szCs w:val="24"/>
        </w:rPr>
        <w:t>remaining budget gap</w:t>
      </w:r>
      <w:r w:rsidR="00556192">
        <w:rPr>
          <w:rFonts w:eastAsia="Times New Roman"/>
          <w:sz w:val="24"/>
          <w:szCs w:val="24"/>
        </w:rPr>
        <w:t>,</w:t>
      </w:r>
      <w:r w:rsidR="00630D55">
        <w:rPr>
          <w:rFonts w:eastAsia="Times New Roman"/>
          <w:sz w:val="24"/>
          <w:szCs w:val="24"/>
        </w:rPr>
        <w:t xml:space="preserve"> and the </w:t>
      </w:r>
      <w:r w:rsidR="00FD55F5">
        <w:rPr>
          <w:rFonts w:eastAsia="Times New Roman"/>
          <w:sz w:val="24"/>
          <w:szCs w:val="24"/>
        </w:rPr>
        <w:t xml:space="preserve">impact on </w:t>
      </w:r>
      <w:proofErr w:type="gramStart"/>
      <w:r w:rsidR="00FD55F5">
        <w:rPr>
          <w:rFonts w:eastAsia="Times New Roman"/>
          <w:sz w:val="24"/>
          <w:szCs w:val="24"/>
        </w:rPr>
        <w:t>local residents</w:t>
      </w:r>
      <w:proofErr w:type="gramEnd"/>
      <w:r w:rsidR="00FD55F5">
        <w:rPr>
          <w:rFonts w:eastAsia="Times New Roman"/>
          <w:sz w:val="24"/>
          <w:szCs w:val="24"/>
        </w:rPr>
        <w:t xml:space="preserve"> of the precept increase. Further discussions have already been held</w:t>
      </w:r>
      <w:r w:rsidR="00DA2003">
        <w:rPr>
          <w:rFonts w:eastAsia="Times New Roman"/>
          <w:sz w:val="24"/>
          <w:szCs w:val="24"/>
        </w:rPr>
        <w:t xml:space="preserve"> with chief officers within the Force to identify further cost saving and avoidance measures </w:t>
      </w:r>
      <w:r w:rsidR="002E251F">
        <w:rPr>
          <w:rFonts w:eastAsia="Times New Roman"/>
          <w:sz w:val="24"/>
          <w:szCs w:val="24"/>
        </w:rPr>
        <w:t>to reduce the £2.8m funding gap</w:t>
      </w:r>
      <w:r w:rsidR="00EA4ECB">
        <w:rPr>
          <w:rFonts w:eastAsia="Times New Roman"/>
          <w:sz w:val="24"/>
          <w:szCs w:val="24"/>
        </w:rPr>
        <w:t xml:space="preserve"> and these </w:t>
      </w:r>
      <w:r w:rsidR="00CE651E">
        <w:rPr>
          <w:rFonts w:eastAsia="Times New Roman"/>
          <w:sz w:val="24"/>
          <w:szCs w:val="24"/>
        </w:rPr>
        <w:t xml:space="preserve">discussions </w:t>
      </w:r>
      <w:r w:rsidR="00EA4ECB">
        <w:rPr>
          <w:rFonts w:eastAsia="Times New Roman"/>
          <w:sz w:val="24"/>
          <w:szCs w:val="24"/>
        </w:rPr>
        <w:t xml:space="preserve">continue. </w:t>
      </w:r>
    </w:p>
    <w:p w14:paraId="6413A6F5" w14:textId="70ED8BE5" w:rsidR="00845FB2" w:rsidRPr="00126AEC" w:rsidRDefault="00EA4ECB" w:rsidP="00845FB2">
      <w:pPr>
        <w:numPr>
          <w:ilvl w:val="0"/>
          <w:numId w:val="1"/>
        </w:numPr>
        <w:autoSpaceDE w:val="0"/>
        <w:autoSpaceDN w:val="0"/>
        <w:adjustRightInd w:val="0"/>
        <w:jc w:val="both"/>
        <w:rPr>
          <w:sz w:val="24"/>
          <w:szCs w:val="24"/>
        </w:rPr>
      </w:pPr>
      <w:r>
        <w:rPr>
          <w:rFonts w:eastAsia="Times New Roman"/>
          <w:sz w:val="24"/>
          <w:szCs w:val="24"/>
        </w:rPr>
        <w:t xml:space="preserve">In relation to the </w:t>
      </w:r>
      <w:r w:rsidRPr="00126AEC">
        <w:rPr>
          <w:rFonts w:eastAsia="Times New Roman"/>
          <w:sz w:val="24"/>
          <w:szCs w:val="24"/>
        </w:rPr>
        <w:t>Estates Strategy</w:t>
      </w:r>
      <w:r w:rsidR="00D90990" w:rsidRPr="00126AEC">
        <w:rPr>
          <w:rFonts w:eastAsia="Times New Roman"/>
          <w:sz w:val="24"/>
          <w:szCs w:val="24"/>
        </w:rPr>
        <w:t xml:space="preserve">, </w:t>
      </w:r>
      <w:r w:rsidR="00845FB2" w:rsidRPr="00126AEC">
        <w:rPr>
          <w:rFonts w:eastAsia="Times New Roman"/>
          <w:sz w:val="24"/>
          <w:szCs w:val="24"/>
        </w:rPr>
        <w:t xml:space="preserve">the </w:t>
      </w:r>
      <w:r w:rsidR="00290A1A">
        <w:rPr>
          <w:rFonts w:eastAsia="Times New Roman"/>
          <w:sz w:val="24"/>
          <w:szCs w:val="24"/>
        </w:rPr>
        <w:t xml:space="preserve">Acting </w:t>
      </w:r>
      <w:r w:rsidR="00845FB2" w:rsidRPr="00126AEC">
        <w:rPr>
          <w:rFonts w:eastAsia="Times New Roman"/>
          <w:sz w:val="24"/>
          <w:szCs w:val="24"/>
        </w:rPr>
        <w:t xml:space="preserve">Commissioner remains committed to </w:t>
      </w:r>
      <w:r w:rsidR="00290A1A">
        <w:rPr>
          <w:rFonts w:eastAsia="Times New Roman"/>
          <w:sz w:val="24"/>
          <w:szCs w:val="24"/>
        </w:rPr>
        <w:t>revising the S</w:t>
      </w:r>
      <w:r w:rsidR="004C6E26" w:rsidRPr="00126AEC">
        <w:rPr>
          <w:rFonts w:eastAsia="Times New Roman"/>
          <w:sz w:val="24"/>
          <w:szCs w:val="24"/>
        </w:rPr>
        <w:t xml:space="preserve">trategy </w:t>
      </w:r>
      <w:r w:rsidR="00290A1A">
        <w:rPr>
          <w:rFonts w:eastAsia="Times New Roman"/>
          <w:sz w:val="24"/>
          <w:szCs w:val="24"/>
        </w:rPr>
        <w:t xml:space="preserve">in </w:t>
      </w:r>
      <w:r w:rsidR="004C6E26" w:rsidRPr="00126AEC">
        <w:rPr>
          <w:rFonts w:eastAsia="Times New Roman"/>
          <w:sz w:val="24"/>
          <w:szCs w:val="24"/>
        </w:rPr>
        <w:t>2024/25</w:t>
      </w:r>
      <w:r w:rsidR="00555AF8" w:rsidRPr="00126AEC">
        <w:rPr>
          <w:rFonts w:eastAsia="Times New Roman"/>
          <w:sz w:val="24"/>
          <w:szCs w:val="24"/>
        </w:rPr>
        <w:t xml:space="preserve">. The </w:t>
      </w:r>
      <w:r w:rsidR="00290A1A">
        <w:rPr>
          <w:rFonts w:eastAsia="Times New Roman"/>
          <w:sz w:val="24"/>
          <w:szCs w:val="24"/>
        </w:rPr>
        <w:t xml:space="preserve">Acting </w:t>
      </w:r>
      <w:r w:rsidR="00535421" w:rsidRPr="00126AEC">
        <w:rPr>
          <w:rFonts w:eastAsia="Times New Roman"/>
          <w:sz w:val="24"/>
          <w:szCs w:val="24"/>
        </w:rPr>
        <w:t>Commissioner and OPCC will work with the Secretariat</w:t>
      </w:r>
      <w:r w:rsidR="00074434" w:rsidRPr="00126AEC">
        <w:rPr>
          <w:rFonts w:eastAsia="Times New Roman"/>
          <w:sz w:val="24"/>
          <w:szCs w:val="24"/>
        </w:rPr>
        <w:t xml:space="preserve"> to </w:t>
      </w:r>
      <w:r w:rsidR="007C6B1E" w:rsidRPr="00126AEC">
        <w:rPr>
          <w:rFonts w:eastAsia="Times New Roman"/>
          <w:sz w:val="24"/>
          <w:szCs w:val="24"/>
        </w:rPr>
        <w:t xml:space="preserve">maintain </w:t>
      </w:r>
      <w:r w:rsidR="009048DD" w:rsidRPr="00126AEC">
        <w:rPr>
          <w:rFonts w:eastAsia="Times New Roman"/>
          <w:sz w:val="24"/>
          <w:szCs w:val="24"/>
        </w:rPr>
        <w:t xml:space="preserve">consistent and ongoing dialogue with the PCP’s Finance and Estate Sub-Group and wider PCP, </w:t>
      </w:r>
      <w:r w:rsidR="007C6B1E" w:rsidRPr="00126AEC">
        <w:rPr>
          <w:rFonts w:eastAsia="Times New Roman"/>
          <w:sz w:val="24"/>
          <w:szCs w:val="24"/>
        </w:rPr>
        <w:t xml:space="preserve">so that </w:t>
      </w:r>
      <w:r w:rsidR="009048DD" w:rsidRPr="00126AEC">
        <w:rPr>
          <w:rFonts w:eastAsia="Times New Roman"/>
          <w:sz w:val="24"/>
          <w:szCs w:val="24"/>
        </w:rPr>
        <w:t xml:space="preserve">future risks and opportunities </w:t>
      </w:r>
      <w:r w:rsidR="007C6B1E" w:rsidRPr="00126AEC">
        <w:rPr>
          <w:rFonts w:eastAsia="Times New Roman"/>
          <w:sz w:val="24"/>
          <w:szCs w:val="24"/>
        </w:rPr>
        <w:t>in relation to the Strategy and its affordability</w:t>
      </w:r>
      <w:r w:rsidR="009906FB" w:rsidRPr="00126AEC">
        <w:rPr>
          <w:rFonts w:eastAsia="Times New Roman"/>
          <w:sz w:val="24"/>
          <w:szCs w:val="24"/>
        </w:rPr>
        <w:t xml:space="preserve">, </w:t>
      </w:r>
      <w:r w:rsidR="009048DD" w:rsidRPr="00126AEC">
        <w:rPr>
          <w:rFonts w:eastAsia="Times New Roman"/>
          <w:sz w:val="24"/>
          <w:szCs w:val="24"/>
        </w:rPr>
        <w:t>are considered and acted upon in a timely manner</w:t>
      </w:r>
      <w:r w:rsidR="009906FB" w:rsidRPr="00126AEC">
        <w:rPr>
          <w:rFonts w:eastAsia="Times New Roman"/>
          <w:sz w:val="24"/>
          <w:szCs w:val="24"/>
        </w:rPr>
        <w:t xml:space="preserve">. </w:t>
      </w:r>
      <w:proofErr w:type="gramStart"/>
      <w:r w:rsidR="009906FB" w:rsidRPr="00126AEC">
        <w:rPr>
          <w:rFonts w:eastAsia="Times New Roman"/>
          <w:sz w:val="24"/>
          <w:szCs w:val="24"/>
        </w:rPr>
        <w:t>In particular</w:t>
      </w:r>
      <w:r w:rsidR="00CE651E">
        <w:rPr>
          <w:rFonts w:eastAsia="Times New Roman"/>
          <w:sz w:val="24"/>
          <w:szCs w:val="24"/>
        </w:rPr>
        <w:t xml:space="preserve">, </w:t>
      </w:r>
      <w:r w:rsidR="00074434" w:rsidRPr="00126AEC">
        <w:rPr>
          <w:rFonts w:eastAsia="Times New Roman"/>
          <w:sz w:val="24"/>
          <w:szCs w:val="24"/>
        </w:rPr>
        <w:t>further</w:t>
      </w:r>
      <w:proofErr w:type="gramEnd"/>
      <w:r w:rsidR="00074434" w:rsidRPr="00126AEC">
        <w:rPr>
          <w:rFonts w:eastAsia="Times New Roman"/>
          <w:sz w:val="24"/>
          <w:szCs w:val="24"/>
        </w:rPr>
        <w:t xml:space="preserve"> information on</w:t>
      </w:r>
      <w:r w:rsidR="009906FB" w:rsidRPr="00126AEC">
        <w:rPr>
          <w:rFonts w:eastAsia="Times New Roman"/>
          <w:sz w:val="24"/>
          <w:szCs w:val="24"/>
        </w:rPr>
        <w:t xml:space="preserve"> </w:t>
      </w:r>
      <w:r w:rsidR="007F76C9" w:rsidRPr="00126AEC">
        <w:rPr>
          <w:rFonts w:eastAsia="Times New Roman"/>
          <w:sz w:val="24"/>
          <w:szCs w:val="24"/>
        </w:rPr>
        <w:t xml:space="preserve">the </w:t>
      </w:r>
      <w:r w:rsidR="009906FB" w:rsidRPr="00126AEC">
        <w:rPr>
          <w:rFonts w:eastAsia="Times New Roman"/>
          <w:sz w:val="24"/>
          <w:szCs w:val="24"/>
        </w:rPr>
        <w:t xml:space="preserve">governance and progress of the </w:t>
      </w:r>
      <w:r w:rsidR="007F76C9" w:rsidRPr="00126AEC">
        <w:rPr>
          <w:rFonts w:eastAsia="Times New Roman"/>
          <w:sz w:val="24"/>
          <w:szCs w:val="24"/>
        </w:rPr>
        <w:t>J</w:t>
      </w:r>
      <w:r w:rsidR="00074434" w:rsidRPr="00126AEC">
        <w:rPr>
          <w:rFonts w:eastAsia="Times New Roman"/>
          <w:sz w:val="24"/>
          <w:szCs w:val="24"/>
        </w:rPr>
        <w:t>oint Firea</w:t>
      </w:r>
      <w:r w:rsidR="007F76C9" w:rsidRPr="00126AEC">
        <w:rPr>
          <w:rFonts w:eastAsia="Times New Roman"/>
          <w:sz w:val="24"/>
          <w:szCs w:val="24"/>
        </w:rPr>
        <w:t xml:space="preserve">rms </w:t>
      </w:r>
      <w:r w:rsidR="00074434" w:rsidRPr="00126AEC">
        <w:rPr>
          <w:rFonts w:eastAsia="Times New Roman"/>
          <w:sz w:val="24"/>
          <w:szCs w:val="24"/>
        </w:rPr>
        <w:t>Ra</w:t>
      </w:r>
      <w:r w:rsidR="007F76C9" w:rsidRPr="00126AEC">
        <w:rPr>
          <w:rFonts w:eastAsia="Times New Roman"/>
          <w:sz w:val="24"/>
          <w:szCs w:val="24"/>
        </w:rPr>
        <w:t>nge</w:t>
      </w:r>
      <w:r w:rsidR="00074434" w:rsidRPr="00126AEC">
        <w:rPr>
          <w:rFonts w:eastAsia="Times New Roman"/>
          <w:sz w:val="24"/>
          <w:szCs w:val="24"/>
        </w:rPr>
        <w:t xml:space="preserve"> </w:t>
      </w:r>
      <w:r w:rsidR="00CE651E">
        <w:rPr>
          <w:rFonts w:eastAsia="Times New Roman"/>
          <w:sz w:val="24"/>
          <w:szCs w:val="24"/>
        </w:rPr>
        <w:t xml:space="preserve">will be provided </w:t>
      </w:r>
      <w:r w:rsidR="00074434" w:rsidRPr="00126AEC">
        <w:rPr>
          <w:rFonts w:eastAsia="Times New Roman"/>
          <w:sz w:val="24"/>
          <w:szCs w:val="24"/>
        </w:rPr>
        <w:t xml:space="preserve">to </w:t>
      </w:r>
      <w:r w:rsidR="007F76C9" w:rsidRPr="00126AEC">
        <w:rPr>
          <w:rFonts w:eastAsia="Times New Roman"/>
          <w:sz w:val="24"/>
          <w:szCs w:val="24"/>
        </w:rPr>
        <w:t xml:space="preserve">future meetings of the </w:t>
      </w:r>
      <w:r w:rsidR="00126AEC" w:rsidRPr="00126AEC">
        <w:rPr>
          <w:rFonts w:eastAsia="Times New Roman"/>
          <w:sz w:val="24"/>
          <w:szCs w:val="24"/>
        </w:rPr>
        <w:t xml:space="preserve">PCP’s </w:t>
      </w:r>
      <w:r w:rsidR="00535421" w:rsidRPr="00126AEC">
        <w:rPr>
          <w:rFonts w:eastAsia="Times New Roman"/>
          <w:sz w:val="24"/>
          <w:szCs w:val="24"/>
        </w:rPr>
        <w:t>Finance and Estates Sub-Group</w:t>
      </w:r>
      <w:r w:rsidR="007F76C9" w:rsidRPr="00126AEC">
        <w:rPr>
          <w:rFonts w:eastAsia="Times New Roman"/>
          <w:sz w:val="24"/>
          <w:szCs w:val="24"/>
        </w:rPr>
        <w:t>.</w:t>
      </w:r>
    </w:p>
    <w:p w14:paraId="235A21B4" w14:textId="28D15786" w:rsidR="002D5C9E" w:rsidRPr="005D2E2D" w:rsidRDefault="002D5C9E" w:rsidP="00126AEC">
      <w:pPr>
        <w:autoSpaceDE w:val="0"/>
        <w:autoSpaceDN w:val="0"/>
        <w:adjustRightInd w:val="0"/>
        <w:jc w:val="both"/>
        <w:rPr>
          <w:rFonts w:eastAsia="Times New Roman"/>
          <w:sz w:val="24"/>
          <w:szCs w:val="24"/>
        </w:rPr>
      </w:pPr>
    </w:p>
    <w:p w14:paraId="2597A2D0" w14:textId="77777777" w:rsidR="00626EE0" w:rsidRPr="005D2E2D" w:rsidRDefault="00626EE0" w:rsidP="00626EE0">
      <w:pPr>
        <w:autoSpaceDE w:val="0"/>
        <w:autoSpaceDN w:val="0"/>
        <w:adjustRightInd w:val="0"/>
        <w:ind w:left="680"/>
        <w:jc w:val="both"/>
        <w:rPr>
          <w:rFonts w:eastAsia="Times New Roman"/>
          <w:sz w:val="24"/>
          <w:szCs w:val="24"/>
        </w:rPr>
      </w:pPr>
    </w:p>
    <w:p w14:paraId="454DCCBF" w14:textId="77777777" w:rsidR="00626EE0" w:rsidRPr="005D2E2D" w:rsidRDefault="00626EE0" w:rsidP="00626EE0">
      <w:pPr>
        <w:autoSpaceDE w:val="0"/>
        <w:autoSpaceDN w:val="0"/>
        <w:adjustRightInd w:val="0"/>
        <w:jc w:val="both"/>
        <w:rPr>
          <w:rFonts w:eastAsia="Times New Roman"/>
          <w:b/>
          <w:sz w:val="24"/>
          <w:szCs w:val="24"/>
        </w:rPr>
      </w:pPr>
      <w:r w:rsidRPr="005D2E2D">
        <w:rPr>
          <w:rFonts w:eastAsia="Times New Roman"/>
          <w:b/>
          <w:sz w:val="24"/>
          <w:szCs w:val="24"/>
        </w:rPr>
        <w:t>RECOMMENDATION</w:t>
      </w:r>
    </w:p>
    <w:p w14:paraId="54B4844A" w14:textId="77777777" w:rsidR="00626EE0" w:rsidRPr="005D2E2D" w:rsidRDefault="00626EE0" w:rsidP="00626EE0">
      <w:pPr>
        <w:autoSpaceDE w:val="0"/>
        <w:autoSpaceDN w:val="0"/>
        <w:adjustRightInd w:val="0"/>
        <w:jc w:val="both"/>
        <w:rPr>
          <w:rFonts w:eastAsia="Times New Roman"/>
          <w:sz w:val="24"/>
          <w:szCs w:val="24"/>
        </w:rPr>
      </w:pPr>
    </w:p>
    <w:p w14:paraId="2C4400F9" w14:textId="0D31F53E" w:rsidR="00626EE0" w:rsidRPr="005D2E2D" w:rsidRDefault="00626EE0" w:rsidP="00626EE0">
      <w:pPr>
        <w:numPr>
          <w:ilvl w:val="0"/>
          <w:numId w:val="1"/>
        </w:numPr>
        <w:autoSpaceDE w:val="0"/>
        <w:autoSpaceDN w:val="0"/>
        <w:adjustRightInd w:val="0"/>
        <w:jc w:val="both"/>
        <w:rPr>
          <w:rFonts w:eastAsia="Times New Roman"/>
          <w:sz w:val="24"/>
          <w:szCs w:val="24"/>
        </w:rPr>
      </w:pPr>
      <w:r w:rsidRPr="005D2E2D">
        <w:rPr>
          <w:rFonts w:eastAsia="Times New Roman"/>
          <w:sz w:val="24"/>
          <w:szCs w:val="24"/>
        </w:rPr>
        <w:t>The submission of this report to the PCP (and its subsequent publication) concludes the scrutiny process for the Council Tax Precept for 202</w:t>
      </w:r>
      <w:r w:rsidR="00A71747">
        <w:rPr>
          <w:rFonts w:eastAsia="Times New Roman"/>
          <w:sz w:val="24"/>
          <w:szCs w:val="24"/>
        </w:rPr>
        <w:t>4</w:t>
      </w:r>
      <w:r w:rsidRPr="005D2E2D">
        <w:rPr>
          <w:rFonts w:eastAsia="Times New Roman"/>
          <w:sz w:val="24"/>
          <w:szCs w:val="24"/>
        </w:rPr>
        <w:t>/2</w:t>
      </w:r>
      <w:r w:rsidR="00A71747">
        <w:rPr>
          <w:rFonts w:eastAsia="Times New Roman"/>
          <w:sz w:val="24"/>
          <w:szCs w:val="24"/>
        </w:rPr>
        <w:t>5</w:t>
      </w:r>
      <w:r w:rsidRPr="005D2E2D">
        <w:rPr>
          <w:rFonts w:eastAsia="Times New Roman"/>
          <w:sz w:val="24"/>
          <w:szCs w:val="24"/>
        </w:rPr>
        <w:t>.</w:t>
      </w:r>
    </w:p>
    <w:p w14:paraId="47E60E1F" w14:textId="77777777" w:rsidR="00626EE0" w:rsidRPr="005D2E2D" w:rsidRDefault="00626EE0" w:rsidP="00626EE0">
      <w:pPr>
        <w:autoSpaceDE w:val="0"/>
        <w:autoSpaceDN w:val="0"/>
        <w:adjustRightInd w:val="0"/>
        <w:ind w:left="680"/>
        <w:jc w:val="both"/>
        <w:rPr>
          <w:rFonts w:eastAsia="Times New Roman"/>
          <w:sz w:val="24"/>
          <w:szCs w:val="24"/>
        </w:rPr>
      </w:pPr>
    </w:p>
    <w:p w14:paraId="5FB8A7E8" w14:textId="7758C7F6" w:rsidR="00626EE0" w:rsidRPr="005D2E2D" w:rsidRDefault="00626EE0" w:rsidP="00626EE0">
      <w:pPr>
        <w:numPr>
          <w:ilvl w:val="0"/>
          <w:numId w:val="1"/>
        </w:numPr>
        <w:autoSpaceDE w:val="0"/>
        <w:autoSpaceDN w:val="0"/>
        <w:adjustRightInd w:val="0"/>
        <w:jc w:val="both"/>
        <w:rPr>
          <w:rFonts w:eastAsia="Times New Roman"/>
          <w:sz w:val="24"/>
          <w:szCs w:val="24"/>
        </w:rPr>
      </w:pPr>
      <w:r w:rsidRPr="005D2E2D">
        <w:rPr>
          <w:rFonts w:eastAsia="Times New Roman"/>
          <w:sz w:val="24"/>
          <w:szCs w:val="24"/>
        </w:rPr>
        <w:t xml:space="preserve">The </w:t>
      </w:r>
      <w:r w:rsidR="00290A1A">
        <w:rPr>
          <w:rFonts w:eastAsia="Times New Roman"/>
          <w:sz w:val="24"/>
          <w:szCs w:val="24"/>
        </w:rPr>
        <w:t xml:space="preserve">Acting </w:t>
      </w:r>
      <w:r w:rsidRPr="005D2E2D">
        <w:rPr>
          <w:rFonts w:eastAsia="Times New Roman"/>
          <w:sz w:val="24"/>
          <w:szCs w:val="24"/>
        </w:rPr>
        <w:t>Commissioner will therefore issue h</w:t>
      </w:r>
      <w:r w:rsidR="00A71747">
        <w:rPr>
          <w:rFonts w:eastAsia="Times New Roman"/>
          <w:sz w:val="24"/>
          <w:szCs w:val="24"/>
        </w:rPr>
        <w:t>er</w:t>
      </w:r>
      <w:r w:rsidRPr="005D2E2D">
        <w:rPr>
          <w:rFonts w:eastAsia="Times New Roman"/>
          <w:sz w:val="24"/>
          <w:szCs w:val="24"/>
        </w:rPr>
        <w:t xml:space="preserve"> Council Tax Precept of £7</w:t>
      </w:r>
      <w:r w:rsidR="00F84EF3">
        <w:rPr>
          <w:rFonts w:eastAsia="Times New Roman"/>
          <w:sz w:val="24"/>
          <w:szCs w:val="24"/>
        </w:rPr>
        <w:t>9,159,574</w:t>
      </w:r>
      <w:r w:rsidRPr="005D2E2D">
        <w:rPr>
          <w:rFonts w:eastAsia="Times New Roman"/>
          <w:sz w:val="24"/>
          <w:szCs w:val="24"/>
        </w:rPr>
        <w:t xml:space="preserve"> for 202</w:t>
      </w:r>
      <w:r w:rsidR="00A71747">
        <w:rPr>
          <w:rFonts w:eastAsia="Times New Roman"/>
          <w:sz w:val="24"/>
          <w:szCs w:val="24"/>
        </w:rPr>
        <w:t>4/25</w:t>
      </w:r>
      <w:r w:rsidRPr="005D2E2D">
        <w:rPr>
          <w:rFonts w:eastAsia="Times New Roman"/>
          <w:sz w:val="24"/>
          <w:szCs w:val="24"/>
        </w:rPr>
        <w:t>, equivalent to a Council Tax Band D of £3</w:t>
      </w:r>
      <w:r w:rsidR="00A71747">
        <w:rPr>
          <w:rFonts w:eastAsia="Times New Roman"/>
          <w:sz w:val="24"/>
          <w:szCs w:val="24"/>
        </w:rPr>
        <w:t>49</w:t>
      </w:r>
      <w:r w:rsidRPr="005D2E2D">
        <w:rPr>
          <w:rFonts w:eastAsia="Times New Roman"/>
          <w:sz w:val="24"/>
          <w:szCs w:val="24"/>
        </w:rPr>
        <w:t xml:space="preserve">.52, reflecting an increase of </w:t>
      </w:r>
      <w:r w:rsidR="00A71747">
        <w:rPr>
          <w:rFonts w:eastAsia="Times New Roman"/>
          <w:sz w:val="24"/>
          <w:szCs w:val="24"/>
        </w:rPr>
        <w:t>7.70</w:t>
      </w:r>
      <w:r w:rsidRPr="005D2E2D">
        <w:rPr>
          <w:rFonts w:eastAsia="Times New Roman"/>
          <w:sz w:val="24"/>
          <w:szCs w:val="24"/>
        </w:rPr>
        <w:t>% or £2</w:t>
      </w:r>
      <w:r w:rsidR="00A71747">
        <w:rPr>
          <w:rFonts w:eastAsia="Times New Roman"/>
          <w:sz w:val="24"/>
          <w:szCs w:val="24"/>
        </w:rPr>
        <w:t>5.00</w:t>
      </w:r>
      <w:r w:rsidRPr="005D2E2D">
        <w:rPr>
          <w:rFonts w:eastAsia="Times New Roman"/>
          <w:sz w:val="24"/>
          <w:szCs w:val="24"/>
        </w:rPr>
        <w:t xml:space="preserve"> per annum.</w:t>
      </w:r>
    </w:p>
    <w:p w14:paraId="4A0E57A8" w14:textId="77777777" w:rsidR="00626EE0" w:rsidRPr="005D2E2D" w:rsidRDefault="00626EE0" w:rsidP="00626EE0">
      <w:pPr>
        <w:autoSpaceDE w:val="0"/>
        <w:autoSpaceDN w:val="0"/>
        <w:adjustRightInd w:val="0"/>
        <w:ind w:left="680"/>
        <w:jc w:val="both"/>
        <w:rPr>
          <w:rFonts w:eastAsia="Times New Roman"/>
          <w:sz w:val="24"/>
          <w:szCs w:val="24"/>
        </w:rPr>
      </w:pPr>
    </w:p>
    <w:p w14:paraId="0B8517DC" w14:textId="77777777" w:rsidR="005E069C" w:rsidRDefault="005E069C">
      <w:pPr>
        <w:rPr>
          <w:rFonts w:eastAsia="Times New Roman"/>
          <w:sz w:val="24"/>
          <w:szCs w:val="24"/>
        </w:rPr>
      </w:pPr>
      <w:r>
        <w:rPr>
          <w:rFonts w:eastAsia="Times New Roman"/>
          <w:sz w:val="24"/>
          <w:szCs w:val="24"/>
        </w:rPr>
        <w:br w:type="page"/>
      </w:r>
    </w:p>
    <w:p w14:paraId="2345A2D9" w14:textId="4EF0EB70" w:rsidR="00626EE0" w:rsidRPr="005D2E2D" w:rsidRDefault="00626EE0" w:rsidP="00626EE0">
      <w:pPr>
        <w:numPr>
          <w:ilvl w:val="0"/>
          <w:numId w:val="1"/>
        </w:numPr>
        <w:autoSpaceDE w:val="0"/>
        <w:autoSpaceDN w:val="0"/>
        <w:adjustRightInd w:val="0"/>
        <w:jc w:val="both"/>
        <w:rPr>
          <w:rFonts w:eastAsia="Times New Roman"/>
          <w:sz w:val="24"/>
          <w:szCs w:val="24"/>
        </w:rPr>
      </w:pPr>
      <w:r w:rsidRPr="005D2E2D">
        <w:rPr>
          <w:rFonts w:eastAsia="Times New Roman"/>
          <w:sz w:val="24"/>
          <w:szCs w:val="24"/>
        </w:rPr>
        <w:lastRenderedPageBreak/>
        <w:t>The Council Tax Precept of £7</w:t>
      </w:r>
      <w:r w:rsidR="001C1B44">
        <w:rPr>
          <w:rFonts w:eastAsia="Times New Roman"/>
          <w:sz w:val="24"/>
          <w:szCs w:val="24"/>
        </w:rPr>
        <w:t>9,159,574</w:t>
      </w:r>
      <w:r w:rsidRPr="005D2E2D">
        <w:rPr>
          <w:rFonts w:eastAsia="Times New Roman"/>
          <w:sz w:val="24"/>
          <w:szCs w:val="24"/>
        </w:rPr>
        <w:t xml:space="preserve"> will be apportioned to each City</w:t>
      </w:r>
      <w:r w:rsidRPr="005D2E2D">
        <w:rPr>
          <w:sz w:val="24"/>
          <w:szCs w:val="24"/>
        </w:rPr>
        <w:t>/County/County Borough Council according to the following table:</w:t>
      </w:r>
    </w:p>
    <w:p w14:paraId="41851801" w14:textId="0BF1032E" w:rsidR="00BA5A70" w:rsidRDefault="00BA5A70">
      <w:pPr>
        <w:rPr>
          <w:rFonts w:eastAsia="Times New Roman"/>
          <w:sz w:val="24"/>
          <w:szCs w:val="24"/>
        </w:rPr>
      </w:pPr>
    </w:p>
    <w:p w14:paraId="2EB426DE" w14:textId="77777777" w:rsidR="00626EE0" w:rsidRPr="005D2E2D" w:rsidRDefault="00626EE0" w:rsidP="00626EE0">
      <w:pPr>
        <w:autoSpaceDE w:val="0"/>
        <w:autoSpaceDN w:val="0"/>
        <w:adjustRightInd w:val="0"/>
        <w:jc w:val="both"/>
        <w:rPr>
          <w:rFonts w:eastAsia="Times New Roman"/>
          <w:sz w:val="24"/>
          <w:szCs w:val="24"/>
        </w:rPr>
      </w:pPr>
    </w:p>
    <w:tbl>
      <w:tblPr>
        <w:tblW w:w="0" w:type="auto"/>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543"/>
        <w:gridCol w:w="2043"/>
        <w:gridCol w:w="559"/>
      </w:tblGrid>
      <w:tr w:rsidR="00CD42B0" w:rsidRPr="005D2E2D" w14:paraId="7975FA3C" w14:textId="77777777" w:rsidTr="007616C5">
        <w:tc>
          <w:tcPr>
            <w:tcW w:w="2659" w:type="dxa"/>
            <w:tcBorders>
              <w:top w:val="single" w:sz="4" w:space="0" w:color="auto"/>
              <w:left w:val="single" w:sz="4" w:space="0" w:color="auto"/>
              <w:bottom w:val="single" w:sz="4" w:space="0" w:color="auto"/>
              <w:right w:val="single" w:sz="4" w:space="0" w:color="auto"/>
            </w:tcBorders>
            <w:hideMark/>
          </w:tcPr>
          <w:p w14:paraId="29F6A88B" w14:textId="77777777" w:rsidR="00626EE0" w:rsidRPr="005D2E2D" w:rsidRDefault="00626EE0" w:rsidP="006059CC">
            <w:pPr>
              <w:pStyle w:val="BodyTextIndent2"/>
              <w:spacing w:after="0" w:line="240" w:lineRule="auto"/>
              <w:rPr>
                <w:b/>
                <w:sz w:val="24"/>
                <w:szCs w:val="24"/>
              </w:rPr>
            </w:pPr>
            <w:r w:rsidRPr="005D2E2D">
              <w:rPr>
                <w:b/>
                <w:sz w:val="24"/>
                <w:szCs w:val="24"/>
              </w:rPr>
              <w:t>Unitary Authorities</w:t>
            </w:r>
          </w:p>
        </w:tc>
        <w:tc>
          <w:tcPr>
            <w:tcW w:w="1543" w:type="dxa"/>
            <w:tcBorders>
              <w:top w:val="single" w:sz="4" w:space="0" w:color="auto"/>
              <w:left w:val="single" w:sz="4" w:space="0" w:color="auto"/>
              <w:bottom w:val="single" w:sz="4" w:space="0" w:color="auto"/>
              <w:right w:val="single" w:sz="4" w:space="0" w:color="auto"/>
            </w:tcBorders>
            <w:hideMark/>
          </w:tcPr>
          <w:p w14:paraId="76ACAF97"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w:t>
            </w:r>
          </w:p>
        </w:tc>
        <w:tc>
          <w:tcPr>
            <w:tcW w:w="2602" w:type="dxa"/>
            <w:gridSpan w:val="2"/>
            <w:tcBorders>
              <w:top w:val="single" w:sz="4" w:space="0" w:color="auto"/>
              <w:left w:val="single" w:sz="4" w:space="0" w:color="auto"/>
              <w:bottom w:val="single" w:sz="4" w:space="0" w:color="auto"/>
              <w:right w:val="single" w:sz="4" w:space="0" w:color="auto"/>
            </w:tcBorders>
            <w:hideMark/>
          </w:tcPr>
          <w:p w14:paraId="59D91E8D"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Tax Base Band D Equivalent</w:t>
            </w:r>
          </w:p>
        </w:tc>
      </w:tr>
      <w:tr w:rsidR="00CD42B0" w:rsidRPr="005D2E2D" w14:paraId="643C6E78" w14:textId="77777777" w:rsidTr="005E069C">
        <w:trPr>
          <w:cantSplit/>
          <w:trHeight w:val="1722"/>
        </w:trPr>
        <w:tc>
          <w:tcPr>
            <w:tcW w:w="2659" w:type="dxa"/>
            <w:tcBorders>
              <w:top w:val="single" w:sz="4" w:space="0" w:color="auto"/>
              <w:left w:val="single" w:sz="4" w:space="0" w:color="auto"/>
              <w:bottom w:val="single" w:sz="4" w:space="0" w:color="auto"/>
              <w:right w:val="single" w:sz="4" w:space="0" w:color="auto"/>
            </w:tcBorders>
            <w:hideMark/>
          </w:tcPr>
          <w:p w14:paraId="3E0DC908" w14:textId="77777777" w:rsidR="00626EE0" w:rsidRPr="005D2E2D" w:rsidRDefault="00626EE0" w:rsidP="006059CC">
            <w:pPr>
              <w:pStyle w:val="BodyTextIndent2"/>
              <w:spacing w:after="0" w:line="240" w:lineRule="auto"/>
              <w:ind w:left="0"/>
              <w:rPr>
                <w:b/>
                <w:sz w:val="24"/>
                <w:szCs w:val="24"/>
              </w:rPr>
            </w:pPr>
            <w:r w:rsidRPr="005D2E2D">
              <w:rPr>
                <w:b/>
                <w:sz w:val="24"/>
                <w:szCs w:val="24"/>
              </w:rPr>
              <w:t>Blaenau Gwent Caerphilly</w:t>
            </w:r>
          </w:p>
          <w:p w14:paraId="31E60DDA" w14:textId="77777777" w:rsidR="00626EE0" w:rsidRPr="005D2E2D" w:rsidRDefault="00626EE0" w:rsidP="006059CC">
            <w:pPr>
              <w:pStyle w:val="BodyTextIndent2"/>
              <w:spacing w:after="0" w:line="240" w:lineRule="auto"/>
              <w:ind w:left="0"/>
              <w:rPr>
                <w:b/>
                <w:sz w:val="24"/>
                <w:szCs w:val="24"/>
              </w:rPr>
            </w:pPr>
            <w:r w:rsidRPr="005D2E2D">
              <w:rPr>
                <w:b/>
                <w:sz w:val="24"/>
                <w:szCs w:val="24"/>
              </w:rPr>
              <w:t>Monmouthshire</w:t>
            </w:r>
          </w:p>
          <w:p w14:paraId="61AE24C8" w14:textId="77777777" w:rsidR="00626EE0" w:rsidRPr="005D2E2D" w:rsidRDefault="00626EE0" w:rsidP="006059CC">
            <w:pPr>
              <w:pStyle w:val="BodyTextIndent2"/>
              <w:spacing w:after="0" w:line="240" w:lineRule="auto"/>
              <w:ind w:left="0"/>
              <w:rPr>
                <w:b/>
                <w:sz w:val="24"/>
                <w:szCs w:val="24"/>
              </w:rPr>
            </w:pPr>
            <w:r w:rsidRPr="005D2E2D">
              <w:rPr>
                <w:b/>
                <w:sz w:val="24"/>
                <w:szCs w:val="24"/>
              </w:rPr>
              <w:t>Newport</w:t>
            </w:r>
          </w:p>
          <w:p w14:paraId="70C5FC86" w14:textId="77777777" w:rsidR="00626EE0" w:rsidRPr="005D2E2D" w:rsidRDefault="00626EE0" w:rsidP="006059CC">
            <w:pPr>
              <w:pStyle w:val="BodyTextIndent2"/>
              <w:spacing w:after="0" w:line="240" w:lineRule="auto"/>
              <w:ind w:left="0"/>
              <w:rPr>
                <w:b/>
                <w:sz w:val="24"/>
                <w:szCs w:val="24"/>
              </w:rPr>
            </w:pPr>
            <w:r w:rsidRPr="005D2E2D">
              <w:rPr>
                <w:b/>
                <w:sz w:val="24"/>
                <w:szCs w:val="24"/>
              </w:rPr>
              <w:t>Torfaen</w:t>
            </w:r>
          </w:p>
          <w:p w14:paraId="767581C9" w14:textId="77777777" w:rsidR="00626EE0" w:rsidRPr="005D2E2D" w:rsidRDefault="00626EE0" w:rsidP="006059CC">
            <w:pPr>
              <w:pStyle w:val="BodyTextIndent2"/>
              <w:spacing w:after="0" w:line="240" w:lineRule="auto"/>
              <w:ind w:left="0"/>
              <w:rPr>
                <w:b/>
                <w:sz w:val="24"/>
                <w:szCs w:val="24"/>
              </w:rPr>
            </w:pPr>
            <w:r w:rsidRPr="005D2E2D">
              <w:rPr>
                <w:b/>
                <w:sz w:val="24"/>
                <w:szCs w:val="24"/>
              </w:rPr>
              <w:t xml:space="preserve">    Total</w:t>
            </w:r>
          </w:p>
        </w:tc>
        <w:tc>
          <w:tcPr>
            <w:tcW w:w="1543" w:type="dxa"/>
            <w:tcBorders>
              <w:top w:val="single" w:sz="4" w:space="0" w:color="auto"/>
              <w:left w:val="single" w:sz="4" w:space="0" w:color="auto"/>
              <w:bottom w:val="single" w:sz="4" w:space="0" w:color="auto"/>
              <w:right w:val="single" w:sz="4" w:space="0" w:color="auto"/>
            </w:tcBorders>
            <w:hideMark/>
          </w:tcPr>
          <w:p w14:paraId="1500E572" w14:textId="66C1C963" w:rsidR="00626EE0" w:rsidRPr="00BA5A70" w:rsidRDefault="00EB2F0F" w:rsidP="006059CC">
            <w:pPr>
              <w:pStyle w:val="BodyTextIndent2"/>
              <w:spacing w:after="0" w:line="240" w:lineRule="auto"/>
              <w:ind w:left="0"/>
              <w:jc w:val="right"/>
              <w:rPr>
                <w:b/>
                <w:sz w:val="24"/>
                <w:szCs w:val="24"/>
              </w:rPr>
            </w:pPr>
            <w:r w:rsidRPr="00BA5A70">
              <w:rPr>
                <w:b/>
                <w:sz w:val="24"/>
                <w:szCs w:val="24"/>
              </w:rPr>
              <w:t>7,317,677</w:t>
            </w:r>
          </w:p>
          <w:p w14:paraId="5E6F0FC4" w14:textId="450C422A" w:rsidR="00626EE0" w:rsidRPr="00BA5A70" w:rsidRDefault="00AB286E" w:rsidP="006059CC">
            <w:pPr>
              <w:pStyle w:val="BodyTextIndent2"/>
              <w:spacing w:after="0" w:line="240" w:lineRule="auto"/>
              <w:ind w:left="0"/>
              <w:jc w:val="right"/>
              <w:rPr>
                <w:b/>
                <w:sz w:val="24"/>
                <w:szCs w:val="24"/>
              </w:rPr>
            </w:pPr>
            <w:r w:rsidRPr="00BA5A70">
              <w:rPr>
                <w:b/>
                <w:sz w:val="24"/>
                <w:szCs w:val="24"/>
              </w:rPr>
              <w:t>21,423,011</w:t>
            </w:r>
          </w:p>
          <w:p w14:paraId="65BCCBBC" w14:textId="700C8857" w:rsidR="00626EE0" w:rsidRPr="00BA5A70" w:rsidRDefault="00626EE0" w:rsidP="006059CC">
            <w:pPr>
              <w:pStyle w:val="BodyTextIndent2"/>
              <w:spacing w:after="0" w:line="240" w:lineRule="auto"/>
              <w:ind w:left="0"/>
              <w:jc w:val="right"/>
              <w:rPr>
                <w:b/>
                <w:sz w:val="24"/>
                <w:szCs w:val="24"/>
              </w:rPr>
            </w:pPr>
            <w:r w:rsidRPr="00BA5A70">
              <w:rPr>
                <w:b/>
                <w:sz w:val="24"/>
                <w:szCs w:val="24"/>
              </w:rPr>
              <w:t>1</w:t>
            </w:r>
            <w:r w:rsidR="00735554" w:rsidRPr="00BA5A70">
              <w:rPr>
                <w:b/>
                <w:sz w:val="24"/>
                <w:szCs w:val="24"/>
              </w:rPr>
              <w:t>6,939,672</w:t>
            </w:r>
          </w:p>
          <w:p w14:paraId="16E0DCF7" w14:textId="60207FD5" w:rsidR="00626EE0" w:rsidRPr="00BA5A70" w:rsidRDefault="00CD42B0" w:rsidP="006059CC">
            <w:pPr>
              <w:pStyle w:val="BodyTextIndent2"/>
              <w:spacing w:after="0" w:line="240" w:lineRule="auto"/>
              <w:ind w:left="0"/>
              <w:jc w:val="right"/>
              <w:rPr>
                <w:b/>
                <w:sz w:val="24"/>
                <w:szCs w:val="24"/>
              </w:rPr>
            </w:pPr>
            <w:r w:rsidRPr="00BA5A70">
              <w:rPr>
                <w:b/>
                <w:sz w:val="24"/>
                <w:szCs w:val="24"/>
              </w:rPr>
              <w:t>21,435,712</w:t>
            </w:r>
          </w:p>
          <w:p w14:paraId="4B89B843" w14:textId="75125298" w:rsidR="00626EE0" w:rsidRPr="00BA5A70" w:rsidRDefault="00626EE0" w:rsidP="006059CC">
            <w:pPr>
              <w:pStyle w:val="BodyTextIndent2"/>
              <w:spacing w:after="0" w:line="240" w:lineRule="auto"/>
              <w:ind w:left="0"/>
              <w:jc w:val="right"/>
              <w:rPr>
                <w:b/>
                <w:sz w:val="24"/>
                <w:szCs w:val="24"/>
                <w:u w:val="single"/>
              </w:rPr>
            </w:pPr>
            <w:r w:rsidRPr="00BA5A70">
              <w:rPr>
                <w:b/>
                <w:sz w:val="24"/>
                <w:szCs w:val="24"/>
                <w:u w:val="single"/>
              </w:rPr>
              <w:t>1</w:t>
            </w:r>
            <w:r w:rsidR="00CE7545" w:rsidRPr="00BA5A70">
              <w:rPr>
                <w:b/>
                <w:sz w:val="24"/>
                <w:szCs w:val="24"/>
                <w:u w:val="single"/>
              </w:rPr>
              <w:t>2,043,502</w:t>
            </w:r>
          </w:p>
          <w:p w14:paraId="7D6EB595" w14:textId="374815F7" w:rsidR="00626EE0" w:rsidRPr="00D658C0" w:rsidRDefault="00626EE0" w:rsidP="006059CC">
            <w:pPr>
              <w:pStyle w:val="BodyTextIndent2"/>
              <w:spacing w:after="0" w:line="240" w:lineRule="auto"/>
              <w:ind w:left="0"/>
              <w:jc w:val="right"/>
              <w:rPr>
                <w:b/>
                <w:sz w:val="24"/>
                <w:szCs w:val="24"/>
                <w:highlight w:val="yellow"/>
              </w:rPr>
            </w:pPr>
            <w:r w:rsidRPr="00BA5A70">
              <w:rPr>
                <w:b/>
                <w:sz w:val="24"/>
                <w:szCs w:val="24"/>
              </w:rPr>
              <w:t>7</w:t>
            </w:r>
            <w:r w:rsidR="00BA5A70" w:rsidRPr="00BA5A70">
              <w:rPr>
                <w:b/>
                <w:sz w:val="24"/>
                <w:szCs w:val="24"/>
              </w:rPr>
              <w:t>9,159,574</w:t>
            </w:r>
          </w:p>
        </w:tc>
        <w:tc>
          <w:tcPr>
            <w:tcW w:w="2043" w:type="dxa"/>
            <w:tcBorders>
              <w:top w:val="single" w:sz="4" w:space="0" w:color="auto"/>
              <w:left w:val="single" w:sz="4" w:space="0" w:color="auto"/>
              <w:bottom w:val="single" w:sz="4" w:space="0" w:color="auto"/>
              <w:right w:val="nil"/>
            </w:tcBorders>
            <w:hideMark/>
          </w:tcPr>
          <w:p w14:paraId="1B390DC4" w14:textId="26E58178" w:rsidR="00626EE0" w:rsidRPr="00E26173" w:rsidRDefault="00626EE0" w:rsidP="006059CC">
            <w:pPr>
              <w:pStyle w:val="BodyTextIndent2"/>
              <w:spacing w:after="0" w:line="240" w:lineRule="auto"/>
              <w:ind w:left="0"/>
              <w:jc w:val="right"/>
              <w:rPr>
                <w:b/>
                <w:sz w:val="24"/>
                <w:szCs w:val="24"/>
              </w:rPr>
            </w:pPr>
            <w:r w:rsidRPr="00E26173">
              <w:rPr>
                <w:b/>
                <w:sz w:val="24"/>
                <w:szCs w:val="24"/>
              </w:rPr>
              <w:t>20,</w:t>
            </w:r>
            <w:r w:rsidR="0070363A" w:rsidRPr="00E26173">
              <w:rPr>
                <w:b/>
                <w:sz w:val="24"/>
                <w:szCs w:val="24"/>
              </w:rPr>
              <w:t>936.36</w:t>
            </w:r>
          </w:p>
          <w:p w14:paraId="76D1DCC2" w14:textId="76947C67" w:rsidR="00626EE0" w:rsidRPr="00E26173" w:rsidRDefault="00626EE0" w:rsidP="006059CC">
            <w:pPr>
              <w:pStyle w:val="BodyTextIndent2"/>
              <w:spacing w:after="0" w:line="240" w:lineRule="auto"/>
              <w:ind w:left="0"/>
              <w:jc w:val="right"/>
              <w:rPr>
                <w:b/>
                <w:sz w:val="24"/>
                <w:szCs w:val="24"/>
              </w:rPr>
            </w:pPr>
            <w:r w:rsidRPr="00E26173">
              <w:rPr>
                <w:b/>
                <w:sz w:val="24"/>
                <w:szCs w:val="24"/>
              </w:rPr>
              <w:t>61,</w:t>
            </w:r>
            <w:r w:rsidR="0070363A" w:rsidRPr="00E26173">
              <w:rPr>
                <w:b/>
                <w:sz w:val="24"/>
                <w:szCs w:val="24"/>
              </w:rPr>
              <w:t>292.</w:t>
            </w:r>
            <w:r w:rsidR="00BC18F2" w:rsidRPr="00E26173">
              <w:rPr>
                <w:b/>
                <w:sz w:val="24"/>
                <w:szCs w:val="24"/>
              </w:rPr>
              <w:t>66</w:t>
            </w:r>
          </w:p>
          <w:p w14:paraId="6C0F0665" w14:textId="1C025B3E" w:rsidR="00626EE0" w:rsidRPr="00E26173" w:rsidRDefault="00626EE0" w:rsidP="006059CC">
            <w:pPr>
              <w:pStyle w:val="BodyTextIndent2"/>
              <w:spacing w:after="0" w:line="240" w:lineRule="auto"/>
              <w:ind w:left="0"/>
              <w:jc w:val="right"/>
              <w:rPr>
                <w:b/>
                <w:sz w:val="24"/>
                <w:szCs w:val="24"/>
              </w:rPr>
            </w:pPr>
            <w:r w:rsidRPr="00E26173">
              <w:rPr>
                <w:b/>
                <w:sz w:val="24"/>
                <w:szCs w:val="24"/>
              </w:rPr>
              <w:t>4</w:t>
            </w:r>
            <w:r w:rsidR="00BC18F2" w:rsidRPr="00E26173">
              <w:rPr>
                <w:b/>
                <w:sz w:val="24"/>
                <w:szCs w:val="24"/>
              </w:rPr>
              <w:t>8,465.53</w:t>
            </w:r>
          </w:p>
          <w:p w14:paraId="17753DB7" w14:textId="0750B1E0" w:rsidR="00626EE0" w:rsidRPr="00E26173" w:rsidRDefault="00BC18F2" w:rsidP="006059CC">
            <w:pPr>
              <w:pStyle w:val="BodyTextIndent2"/>
              <w:spacing w:after="0" w:line="240" w:lineRule="auto"/>
              <w:ind w:left="0"/>
              <w:jc w:val="right"/>
              <w:rPr>
                <w:b/>
                <w:sz w:val="24"/>
                <w:szCs w:val="24"/>
              </w:rPr>
            </w:pPr>
            <w:r w:rsidRPr="00E26173">
              <w:rPr>
                <w:b/>
                <w:sz w:val="24"/>
                <w:szCs w:val="24"/>
              </w:rPr>
              <w:t>61.329.00</w:t>
            </w:r>
          </w:p>
          <w:p w14:paraId="07CD540D" w14:textId="70AA3D27" w:rsidR="00626EE0" w:rsidRPr="00E26173" w:rsidRDefault="00E0621D" w:rsidP="006059CC">
            <w:pPr>
              <w:pStyle w:val="BodyTextIndent2"/>
              <w:spacing w:after="0" w:line="240" w:lineRule="auto"/>
              <w:ind w:left="0"/>
              <w:jc w:val="right"/>
              <w:rPr>
                <w:b/>
                <w:sz w:val="24"/>
                <w:szCs w:val="24"/>
                <w:u w:val="single"/>
              </w:rPr>
            </w:pPr>
            <w:r w:rsidRPr="00E26173">
              <w:rPr>
                <w:b/>
                <w:sz w:val="24"/>
                <w:szCs w:val="24"/>
                <w:u w:val="single"/>
              </w:rPr>
              <w:t>34.457.26</w:t>
            </w:r>
          </w:p>
          <w:p w14:paraId="6B1E1D89" w14:textId="495FD693" w:rsidR="00626EE0" w:rsidRPr="00D658C0" w:rsidRDefault="00626EE0" w:rsidP="006059CC">
            <w:pPr>
              <w:pStyle w:val="BodyTextIndent2"/>
              <w:spacing w:after="0" w:line="240" w:lineRule="auto"/>
              <w:ind w:left="0"/>
              <w:jc w:val="right"/>
              <w:rPr>
                <w:b/>
                <w:sz w:val="24"/>
                <w:szCs w:val="24"/>
                <w:highlight w:val="yellow"/>
              </w:rPr>
            </w:pPr>
            <w:r w:rsidRPr="00E26173">
              <w:rPr>
                <w:b/>
                <w:sz w:val="24"/>
                <w:szCs w:val="24"/>
              </w:rPr>
              <w:t>22</w:t>
            </w:r>
            <w:r w:rsidR="00E0621D" w:rsidRPr="00E26173">
              <w:rPr>
                <w:b/>
                <w:sz w:val="24"/>
                <w:szCs w:val="24"/>
              </w:rPr>
              <w:t>6,480.81</w:t>
            </w:r>
          </w:p>
        </w:tc>
        <w:tc>
          <w:tcPr>
            <w:tcW w:w="559" w:type="dxa"/>
            <w:tcBorders>
              <w:top w:val="single" w:sz="4" w:space="0" w:color="auto"/>
              <w:left w:val="nil"/>
              <w:bottom w:val="single" w:sz="4" w:space="0" w:color="auto"/>
              <w:right w:val="single" w:sz="4" w:space="0" w:color="auto"/>
            </w:tcBorders>
          </w:tcPr>
          <w:p w14:paraId="7D5FEE0D" w14:textId="77777777" w:rsidR="00626EE0" w:rsidRPr="005D2E2D" w:rsidRDefault="00626EE0" w:rsidP="006059CC">
            <w:pPr>
              <w:pStyle w:val="BodyTextIndent2"/>
              <w:spacing w:after="0"/>
              <w:ind w:left="0"/>
              <w:rPr>
                <w:b/>
                <w:sz w:val="24"/>
                <w:szCs w:val="24"/>
                <w:highlight w:val="yellow"/>
              </w:rPr>
            </w:pPr>
          </w:p>
        </w:tc>
      </w:tr>
    </w:tbl>
    <w:p w14:paraId="7D66D445" w14:textId="77777777" w:rsidR="00626EE0" w:rsidRPr="005D2E2D" w:rsidRDefault="00626EE0" w:rsidP="00626EE0">
      <w:pPr>
        <w:autoSpaceDE w:val="0"/>
        <w:autoSpaceDN w:val="0"/>
        <w:adjustRightInd w:val="0"/>
        <w:ind w:left="2160"/>
        <w:jc w:val="both"/>
        <w:rPr>
          <w:rFonts w:eastAsia="Times New Roman"/>
          <w:sz w:val="24"/>
          <w:szCs w:val="24"/>
        </w:rPr>
      </w:pPr>
    </w:p>
    <w:p w14:paraId="6CEA63BC" w14:textId="77777777" w:rsidR="00626EE0" w:rsidRPr="005D2E2D" w:rsidRDefault="00626EE0" w:rsidP="00626EE0">
      <w:pPr>
        <w:numPr>
          <w:ilvl w:val="0"/>
          <w:numId w:val="1"/>
        </w:numPr>
        <w:autoSpaceDE w:val="0"/>
        <w:autoSpaceDN w:val="0"/>
        <w:adjustRightInd w:val="0"/>
        <w:jc w:val="both"/>
        <w:rPr>
          <w:rFonts w:eastAsia="Times New Roman"/>
          <w:sz w:val="24"/>
          <w:szCs w:val="24"/>
        </w:rPr>
      </w:pPr>
      <w:r w:rsidRPr="005D2E2D">
        <w:rPr>
          <w:rFonts w:eastAsia="Times New Roman"/>
          <w:sz w:val="24"/>
          <w:szCs w:val="24"/>
        </w:rPr>
        <w:t>The Council Tax Precept shown in the above table generates the following amounts of council tax for the various bands:</w:t>
      </w:r>
    </w:p>
    <w:p w14:paraId="7701091F" w14:textId="77777777" w:rsidR="00626EE0" w:rsidRPr="005D2E2D" w:rsidRDefault="00626EE0" w:rsidP="00626EE0">
      <w:pPr>
        <w:autoSpaceDE w:val="0"/>
        <w:autoSpaceDN w:val="0"/>
        <w:adjustRightInd w:val="0"/>
        <w:ind w:left="680"/>
        <w:jc w:val="both"/>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712"/>
      </w:tblGrid>
      <w:tr w:rsidR="00626EE0" w:rsidRPr="005D2E2D" w14:paraId="34C9EF90" w14:textId="77777777" w:rsidTr="007616C5">
        <w:trPr>
          <w:jc w:val="center"/>
        </w:trPr>
        <w:tc>
          <w:tcPr>
            <w:tcW w:w="3249" w:type="dxa"/>
            <w:tcBorders>
              <w:top w:val="single" w:sz="4" w:space="0" w:color="auto"/>
              <w:left w:val="single" w:sz="4" w:space="0" w:color="auto"/>
              <w:bottom w:val="single" w:sz="4" w:space="0" w:color="auto"/>
              <w:right w:val="single" w:sz="4" w:space="0" w:color="auto"/>
            </w:tcBorders>
            <w:hideMark/>
          </w:tcPr>
          <w:p w14:paraId="7DC7E4C4"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Council Tax Band</w:t>
            </w:r>
          </w:p>
        </w:tc>
        <w:tc>
          <w:tcPr>
            <w:tcW w:w="1712" w:type="dxa"/>
            <w:tcBorders>
              <w:top w:val="single" w:sz="4" w:space="0" w:color="auto"/>
              <w:left w:val="single" w:sz="4" w:space="0" w:color="auto"/>
              <w:bottom w:val="single" w:sz="4" w:space="0" w:color="auto"/>
              <w:right w:val="single" w:sz="4" w:space="0" w:color="auto"/>
            </w:tcBorders>
            <w:hideMark/>
          </w:tcPr>
          <w:p w14:paraId="78A032CE"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w:t>
            </w:r>
          </w:p>
        </w:tc>
      </w:tr>
      <w:tr w:rsidR="00626EE0" w:rsidRPr="005D2E2D" w14:paraId="2EE469B3" w14:textId="77777777" w:rsidTr="007616C5">
        <w:trPr>
          <w:jc w:val="center"/>
        </w:trPr>
        <w:tc>
          <w:tcPr>
            <w:tcW w:w="3249" w:type="dxa"/>
            <w:tcBorders>
              <w:top w:val="single" w:sz="4" w:space="0" w:color="auto"/>
              <w:left w:val="single" w:sz="4" w:space="0" w:color="auto"/>
              <w:bottom w:val="single" w:sz="4" w:space="0" w:color="auto"/>
              <w:right w:val="single" w:sz="4" w:space="0" w:color="auto"/>
            </w:tcBorders>
            <w:hideMark/>
          </w:tcPr>
          <w:p w14:paraId="41F8425A"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A</w:t>
            </w:r>
          </w:p>
          <w:p w14:paraId="6C1644C5"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B</w:t>
            </w:r>
          </w:p>
          <w:p w14:paraId="2D591DBF"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C</w:t>
            </w:r>
          </w:p>
          <w:p w14:paraId="4ED6FCAE"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D</w:t>
            </w:r>
          </w:p>
          <w:p w14:paraId="28A88650"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E</w:t>
            </w:r>
          </w:p>
          <w:p w14:paraId="64358280"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F</w:t>
            </w:r>
          </w:p>
          <w:p w14:paraId="73DC67BA"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G</w:t>
            </w:r>
          </w:p>
          <w:p w14:paraId="698434BE"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H</w:t>
            </w:r>
          </w:p>
          <w:p w14:paraId="0FE845B4" w14:textId="77777777" w:rsidR="00626EE0" w:rsidRPr="005D2E2D" w:rsidRDefault="00626EE0" w:rsidP="006059CC">
            <w:pPr>
              <w:pStyle w:val="BodyTextIndent2"/>
              <w:spacing w:after="0" w:line="240" w:lineRule="auto"/>
              <w:ind w:left="0"/>
              <w:jc w:val="center"/>
              <w:rPr>
                <w:b/>
                <w:sz w:val="24"/>
                <w:szCs w:val="24"/>
              </w:rPr>
            </w:pPr>
            <w:r w:rsidRPr="005D2E2D">
              <w:rPr>
                <w:b/>
                <w:sz w:val="24"/>
                <w:szCs w:val="24"/>
              </w:rPr>
              <w:t>I</w:t>
            </w:r>
          </w:p>
        </w:tc>
        <w:tc>
          <w:tcPr>
            <w:tcW w:w="1712" w:type="dxa"/>
            <w:tcBorders>
              <w:top w:val="single" w:sz="4" w:space="0" w:color="auto"/>
              <w:left w:val="single" w:sz="4" w:space="0" w:color="auto"/>
              <w:bottom w:val="single" w:sz="4" w:space="0" w:color="auto"/>
              <w:right w:val="single" w:sz="4" w:space="0" w:color="auto"/>
            </w:tcBorders>
            <w:hideMark/>
          </w:tcPr>
          <w:p w14:paraId="5CC6B459" w14:textId="5F01887D" w:rsidR="00626EE0" w:rsidRPr="005D2E2D" w:rsidRDefault="00626EE0" w:rsidP="006059CC">
            <w:pPr>
              <w:pStyle w:val="BodyTextIndent2"/>
              <w:spacing w:after="0" w:line="240" w:lineRule="auto"/>
              <w:ind w:left="0"/>
              <w:jc w:val="center"/>
              <w:rPr>
                <w:b/>
                <w:sz w:val="24"/>
                <w:szCs w:val="24"/>
              </w:rPr>
            </w:pPr>
            <w:r w:rsidRPr="005D2E2D">
              <w:rPr>
                <w:b/>
                <w:sz w:val="24"/>
                <w:szCs w:val="24"/>
              </w:rPr>
              <w:t>2</w:t>
            </w:r>
            <w:r w:rsidR="001C1B44">
              <w:rPr>
                <w:b/>
                <w:sz w:val="24"/>
                <w:szCs w:val="24"/>
              </w:rPr>
              <w:t>33.01</w:t>
            </w:r>
          </w:p>
          <w:p w14:paraId="4E01AFBE" w14:textId="747CDC77" w:rsidR="00626EE0" w:rsidRPr="005D2E2D" w:rsidRDefault="00626EE0" w:rsidP="006059CC">
            <w:pPr>
              <w:pStyle w:val="BodyTextIndent2"/>
              <w:spacing w:after="0" w:line="240" w:lineRule="auto"/>
              <w:ind w:left="0"/>
              <w:jc w:val="center"/>
              <w:rPr>
                <w:b/>
                <w:sz w:val="24"/>
                <w:szCs w:val="24"/>
              </w:rPr>
            </w:pPr>
            <w:r w:rsidRPr="005D2E2D">
              <w:rPr>
                <w:b/>
                <w:sz w:val="24"/>
                <w:szCs w:val="24"/>
              </w:rPr>
              <w:t>2</w:t>
            </w:r>
            <w:r w:rsidR="001C1B44">
              <w:rPr>
                <w:b/>
                <w:sz w:val="24"/>
                <w:szCs w:val="24"/>
              </w:rPr>
              <w:t>71.85</w:t>
            </w:r>
          </w:p>
          <w:p w14:paraId="31BFFE11" w14:textId="1FDDD75A" w:rsidR="00626EE0" w:rsidRPr="005D2E2D" w:rsidRDefault="00C93325" w:rsidP="006059CC">
            <w:pPr>
              <w:pStyle w:val="BodyTextIndent2"/>
              <w:spacing w:after="0" w:line="240" w:lineRule="auto"/>
              <w:ind w:left="0"/>
              <w:jc w:val="center"/>
              <w:rPr>
                <w:b/>
                <w:sz w:val="24"/>
                <w:szCs w:val="24"/>
              </w:rPr>
            </w:pPr>
            <w:r>
              <w:rPr>
                <w:b/>
                <w:sz w:val="24"/>
                <w:szCs w:val="24"/>
              </w:rPr>
              <w:t>310.68</w:t>
            </w:r>
          </w:p>
          <w:p w14:paraId="2D829730" w14:textId="45B12C18" w:rsidR="00626EE0" w:rsidRPr="005D2E2D" w:rsidRDefault="00C93325" w:rsidP="006059CC">
            <w:pPr>
              <w:pStyle w:val="BodyTextIndent2"/>
              <w:spacing w:after="0" w:line="240" w:lineRule="auto"/>
              <w:ind w:left="0"/>
              <w:jc w:val="center"/>
              <w:rPr>
                <w:b/>
                <w:sz w:val="24"/>
                <w:szCs w:val="24"/>
              </w:rPr>
            </w:pPr>
            <w:r>
              <w:rPr>
                <w:b/>
                <w:sz w:val="24"/>
                <w:szCs w:val="24"/>
              </w:rPr>
              <w:t>349.52</w:t>
            </w:r>
          </w:p>
          <w:p w14:paraId="05EECB15" w14:textId="6D1605EB" w:rsidR="00626EE0" w:rsidRPr="005D2E2D" w:rsidRDefault="00C93325" w:rsidP="006059CC">
            <w:pPr>
              <w:pStyle w:val="BodyTextIndent2"/>
              <w:spacing w:after="0" w:line="240" w:lineRule="auto"/>
              <w:ind w:left="0"/>
              <w:jc w:val="center"/>
              <w:rPr>
                <w:b/>
                <w:sz w:val="24"/>
                <w:szCs w:val="24"/>
              </w:rPr>
            </w:pPr>
            <w:r>
              <w:rPr>
                <w:b/>
                <w:sz w:val="24"/>
                <w:szCs w:val="24"/>
              </w:rPr>
              <w:t>427.19</w:t>
            </w:r>
          </w:p>
          <w:p w14:paraId="34F19269" w14:textId="0D7A2DF2" w:rsidR="00626EE0" w:rsidRPr="005D2E2D" w:rsidRDefault="00D9165C" w:rsidP="006059CC">
            <w:pPr>
              <w:pStyle w:val="BodyTextIndent2"/>
              <w:spacing w:after="0" w:line="240" w:lineRule="auto"/>
              <w:ind w:left="0"/>
              <w:jc w:val="center"/>
              <w:rPr>
                <w:b/>
                <w:sz w:val="24"/>
                <w:szCs w:val="24"/>
              </w:rPr>
            </w:pPr>
            <w:r>
              <w:rPr>
                <w:b/>
                <w:sz w:val="24"/>
                <w:szCs w:val="24"/>
              </w:rPr>
              <w:t>504.86</w:t>
            </w:r>
          </w:p>
          <w:p w14:paraId="328A9F4F" w14:textId="4A62C7FE" w:rsidR="00626EE0" w:rsidRPr="005D2E2D" w:rsidRDefault="00626EE0" w:rsidP="006059CC">
            <w:pPr>
              <w:pStyle w:val="BodyTextIndent2"/>
              <w:spacing w:after="0" w:line="240" w:lineRule="auto"/>
              <w:ind w:left="0"/>
              <w:jc w:val="center"/>
              <w:rPr>
                <w:b/>
                <w:sz w:val="24"/>
                <w:szCs w:val="24"/>
              </w:rPr>
            </w:pPr>
            <w:r w:rsidRPr="005D2E2D">
              <w:rPr>
                <w:b/>
                <w:sz w:val="24"/>
                <w:szCs w:val="24"/>
              </w:rPr>
              <w:t>5</w:t>
            </w:r>
            <w:r w:rsidR="00D9165C">
              <w:rPr>
                <w:b/>
                <w:sz w:val="24"/>
                <w:szCs w:val="24"/>
              </w:rPr>
              <w:t>82.53</w:t>
            </w:r>
          </w:p>
          <w:p w14:paraId="0B0E7963" w14:textId="529E16C4" w:rsidR="00626EE0" w:rsidRPr="005D2E2D" w:rsidRDefault="00D9165C" w:rsidP="006059CC">
            <w:pPr>
              <w:pStyle w:val="BodyTextIndent2"/>
              <w:spacing w:after="0" w:line="240" w:lineRule="auto"/>
              <w:ind w:left="0"/>
              <w:jc w:val="center"/>
              <w:rPr>
                <w:b/>
                <w:sz w:val="24"/>
                <w:szCs w:val="24"/>
              </w:rPr>
            </w:pPr>
            <w:r>
              <w:rPr>
                <w:b/>
                <w:sz w:val="24"/>
                <w:szCs w:val="24"/>
              </w:rPr>
              <w:t>699.04</w:t>
            </w:r>
          </w:p>
          <w:p w14:paraId="45537CB8" w14:textId="378C7439" w:rsidR="00626EE0" w:rsidRPr="005D2E2D" w:rsidRDefault="00D9165C" w:rsidP="006059CC">
            <w:pPr>
              <w:pStyle w:val="BodyTextIndent2"/>
              <w:spacing w:after="0" w:line="240" w:lineRule="auto"/>
              <w:ind w:left="0"/>
              <w:jc w:val="center"/>
              <w:rPr>
                <w:b/>
                <w:sz w:val="24"/>
                <w:szCs w:val="24"/>
              </w:rPr>
            </w:pPr>
            <w:r>
              <w:rPr>
                <w:b/>
                <w:sz w:val="24"/>
                <w:szCs w:val="24"/>
              </w:rPr>
              <w:t>815.55</w:t>
            </w:r>
          </w:p>
        </w:tc>
      </w:tr>
    </w:tbl>
    <w:p w14:paraId="0BB7BD1D" w14:textId="77777777" w:rsidR="00626EE0" w:rsidRPr="005D2E2D" w:rsidRDefault="00626EE0" w:rsidP="00626EE0">
      <w:pPr>
        <w:autoSpaceDE w:val="0"/>
        <w:autoSpaceDN w:val="0"/>
        <w:adjustRightInd w:val="0"/>
        <w:ind w:left="680"/>
        <w:jc w:val="both"/>
        <w:rPr>
          <w:rFonts w:eastAsia="Times New Roman"/>
          <w:sz w:val="24"/>
          <w:szCs w:val="24"/>
        </w:rPr>
      </w:pPr>
    </w:p>
    <w:p w14:paraId="22DEC725" w14:textId="362FFB23" w:rsidR="00626EE0" w:rsidRPr="005D2E2D" w:rsidRDefault="00626EE0" w:rsidP="00626EE0">
      <w:pPr>
        <w:numPr>
          <w:ilvl w:val="0"/>
          <w:numId w:val="1"/>
        </w:numPr>
        <w:autoSpaceDE w:val="0"/>
        <w:autoSpaceDN w:val="0"/>
        <w:adjustRightInd w:val="0"/>
        <w:jc w:val="both"/>
        <w:rPr>
          <w:sz w:val="24"/>
          <w:szCs w:val="24"/>
        </w:rPr>
      </w:pPr>
      <w:r w:rsidRPr="005D2E2D">
        <w:rPr>
          <w:rFonts w:eastAsia="Times New Roman"/>
          <w:sz w:val="24"/>
          <w:szCs w:val="24"/>
        </w:rPr>
        <w:t xml:space="preserve">The </w:t>
      </w:r>
      <w:r w:rsidR="00290A1A">
        <w:rPr>
          <w:rFonts w:eastAsia="Times New Roman"/>
          <w:sz w:val="24"/>
          <w:szCs w:val="24"/>
        </w:rPr>
        <w:t xml:space="preserve">Acting </w:t>
      </w:r>
      <w:r w:rsidRPr="005D2E2D">
        <w:rPr>
          <w:rFonts w:eastAsia="Times New Roman"/>
          <w:sz w:val="24"/>
          <w:szCs w:val="24"/>
        </w:rPr>
        <w:t>Commissioner requests that this report is circulated to PCP Members for their immediate consideration.</w:t>
      </w:r>
    </w:p>
    <w:p w14:paraId="56752B6C" w14:textId="1D074556" w:rsidR="00641CF8" w:rsidRPr="005D2E2D" w:rsidRDefault="00641CF8" w:rsidP="00D40FE5">
      <w:pPr>
        <w:rPr>
          <w:sz w:val="24"/>
          <w:szCs w:val="24"/>
        </w:rPr>
      </w:pPr>
    </w:p>
    <w:p w14:paraId="5CCC19D1" w14:textId="3B864ABB" w:rsidR="000D1A3C" w:rsidRPr="005D2E2D" w:rsidRDefault="000D1A3C" w:rsidP="00D40FE5">
      <w:pPr>
        <w:rPr>
          <w:sz w:val="24"/>
          <w:szCs w:val="24"/>
        </w:rPr>
      </w:pPr>
    </w:p>
    <w:sectPr w:rsidR="000D1A3C" w:rsidRPr="005D2E2D" w:rsidSect="00641CF8">
      <w:headerReference w:type="first" r:id="rId8"/>
      <w:footerReference w:type="first" r:id="rId9"/>
      <w:type w:val="continuous"/>
      <w:pgSz w:w="11910" w:h="16840"/>
      <w:pgMar w:top="1320" w:right="980" w:bottom="280" w:left="9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51D8" w14:textId="77777777" w:rsidR="004D7C91" w:rsidRDefault="004D7C91" w:rsidP="00D40FE5">
      <w:r>
        <w:separator/>
      </w:r>
    </w:p>
  </w:endnote>
  <w:endnote w:type="continuationSeparator" w:id="0">
    <w:p w14:paraId="106E6148" w14:textId="77777777" w:rsidR="004D7C91" w:rsidRDefault="004D7C91" w:rsidP="00D4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E089" w14:textId="77777777" w:rsidR="00641CF8" w:rsidRDefault="00641CF8" w:rsidP="00641CF8">
    <w:pPr>
      <w:pStyle w:val="BodyText"/>
      <w:spacing w:before="95" w:line="244" w:lineRule="auto"/>
      <w:ind w:left="0" w:right="192"/>
      <w:rPr>
        <w:color w:val="354979"/>
      </w:rPr>
    </w:pPr>
    <w:r>
      <w:rPr>
        <w:color w:val="354979"/>
      </w:rPr>
      <w:t>Rydym yn croesawu gohebiaeth yn y Gymraeg, a phan ddaw i law, byddwn yn ateb yn y Gymraeg – ni fydd hyn yn</w:t>
    </w:r>
    <w:r>
      <w:rPr>
        <w:color w:val="354979"/>
        <w:spacing w:val="1"/>
      </w:rPr>
      <w:t xml:space="preserve"> </w:t>
    </w:r>
    <w:r>
      <w:rPr>
        <w:color w:val="354979"/>
      </w:rPr>
      <w:t>gohirio ein hymateb. Os hoffech dderbyn gohebiaeth yn y Gymraeg o hyn ymlaen, neu os ydych wedi cael eich gwahodd</w:t>
    </w:r>
    <w:r>
      <w:rPr>
        <w:color w:val="354979"/>
        <w:spacing w:val="-48"/>
      </w:rPr>
      <w:t xml:space="preserve"> </w:t>
    </w:r>
    <w:r>
      <w:rPr>
        <w:color w:val="354979"/>
      </w:rPr>
      <w:t>i</w:t>
    </w:r>
    <w:r>
      <w:rPr>
        <w:color w:val="354979"/>
        <w:spacing w:val="-5"/>
      </w:rPr>
      <w:t xml:space="preserve"> </w:t>
    </w:r>
    <w:r>
      <w:rPr>
        <w:color w:val="354979"/>
      </w:rPr>
      <w:t>gyfweliad</w:t>
    </w:r>
    <w:r>
      <w:rPr>
        <w:color w:val="354979"/>
        <w:spacing w:val="-5"/>
      </w:rPr>
      <w:t xml:space="preserve"> </w:t>
    </w:r>
    <w:r>
      <w:rPr>
        <w:color w:val="354979"/>
      </w:rPr>
      <w:t>neu</w:t>
    </w:r>
    <w:r>
      <w:rPr>
        <w:color w:val="354979"/>
        <w:spacing w:val="-5"/>
      </w:rPr>
      <w:t xml:space="preserve"> </w:t>
    </w:r>
    <w:r>
      <w:rPr>
        <w:color w:val="354979"/>
      </w:rPr>
      <w:t>gyfarfod</w:t>
    </w:r>
    <w:r>
      <w:rPr>
        <w:color w:val="354979"/>
        <w:spacing w:val="-5"/>
      </w:rPr>
      <w:t xml:space="preserve"> </w:t>
    </w:r>
    <w:r>
      <w:rPr>
        <w:color w:val="354979"/>
      </w:rPr>
      <w:t>ac</w:t>
    </w:r>
    <w:r>
      <w:rPr>
        <w:color w:val="354979"/>
        <w:spacing w:val="-5"/>
      </w:rPr>
      <w:t xml:space="preserve"> </w:t>
    </w:r>
    <w:r>
      <w:rPr>
        <w:color w:val="354979"/>
      </w:rPr>
      <w:t>yr</w:t>
    </w:r>
    <w:r>
      <w:rPr>
        <w:color w:val="354979"/>
        <w:spacing w:val="-4"/>
      </w:rPr>
      <w:t xml:space="preserve"> </w:t>
    </w:r>
    <w:r>
      <w:rPr>
        <w:color w:val="354979"/>
      </w:rPr>
      <w:t>hoffech</w:t>
    </w:r>
    <w:r>
      <w:rPr>
        <w:color w:val="354979"/>
        <w:spacing w:val="-5"/>
      </w:rPr>
      <w:t xml:space="preserve"> </w:t>
    </w:r>
    <w:r>
      <w:rPr>
        <w:color w:val="354979"/>
      </w:rPr>
      <w:t>ddefnyddio’r</w:t>
    </w:r>
    <w:r>
      <w:rPr>
        <w:color w:val="354979"/>
        <w:spacing w:val="-5"/>
      </w:rPr>
      <w:t xml:space="preserve"> </w:t>
    </w:r>
    <w:r>
      <w:rPr>
        <w:color w:val="354979"/>
      </w:rPr>
      <w:t>Gymraeg,</w:t>
    </w:r>
    <w:r>
      <w:rPr>
        <w:color w:val="354979"/>
        <w:spacing w:val="-4"/>
      </w:rPr>
      <w:t xml:space="preserve"> </w:t>
    </w:r>
    <w:r>
      <w:rPr>
        <w:color w:val="354979"/>
      </w:rPr>
      <w:t>anfonwch</w:t>
    </w:r>
    <w:r>
      <w:rPr>
        <w:color w:val="354979"/>
        <w:spacing w:val="-5"/>
      </w:rPr>
      <w:t xml:space="preserve"> </w:t>
    </w:r>
    <w:r>
      <w:rPr>
        <w:color w:val="354979"/>
      </w:rPr>
      <w:t>e-bost</w:t>
    </w:r>
    <w:r>
      <w:rPr>
        <w:color w:val="354979"/>
        <w:spacing w:val="-5"/>
      </w:rPr>
      <w:t xml:space="preserve"> </w:t>
    </w:r>
    <w:r>
      <w:rPr>
        <w:color w:val="354979"/>
      </w:rPr>
      <w:t>at:</w:t>
    </w:r>
    <w:r>
      <w:rPr>
        <w:color w:val="354979"/>
        <w:spacing w:val="-3"/>
      </w:rPr>
      <w:t xml:space="preserve"> </w:t>
    </w:r>
    <w:r>
      <w:rPr>
        <w:b/>
        <w:color w:val="354979"/>
      </w:rPr>
      <w:t>Commissioner@gwent.police.uk</w:t>
    </w:r>
    <w:r>
      <w:rPr>
        <w:color w:val="354979"/>
      </w:rPr>
      <w:t>.</w:t>
    </w:r>
  </w:p>
  <w:p w14:paraId="231BA7FC" w14:textId="77777777" w:rsidR="00641CF8" w:rsidRDefault="00641CF8" w:rsidP="00641CF8">
    <w:pPr>
      <w:pStyle w:val="BodyText"/>
      <w:ind w:left="0"/>
      <w:rPr>
        <w:color w:val="354979"/>
      </w:rPr>
    </w:pPr>
    <w:r>
      <w:rPr>
        <w:color w:val="354979"/>
      </w:rPr>
      <w:t>Darperir</w:t>
    </w:r>
    <w:r>
      <w:rPr>
        <w:color w:val="354979"/>
        <w:spacing w:val="-7"/>
      </w:rPr>
      <w:t xml:space="preserve"> </w:t>
    </w:r>
    <w:r>
      <w:rPr>
        <w:color w:val="354979"/>
      </w:rPr>
      <w:t>gwasanaethau</w:t>
    </w:r>
    <w:r>
      <w:rPr>
        <w:color w:val="354979"/>
        <w:spacing w:val="-7"/>
      </w:rPr>
      <w:t xml:space="preserve"> </w:t>
    </w:r>
    <w:r>
      <w:rPr>
        <w:color w:val="354979"/>
      </w:rPr>
      <w:t>cyfieithu.</w:t>
    </w:r>
  </w:p>
  <w:p w14:paraId="33E90D61" w14:textId="11E245C1" w:rsidR="00641CF8" w:rsidRPr="00641CF8" w:rsidRDefault="00641CF8" w:rsidP="00641CF8">
    <w:pPr>
      <w:pStyle w:val="BodyText"/>
      <w:spacing w:before="113" w:line="244" w:lineRule="auto"/>
      <w:ind w:left="0"/>
      <w:rPr>
        <w:color w:val="354979"/>
      </w:rPr>
    </w:pPr>
    <w:r>
      <w:rPr>
        <w:color w:val="354979"/>
      </w:rPr>
      <w:t>We</w:t>
    </w:r>
    <w:r>
      <w:rPr>
        <w:color w:val="354979"/>
        <w:spacing w:val="-3"/>
      </w:rPr>
      <w:t xml:space="preserve"> </w:t>
    </w:r>
    <w:r>
      <w:rPr>
        <w:color w:val="354979"/>
      </w:rPr>
      <w:t>welcome</w:t>
    </w:r>
    <w:r>
      <w:rPr>
        <w:color w:val="354979"/>
        <w:spacing w:val="-3"/>
      </w:rPr>
      <w:t xml:space="preserve"> </w:t>
    </w:r>
    <w:r>
      <w:rPr>
        <w:color w:val="354979"/>
      </w:rPr>
      <w:t>correspondence</w:t>
    </w:r>
    <w:r>
      <w:rPr>
        <w:color w:val="354979"/>
        <w:spacing w:val="-2"/>
      </w:rPr>
      <w:t xml:space="preserve"> </w:t>
    </w:r>
    <w:r>
      <w:rPr>
        <w:color w:val="354979"/>
      </w:rPr>
      <w:t>in</w:t>
    </w:r>
    <w:r>
      <w:rPr>
        <w:color w:val="354979"/>
        <w:spacing w:val="-3"/>
      </w:rPr>
      <w:t xml:space="preserve"> </w:t>
    </w:r>
    <w:r>
      <w:rPr>
        <w:color w:val="354979"/>
      </w:rPr>
      <w:t>Welsh</w:t>
    </w:r>
    <w:r>
      <w:rPr>
        <w:color w:val="354979"/>
        <w:spacing w:val="-3"/>
      </w:rPr>
      <w:t xml:space="preserve"> </w:t>
    </w:r>
    <w:r>
      <w:rPr>
        <w:color w:val="354979"/>
      </w:rPr>
      <w:t>and</w:t>
    </w:r>
    <w:r>
      <w:rPr>
        <w:color w:val="354979"/>
        <w:spacing w:val="-3"/>
      </w:rPr>
      <w:t xml:space="preserve"> </w:t>
    </w:r>
    <w:r>
      <w:rPr>
        <w:color w:val="354979"/>
      </w:rPr>
      <w:t>where</w:t>
    </w:r>
    <w:r>
      <w:rPr>
        <w:color w:val="354979"/>
        <w:spacing w:val="-3"/>
      </w:rPr>
      <w:t xml:space="preserve"> </w:t>
    </w:r>
    <w:r>
      <w:rPr>
        <w:color w:val="354979"/>
      </w:rPr>
      <w:t>received,</w:t>
    </w:r>
    <w:r>
      <w:rPr>
        <w:color w:val="354979"/>
        <w:spacing w:val="-2"/>
      </w:rPr>
      <w:t xml:space="preserve"> </w:t>
    </w:r>
    <w:r>
      <w:rPr>
        <w:color w:val="354979"/>
      </w:rPr>
      <w:t>we</w:t>
    </w:r>
    <w:r>
      <w:rPr>
        <w:color w:val="354979"/>
        <w:spacing w:val="-3"/>
      </w:rPr>
      <w:t xml:space="preserve"> </w:t>
    </w:r>
    <w:r>
      <w:rPr>
        <w:color w:val="354979"/>
      </w:rPr>
      <w:t>will</w:t>
    </w:r>
    <w:r>
      <w:rPr>
        <w:color w:val="354979"/>
        <w:spacing w:val="-3"/>
      </w:rPr>
      <w:t xml:space="preserve"> </w:t>
    </w:r>
    <w:r>
      <w:rPr>
        <w:color w:val="354979"/>
      </w:rPr>
      <w:t>reply</w:t>
    </w:r>
    <w:r>
      <w:rPr>
        <w:color w:val="354979"/>
        <w:spacing w:val="-2"/>
      </w:rPr>
      <w:t xml:space="preserve"> </w:t>
    </w:r>
    <w:r>
      <w:rPr>
        <w:color w:val="354979"/>
      </w:rPr>
      <w:t>in</w:t>
    </w:r>
    <w:r>
      <w:rPr>
        <w:color w:val="354979"/>
        <w:spacing w:val="-3"/>
      </w:rPr>
      <w:t xml:space="preserve"> </w:t>
    </w:r>
    <w:r>
      <w:rPr>
        <w:color w:val="354979"/>
      </w:rPr>
      <w:t>Welsh</w:t>
    </w:r>
    <w:r>
      <w:rPr>
        <w:color w:val="354979"/>
        <w:spacing w:val="-3"/>
      </w:rPr>
      <w:t xml:space="preserve"> </w:t>
    </w:r>
    <w:r>
      <w:rPr>
        <w:color w:val="354979"/>
      </w:rPr>
      <w:t>-</w:t>
    </w:r>
    <w:r>
      <w:rPr>
        <w:color w:val="354979"/>
        <w:spacing w:val="-2"/>
      </w:rPr>
      <w:t xml:space="preserve"> </w:t>
    </w:r>
    <w:r>
      <w:rPr>
        <w:color w:val="354979"/>
      </w:rPr>
      <w:t>this</w:t>
    </w:r>
    <w:r>
      <w:rPr>
        <w:color w:val="354979"/>
        <w:spacing w:val="-2"/>
      </w:rPr>
      <w:t xml:space="preserve"> </w:t>
    </w:r>
    <w:r>
      <w:rPr>
        <w:color w:val="354979"/>
      </w:rPr>
      <w:t>will</w:t>
    </w:r>
    <w:r>
      <w:rPr>
        <w:color w:val="354979"/>
        <w:spacing w:val="-3"/>
      </w:rPr>
      <w:t xml:space="preserve"> </w:t>
    </w:r>
    <w:r>
      <w:rPr>
        <w:color w:val="354979"/>
      </w:rPr>
      <w:t>not</w:t>
    </w:r>
    <w:r>
      <w:rPr>
        <w:color w:val="354979"/>
        <w:spacing w:val="-3"/>
      </w:rPr>
      <w:t xml:space="preserve"> </w:t>
    </w:r>
    <w:r>
      <w:rPr>
        <w:color w:val="354979"/>
      </w:rPr>
      <w:t>delay</w:t>
    </w:r>
    <w:r>
      <w:rPr>
        <w:color w:val="354979"/>
        <w:spacing w:val="-3"/>
      </w:rPr>
      <w:t xml:space="preserve"> </w:t>
    </w:r>
    <w:r>
      <w:rPr>
        <w:color w:val="354979"/>
      </w:rPr>
      <w:t>our</w:t>
    </w:r>
    <w:r>
      <w:rPr>
        <w:color w:val="354979"/>
        <w:spacing w:val="-3"/>
      </w:rPr>
      <w:t xml:space="preserve"> </w:t>
    </w:r>
    <w:r>
      <w:rPr>
        <w:color w:val="354979"/>
      </w:rPr>
      <w:t>response.</w:t>
    </w:r>
    <w:r>
      <w:rPr>
        <w:color w:val="354979"/>
        <w:spacing w:val="-2"/>
      </w:rPr>
      <w:t xml:space="preserve"> </w:t>
    </w:r>
    <w:r>
      <w:rPr>
        <w:color w:val="354979"/>
      </w:rPr>
      <w:t>If</w:t>
    </w:r>
    <w:r>
      <w:rPr>
        <w:color w:val="354979"/>
        <w:spacing w:val="-2"/>
      </w:rPr>
      <w:t xml:space="preserve"> </w:t>
    </w:r>
    <w:r>
      <w:rPr>
        <w:color w:val="354979"/>
      </w:rPr>
      <w:t>you</w:t>
    </w:r>
    <w:r>
      <w:rPr>
        <w:color w:val="354979"/>
        <w:spacing w:val="1"/>
      </w:rPr>
      <w:t xml:space="preserve"> </w:t>
    </w:r>
    <w:r>
      <w:rPr>
        <w:color w:val="354979"/>
      </w:rPr>
      <w:t>wish to receive correspondence in Welsh hereafter or if you have been invited to an interview or meeting and you wish to</w:t>
    </w:r>
    <w:r>
      <w:rPr>
        <w:color w:val="354979"/>
        <w:spacing w:val="1"/>
      </w:rPr>
      <w:t xml:space="preserve"> </w:t>
    </w:r>
    <w:r>
      <w:rPr>
        <w:color w:val="354979"/>
      </w:rPr>
      <w:t>use</w:t>
    </w:r>
    <w:r>
      <w:rPr>
        <w:color w:val="354979"/>
        <w:spacing w:val="-3"/>
      </w:rPr>
      <w:t xml:space="preserve"> </w:t>
    </w:r>
    <w:r>
      <w:rPr>
        <w:color w:val="354979"/>
      </w:rPr>
      <w:t>Welsh,</w:t>
    </w:r>
    <w:r>
      <w:rPr>
        <w:color w:val="354979"/>
        <w:spacing w:val="-2"/>
      </w:rPr>
      <w:t xml:space="preserve"> </w:t>
    </w:r>
    <w:r>
      <w:rPr>
        <w:color w:val="354979"/>
      </w:rPr>
      <w:t>send</w:t>
    </w:r>
    <w:r>
      <w:rPr>
        <w:color w:val="354979"/>
        <w:spacing w:val="-1"/>
      </w:rPr>
      <w:t xml:space="preserve"> </w:t>
    </w:r>
    <w:r>
      <w:rPr>
        <w:color w:val="354979"/>
      </w:rPr>
      <w:t>email</w:t>
    </w:r>
    <w:r>
      <w:rPr>
        <w:color w:val="354979"/>
        <w:spacing w:val="-3"/>
      </w:rPr>
      <w:t xml:space="preserve"> </w:t>
    </w:r>
    <w:r>
      <w:rPr>
        <w:color w:val="354979"/>
      </w:rPr>
      <w:t>to:</w:t>
    </w:r>
    <w:r>
      <w:rPr>
        <w:color w:val="354979"/>
        <w:spacing w:val="-1"/>
      </w:rPr>
      <w:t xml:space="preserve"> </w:t>
    </w:r>
    <w:r>
      <w:rPr>
        <w:b/>
        <w:color w:val="354979"/>
      </w:rPr>
      <w:t>Commissioner@gwent.police.uk</w:t>
    </w:r>
    <w:r>
      <w:rPr>
        <w:color w:val="354979"/>
      </w:rPr>
      <w:t>.</w:t>
    </w:r>
    <w:r>
      <w:rPr>
        <w:color w:val="354979"/>
        <w:spacing w:val="-5"/>
      </w:rPr>
      <w:t xml:space="preserve"> </w:t>
    </w:r>
    <w:r>
      <w:rPr>
        <w:color w:val="354979"/>
      </w:rPr>
      <w:t>Translation</w:t>
    </w:r>
    <w:r>
      <w:rPr>
        <w:color w:val="354979"/>
        <w:spacing w:val="-1"/>
      </w:rPr>
      <w:t xml:space="preserve"> </w:t>
    </w:r>
    <w:r>
      <w:rPr>
        <w:color w:val="354979"/>
      </w:rPr>
      <w:t>services</w:t>
    </w:r>
    <w:r>
      <w:rPr>
        <w:color w:val="354979"/>
        <w:spacing w:val="-2"/>
      </w:rPr>
      <w:t xml:space="preserve"> </w:t>
    </w:r>
    <w:r>
      <w:rPr>
        <w:color w:val="354979"/>
      </w:rPr>
      <w:t>will</w:t>
    </w:r>
    <w:r>
      <w:rPr>
        <w:color w:val="354979"/>
        <w:spacing w:val="-2"/>
      </w:rPr>
      <w:t xml:space="preserve"> </w:t>
    </w:r>
    <w:r>
      <w:rPr>
        <w:color w:val="354979"/>
      </w:rPr>
      <w:t>be</w:t>
    </w:r>
    <w:r>
      <w:rPr>
        <w:color w:val="354979"/>
        <w:spacing w:val="-2"/>
      </w:rPr>
      <w:t xml:space="preserve"> </w:t>
    </w:r>
    <w:r>
      <w:rPr>
        <w:color w:val="354979"/>
      </w:rPr>
      <w:t>provided.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67C1" w14:textId="77777777" w:rsidR="004D7C91" w:rsidRDefault="004D7C91" w:rsidP="00D40FE5">
      <w:r>
        <w:separator/>
      </w:r>
    </w:p>
  </w:footnote>
  <w:footnote w:type="continuationSeparator" w:id="0">
    <w:p w14:paraId="082E2304" w14:textId="77777777" w:rsidR="004D7C91" w:rsidRDefault="004D7C91" w:rsidP="00D4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D5B8" w14:textId="77777777" w:rsidR="00641CF8" w:rsidRDefault="00641CF8" w:rsidP="00641CF8">
    <w:pPr>
      <w:pStyle w:val="Title"/>
      <w:ind w:left="0"/>
    </w:pPr>
    <w:r>
      <w:rPr>
        <w:color w:val="354979"/>
      </w:rPr>
      <w:t>Swyddfa</w:t>
    </w:r>
    <w:r>
      <w:rPr>
        <w:color w:val="354979"/>
        <w:spacing w:val="-2"/>
      </w:rPr>
      <w:t xml:space="preserve"> </w:t>
    </w:r>
    <w:r>
      <w:rPr>
        <w:color w:val="354979"/>
      </w:rPr>
      <w:t>Comisynydd</w:t>
    </w:r>
    <w:r>
      <w:rPr>
        <w:color w:val="354979"/>
        <w:spacing w:val="-3"/>
      </w:rPr>
      <w:t xml:space="preserve"> </w:t>
    </w:r>
    <w:r>
      <w:rPr>
        <w:color w:val="354979"/>
      </w:rPr>
      <w:t>yr</w:t>
    </w:r>
    <w:r>
      <w:rPr>
        <w:color w:val="354979"/>
        <w:spacing w:val="-3"/>
      </w:rPr>
      <w:t xml:space="preserve"> </w:t>
    </w:r>
    <w:r>
      <w:rPr>
        <w:color w:val="354979"/>
      </w:rPr>
      <w:t>Heddlu</w:t>
    </w:r>
    <w:r>
      <w:rPr>
        <w:color w:val="354979"/>
        <w:spacing w:val="-3"/>
      </w:rPr>
      <w:t xml:space="preserve"> </w:t>
    </w:r>
    <w:r>
      <w:rPr>
        <w:color w:val="354979"/>
      </w:rPr>
      <w:t>a</w:t>
    </w:r>
    <w:r>
      <w:rPr>
        <w:color w:val="354979"/>
        <w:spacing w:val="-3"/>
      </w:rPr>
      <w:t xml:space="preserve"> </w:t>
    </w:r>
    <w:r>
      <w:rPr>
        <w:color w:val="354979"/>
      </w:rPr>
      <w:t>Throseddu</w:t>
    </w:r>
    <w:r>
      <w:rPr>
        <w:color w:val="354979"/>
        <w:spacing w:val="-2"/>
      </w:rPr>
      <w:t xml:space="preserve"> </w:t>
    </w:r>
    <w:r>
      <w:rPr>
        <w:color w:val="354979"/>
      </w:rPr>
      <w:t>Gwent</w:t>
    </w:r>
    <w:r>
      <w:rPr>
        <w:color w:val="354979"/>
        <w:spacing w:val="-1"/>
      </w:rPr>
      <w:t xml:space="preserve"> </w:t>
    </w:r>
    <w:r>
      <w:rPr>
        <w:color w:val="354979"/>
      </w:rPr>
      <w:t>│</w:t>
    </w:r>
    <w:r>
      <w:rPr>
        <w:color w:val="354979"/>
        <w:spacing w:val="-2"/>
      </w:rPr>
      <w:t xml:space="preserve"> </w:t>
    </w:r>
    <w:r>
      <w:rPr>
        <w:color w:val="354979"/>
      </w:rPr>
      <w:t>Office</w:t>
    </w:r>
    <w:r>
      <w:rPr>
        <w:color w:val="354979"/>
        <w:spacing w:val="-2"/>
      </w:rPr>
      <w:t xml:space="preserve"> </w:t>
    </w:r>
    <w:r>
      <w:rPr>
        <w:color w:val="354979"/>
      </w:rPr>
      <w:t>of</w:t>
    </w:r>
    <w:r>
      <w:rPr>
        <w:color w:val="354979"/>
        <w:spacing w:val="-2"/>
      </w:rPr>
      <w:t xml:space="preserve"> </w:t>
    </w:r>
    <w:r>
      <w:rPr>
        <w:color w:val="354979"/>
      </w:rPr>
      <w:t>the</w:t>
    </w:r>
    <w:r>
      <w:rPr>
        <w:color w:val="354979"/>
        <w:spacing w:val="-2"/>
      </w:rPr>
      <w:t xml:space="preserve"> </w:t>
    </w:r>
    <w:r>
      <w:rPr>
        <w:color w:val="354979"/>
      </w:rPr>
      <w:t>Police</w:t>
    </w:r>
    <w:r>
      <w:rPr>
        <w:color w:val="354979"/>
        <w:spacing w:val="-2"/>
      </w:rPr>
      <w:t xml:space="preserve"> </w:t>
    </w:r>
    <w:r>
      <w:rPr>
        <w:color w:val="354979"/>
      </w:rPr>
      <w:t>and</w:t>
    </w:r>
    <w:r>
      <w:rPr>
        <w:color w:val="354979"/>
        <w:spacing w:val="-3"/>
      </w:rPr>
      <w:t xml:space="preserve"> </w:t>
    </w:r>
    <w:r>
      <w:rPr>
        <w:color w:val="354979"/>
      </w:rPr>
      <w:t>Crime</w:t>
    </w:r>
    <w:r>
      <w:rPr>
        <w:color w:val="354979"/>
        <w:spacing w:val="-3"/>
      </w:rPr>
      <w:t xml:space="preserve"> </w:t>
    </w:r>
    <w:r>
      <w:rPr>
        <w:color w:val="354979"/>
      </w:rPr>
      <w:t>Commissioner</w:t>
    </w:r>
    <w:r>
      <w:rPr>
        <w:color w:val="354979"/>
        <w:spacing w:val="-2"/>
      </w:rPr>
      <w:t xml:space="preserve"> </w:t>
    </w:r>
    <w:r>
      <w:rPr>
        <w:color w:val="354979"/>
      </w:rPr>
      <w:t>for</w:t>
    </w:r>
    <w:r>
      <w:rPr>
        <w:color w:val="354979"/>
        <w:spacing w:val="-2"/>
      </w:rPr>
      <w:t xml:space="preserve"> </w:t>
    </w:r>
    <w:r>
      <w:rPr>
        <w:color w:val="354979"/>
      </w:rPr>
      <w:t>Gwent</w:t>
    </w:r>
  </w:p>
  <w:p w14:paraId="66DDBFD2" w14:textId="77777777" w:rsidR="00641CF8" w:rsidRDefault="00641CF8" w:rsidP="00641CF8">
    <w:pPr>
      <w:pStyle w:val="BodyText"/>
      <w:spacing w:before="153" w:line="250" w:lineRule="auto"/>
      <w:ind w:left="0" w:right="5245"/>
    </w:pPr>
    <w:r>
      <w:rPr>
        <w:noProof/>
      </w:rPr>
      <w:drawing>
        <wp:anchor distT="0" distB="0" distL="0" distR="0" simplePos="0" relativeHeight="251659264" behindDoc="0" locked="0" layoutInCell="1" allowOverlap="1" wp14:anchorId="4C8C3180" wp14:editId="3953EAC5">
          <wp:simplePos x="0" y="0"/>
          <wp:positionH relativeFrom="page">
            <wp:posOffset>4498390</wp:posOffset>
          </wp:positionH>
          <wp:positionV relativeFrom="paragraph">
            <wp:posOffset>256978</wp:posOffset>
          </wp:positionV>
          <wp:extent cx="2374011" cy="1050326"/>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74011" cy="1050326"/>
                  </a:xfrm>
                  <a:prstGeom prst="rect">
                    <a:avLst/>
                  </a:prstGeom>
                </pic:spPr>
              </pic:pic>
            </a:graphicData>
          </a:graphic>
        </wp:anchor>
      </w:drawing>
    </w:r>
    <w:r>
      <w:rPr>
        <w:color w:val="354979"/>
      </w:rPr>
      <w:t>Pencadlys yr Heddlu Gwent │Gwent Police Headquarters</w:t>
    </w:r>
    <w:r>
      <w:rPr>
        <w:color w:val="354979"/>
        <w:spacing w:val="-47"/>
      </w:rPr>
      <w:t xml:space="preserve"> </w:t>
    </w:r>
    <w:r>
      <w:rPr>
        <w:color w:val="354979"/>
      </w:rPr>
      <w:t>Ffordd Parc Llantarnam │ Llantarnam Park Way</w:t>
    </w:r>
    <w:r>
      <w:rPr>
        <w:color w:val="354979"/>
        <w:spacing w:val="1"/>
      </w:rPr>
      <w:t xml:space="preserve"> </w:t>
    </w:r>
    <w:r>
      <w:rPr>
        <w:color w:val="354979"/>
      </w:rPr>
      <w:t>Llantarnam</w:t>
    </w:r>
  </w:p>
  <w:p w14:paraId="6414BC2B" w14:textId="77777777" w:rsidR="00641CF8" w:rsidRDefault="00641CF8" w:rsidP="00641CF8">
    <w:pPr>
      <w:pStyle w:val="BodyText"/>
      <w:spacing w:line="249" w:lineRule="auto"/>
      <w:ind w:left="0" w:right="8075"/>
    </w:pPr>
    <w:r>
      <w:rPr>
        <w:color w:val="354979"/>
      </w:rPr>
      <w:t>Cwmbrân │ Cwmbran</w:t>
    </w:r>
    <w:r>
      <w:rPr>
        <w:color w:val="354979"/>
        <w:spacing w:val="-47"/>
      </w:rPr>
      <w:t xml:space="preserve"> </w:t>
    </w:r>
    <w:r>
      <w:rPr>
        <w:color w:val="354979"/>
      </w:rPr>
      <w:t>Torfaen</w:t>
    </w:r>
  </w:p>
  <w:p w14:paraId="0A83B882" w14:textId="77777777" w:rsidR="00641CF8" w:rsidRDefault="00641CF8" w:rsidP="00641CF8">
    <w:pPr>
      <w:pStyle w:val="BodyText"/>
      <w:ind w:left="0"/>
    </w:pPr>
    <w:r>
      <w:rPr>
        <w:color w:val="354979"/>
      </w:rPr>
      <w:t>NP44</w:t>
    </w:r>
    <w:r>
      <w:rPr>
        <w:color w:val="354979"/>
        <w:spacing w:val="-4"/>
      </w:rPr>
      <w:t xml:space="preserve"> </w:t>
    </w:r>
    <w:r>
      <w:rPr>
        <w:color w:val="354979"/>
      </w:rPr>
      <w:t>3FW</w:t>
    </w:r>
  </w:p>
  <w:p w14:paraId="7A4A0281" w14:textId="77777777" w:rsidR="00641CF8" w:rsidRDefault="00641CF8" w:rsidP="00641CF8">
    <w:pPr>
      <w:pStyle w:val="BodyText"/>
      <w:spacing w:before="153"/>
      <w:ind w:left="0"/>
    </w:pPr>
    <w:r>
      <w:rPr>
        <w:color w:val="354979"/>
      </w:rPr>
      <w:t>Ffôn</w:t>
    </w:r>
    <w:r>
      <w:rPr>
        <w:color w:val="354979"/>
        <w:spacing w:val="-6"/>
      </w:rPr>
      <w:t xml:space="preserve"> </w:t>
    </w:r>
    <w:r>
      <w:rPr>
        <w:color w:val="354979"/>
      </w:rPr>
      <w:t>│</w:t>
    </w:r>
    <w:r>
      <w:rPr>
        <w:color w:val="354979"/>
        <w:spacing w:val="-8"/>
      </w:rPr>
      <w:t xml:space="preserve"> </w:t>
    </w:r>
    <w:r>
      <w:rPr>
        <w:color w:val="354979"/>
      </w:rPr>
      <w:t>Tel:</w:t>
    </w:r>
    <w:r>
      <w:rPr>
        <w:color w:val="354979"/>
        <w:spacing w:val="-6"/>
      </w:rPr>
      <w:t xml:space="preserve"> </w:t>
    </w:r>
    <w:r>
      <w:rPr>
        <w:color w:val="354979"/>
      </w:rPr>
      <w:t>01633</w:t>
    </w:r>
    <w:r>
      <w:rPr>
        <w:color w:val="354979"/>
        <w:spacing w:val="-6"/>
      </w:rPr>
      <w:t xml:space="preserve"> </w:t>
    </w:r>
    <w:r>
      <w:rPr>
        <w:color w:val="354979"/>
      </w:rPr>
      <w:t>642</w:t>
    </w:r>
    <w:r>
      <w:rPr>
        <w:color w:val="354979"/>
        <w:spacing w:val="-6"/>
      </w:rPr>
      <w:t xml:space="preserve"> </w:t>
    </w:r>
    <w:r>
      <w:rPr>
        <w:color w:val="354979"/>
      </w:rPr>
      <w:t>200</w:t>
    </w:r>
  </w:p>
  <w:p w14:paraId="044F004F" w14:textId="77777777" w:rsidR="00641CF8" w:rsidRDefault="00641CF8" w:rsidP="00641CF8">
    <w:pPr>
      <w:pStyle w:val="BodyText"/>
      <w:spacing w:before="9" w:line="249" w:lineRule="auto"/>
      <w:ind w:left="0" w:right="6011"/>
    </w:pPr>
    <w:r>
      <w:rPr>
        <w:color w:val="354979"/>
      </w:rPr>
      <w:t xml:space="preserve">E-bost │ Email: </w:t>
    </w:r>
    <w:hyperlink r:id="rId2">
      <w:r>
        <w:rPr>
          <w:color w:val="354979"/>
        </w:rPr>
        <w:t>commissioner@gwent.police.uk</w:t>
      </w:r>
    </w:hyperlink>
    <w:r>
      <w:rPr>
        <w:color w:val="354979"/>
        <w:spacing w:val="-47"/>
      </w:rPr>
      <w:t xml:space="preserve"> </w:t>
    </w:r>
    <w:r>
      <w:rPr>
        <w:color w:val="354979"/>
      </w:rPr>
      <w:t>Gwe</w:t>
    </w:r>
    <w:r>
      <w:rPr>
        <w:color w:val="354979"/>
        <w:spacing w:val="-1"/>
      </w:rPr>
      <w:t xml:space="preserve"> </w:t>
    </w:r>
    <w:r>
      <w:rPr>
        <w:color w:val="354979"/>
      </w:rPr>
      <w:t>│</w:t>
    </w:r>
    <w:r>
      <w:rPr>
        <w:color w:val="354979"/>
        <w:spacing w:val="-1"/>
      </w:rPr>
      <w:t xml:space="preserve"> </w:t>
    </w:r>
    <w:r>
      <w:rPr>
        <w:color w:val="354979"/>
      </w:rPr>
      <w:t>Web:</w:t>
    </w:r>
    <w:r>
      <w:rPr>
        <w:color w:val="354979"/>
        <w:spacing w:val="-2"/>
      </w:rPr>
      <w:t xml:space="preserve"> </w:t>
    </w:r>
    <w:hyperlink r:id="rId3">
      <w:r>
        <w:rPr>
          <w:color w:val="354979"/>
        </w:rPr>
        <w:t>www.gwent.pcc.police.uk</w:t>
      </w:r>
    </w:hyperlink>
  </w:p>
  <w:p w14:paraId="21412DCC" w14:textId="6362574A" w:rsidR="00641CF8" w:rsidRDefault="00641CF8" w:rsidP="00641CF8">
    <w:pPr>
      <w:pStyle w:val="Title"/>
      <w:spacing w:before="145"/>
      <w:ind w:left="0"/>
    </w:pPr>
    <w:r>
      <w:rPr>
        <w:color w:val="354979"/>
      </w:rPr>
      <w:t>Comisiynydd</w:t>
    </w:r>
    <w:r>
      <w:rPr>
        <w:color w:val="354979"/>
        <w:spacing w:val="-3"/>
      </w:rPr>
      <w:t xml:space="preserve"> </w:t>
    </w:r>
    <w:r>
      <w:rPr>
        <w:color w:val="354979"/>
      </w:rPr>
      <w:t>Heddlu</w:t>
    </w:r>
    <w:r>
      <w:rPr>
        <w:color w:val="354979"/>
        <w:spacing w:val="-3"/>
      </w:rPr>
      <w:t xml:space="preserve"> </w:t>
    </w:r>
    <w:r>
      <w:rPr>
        <w:color w:val="354979"/>
      </w:rPr>
      <w:t>a</w:t>
    </w:r>
    <w:r>
      <w:rPr>
        <w:color w:val="354979"/>
        <w:spacing w:val="-4"/>
      </w:rPr>
      <w:t xml:space="preserve"> </w:t>
    </w:r>
    <w:r>
      <w:rPr>
        <w:color w:val="354979"/>
      </w:rPr>
      <w:t>Throseddu</w:t>
    </w:r>
    <w:r>
      <w:rPr>
        <w:color w:val="354979"/>
        <w:spacing w:val="-2"/>
      </w:rPr>
      <w:t xml:space="preserve"> </w:t>
    </w:r>
    <w:r>
      <w:rPr>
        <w:color w:val="354979"/>
      </w:rPr>
      <w:t>Gwent</w:t>
    </w:r>
    <w:r>
      <w:rPr>
        <w:color w:val="354979"/>
        <w:spacing w:val="-3"/>
      </w:rPr>
      <w:t xml:space="preserve"> </w:t>
    </w:r>
    <w:r>
      <w:rPr>
        <w:color w:val="354979"/>
      </w:rPr>
      <w:t>|</w:t>
    </w:r>
    <w:r>
      <w:rPr>
        <w:color w:val="354979"/>
        <w:spacing w:val="-3"/>
      </w:rPr>
      <w:t xml:space="preserve"> </w:t>
    </w:r>
    <w:r>
      <w:rPr>
        <w:color w:val="354979"/>
      </w:rPr>
      <w:t>Police</w:t>
    </w:r>
    <w:r>
      <w:rPr>
        <w:color w:val="354979"/>
        <w:spacing w:val="-2"/>
      </w:rPr>
      <w:t xml:space="preserve"> </w:t>
    </w:r>
    <w:r>
      <w:rPr>
        <w:color w:val="354979"/>
      </w:rPr>
      <w:t>and</w:t>
    </w:r>
    <w:r>
      <w:rPr>
        <w:color w:val="354979"/>
        <w:spacing w:val="-3"/>
      </w:rPr>
      <w:t xml:space="preserve"> </w:t>
    </w:r>
    <w:r>
      <w:rPr>
        <w:color w:val="354979"/>
      </w:rPr>
      <w:t>Crime</w:t>
    </w:r>
    <w:r>
      <w:rPr>
        <w:color w:val="354979"/>
        <w:spacing w:val="-4"/>
      </w:rPr>
      <w:t xml:space="preserve"> </w:t>
    </w:r>
    <w:r>
      <w:rPr>
        <w:color w:val="354979"/>
      </w:rPr>
      <w:t>Commissioner</w:t>
    </w:r>
    <w:r>
      <w:rPr>
        <w:color w:val="354979"/>
        <w:spacing w:val="-3"/>
      </w:rPr>
      <w:t xml:space="preserve"> </w:t>
    </w:r>
    <w:r>
      <w:rPr>
        <w:color w:val="354979"/>
      </w:rPr>
      <w:t>for</w:t>
    </w:r>
    <w:r>
      <w:rPr>
        <w:color w:val="354979"/>
        <w:spacing w:val="-2"/>
      </w:rPr>
      <w:t xml:space="preserve"> </w:t>
    </w:r>
    <w:r>
      <w:rPr>
        <w:color w:val="354979"/>
      </w:rPr>
      <w:t>Gwent:</w:t>
    </w:r>
    <w:r>
      <w:rPr>
        <w:color w:val="354979"/>
        <w:spacing w:val="-3"/>
      </w:rPr>
      <w:t xml:space="preserve"> </w:t>
    </w:r>
    <w:r>
      <w:rPr>
        <w:color w:val="354979"/>
      </w:rPr>
      <w:t>Jeff</w:t>
    </w:r>
    <w:r>
      <w:rPr>
        <w:color w:val="354979"/>
        <w:spacing w:val="-3"/>
      </w:rPr>
      <w:t xml:space="preserve"> </w:t>
    </w:r>
    <w:r>
      <w:rPr>
        <w:color w:val="354979"/>
      </w:rPr>
      <w:t>Cuthbert</w:t>
    </w:r>
    <w:r>
      <w:rPr>
        <w:color w:val="354979"/>
        <w:spacing w:val="-3"/>
      </w:rPr>
      <w:t xml:space="preserve"> </w:t>
    </w:r>
    <w:r>
      <w:rPr>
        <w:color w:val="354979"/>
      </w:rPr>
      <w:t>B.Sc.,</w:t>
    </w:r>
    <w:r>
      <w:rPr>
        <w:color w:val="354979"/>
        <w:spacing w:val="-4"/>
      </w:rPr>
      <w:t xml:space="preserve"> </w:t>
    </w:r>
    <w:r>
      <w:rPr>
        <w:color w:val="354979"/>
      </w:rPr>
      <w:t>MCIPD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917"/>
    <w:multiLevelType w:val="hybridMultilevel"/>
    <w:tmpl w:val="5934A160"/>
    <w:lvl w:ilvl="0" w:tplc="854A082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 w15:restartNumberingAfterBreak="0">
    <w:nsid w:val="4D2E1FB3"/>
    <w:multiLevelType w:val="hybridMultilevel"/>
    <w:tmpl w:val="2750A060"/>
    <w:lvl w:ilvl="0" w:tplc="EB468702">
      <w:start w:val="1"/>
      <w:numFmt w:val="decimal"/>
      <w:lvlText w:val="%1."/>
      <w:lvlJc w:val="left"/>
      <w:pPr>
        <w:ind w:left="680" w:hanging="68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16cid:durableId="1468628256">
    <w:abstractNumId w:val="1"/>
  </w:num>
  <w:num w:numId="2" w16cid:durableId="19721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3C"/>
    <w:rsid w:val="00074434"/>
    <w:rsid w:val="000D1A3C"/>
    <w:rsid w:val="00126AEC"/>
    <w:rsid w:val="0013147B"/>
    <w:rsid w:val="00185572"/>
    <w:rsid w:val="001C1B44"/>
    <w:rsid w:val="00211B5B"/>
    <w:rsid w:val="00290A1A"/>
    <w:rsid w:val="002C5F57"/>
    <w:rsid w:val="002D5C9E"/>
    <w:rsid w:val="002E251F"/>
    <w:rsid w:val="0031050A"/>
    <w:rsid w:val="003350A5"/>
    <w:rsid w:val="00393BB5"/>
    <w:rsid w:val="003E7DA0"/>
    <w:rsid w:val="00444FB5"/>
    <w:rsid w:val="004B4E73"/>
    <w:rsid w:val="004C208C"/>
    <w:rsid w:val="004C6E26"/>
    <w:rsid w:val="004D7C91"/>
    <w:rsid w:val="005163CD"/>
    <w:rsid w:val="00535421"/>
    <w:rsid w:val="00555AF8"/>
    <w:rsid w:val="00556192"/>
    <w:rsid w:val="005725B0"/>
    <w:rsid w:val="00593590"/>
    <w:rsid w:val="005D2E2D"/>
    <w:rsid w:val="005D71A1"/>
    <w:rsid w:val="005E069C"/>
    <w:rsid w:val="005E2260"/>
    <w:rsid w:val="005F4AE2"/>
    <w:rsid w:val="005F6655"/>
    <w:rsid w:val="006059CC"/>
    <w:rsid w:val="00626EE0"/>
    <w:rsid w:val="00630D55"/>
    <w:rsid w:val="00641CF8"/>
    <w:rsid w:val="00691CE6"/>
    <w:rsid w:val="006B4FFF"/>
    <w:rsid w:val="006D3F30"/>
    <w:rsid w:val="0070363A"/>
    <w:rsid w:val="00735554"/>
    <w:rsid w:val="0074567C"/>
    <w:rsid w:val="007B3AAD"/>
    <w:rsid w:val="007C1856"/>
    <w:rsid w:val="007C6B1E"/>
    <w:rsid w:val="007F76C9"/>
    <w:rsid w:val="008225D6"/>
    <w:rsid w:val="008407B9"/>
    <w:rsid w:val="00845FB2"/>
    <w:rsid w:val="00861A03"/>
    <w:rsid w:val="009048DD"/>
    <w:rsid w:val="009906FB"/>
    <w:rsid w:val="00991341"/>
    <w:rsid w:val="009D7C36"/>
    <w:rsid w:val="00A160C3"/>
    <w:rsid w:val="00A541E0"/>
    <w:rsid w:val="00A63C8E"/>
    <w:rsid w:val="00A67545"/>
    <w:rsid w:val="00A70E53"/>
    <w:rsid w:val="00A71747"/>
    <w:rsid w:val="00A82DEC"/>
    <w:rsid w:val="00AB286E"/>
    <w:rsid w:val="00BA5A70"/>
    <w:rsid w:val="00BC18F2"/>
    <w:rsid w:val="00BE73BA"/>
    <w:rsid w:val="00C36195"/>
    <w:rsid w:val="00C93325"/>
    <w:rsid w:val="00CA052B"/>
    <w:rsid w:val="00CA0B07"/>
    <w:rsid w:val="00CC7DF1"/>
    <w:rsid w:val="00CD42B0"/>
    <w:rsid w:val="00CD55B2"/>
    <w:rsid w:val="00CE651E"/>
    <w:rsid w:val="00CE7545"/>
    <w:rsid w:val="00D05EDB"/>
    <w:rsid w:val="00D12D1D"/>
    <w:rsid w:val="00D215AE"/>
    <w:rsid w:val="00D40FE5"/>
    <w:rsid w:val="00D658C0"/>
    <w:rsid w:val="00D67B1B"/>
    <w:rsid w:val="00D90990"/>
    <w:rsid w:val="00D9165C"/>
    <w:rsid w:val="00DA2003"/>
    <w:rsid w:val="00DA213C"/>
    <w:rsid w:val="00DA45E1"/>
    <w:rsid w:val="00DB6594"/>
    <w:rsid w:val="00E0621D"/>
    <w:rsid w:val="00E135C9"/>
    <w:rsid w:val="00E149E3"/>
    <w:rsid w:val="00E26173"/>
    <w:rsid w:val="00E730D1"/>
    <w:rsid w:val="00EA4ECB"/>
    <w:rsid w:val="00EB2F0F"/>
    <w:rsid w:val="00F063F5"/>
    <w:rsid w:val="00F34683"/>
    <w:rsid w:val="00F84EF3"/>
    <w:rsid w:val="00FD55F5"/>
    <w:rsid w:val="00FE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52B66"/>
  <w15:docId w15:val="{BFC434BA-4DB9-45F5-A345-56DC5626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102"/>
    </w:pPr>
    <w:rPr>
      <w:sz w:val="18"/>
      <w:szCs w:val="18"/>
    </w:rPr>
  </w:style>
  <w:style w:type="paragraph" w:styleId="Title">
    <w:name w:val="Title"/>
    <w:basedOn w:val="Normal"/>
    <w:uiPriority w:val="10"/>
    <w:qFormat/>
    <w:pPr>
      <w:spacing w:before="64"/>
      <w:ind w:left="102"/>
    </w:pPr>
    <w:rPr>
      <w:b/>
      <w:bC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0FE5"/>
    <w:pPr>
      <w:tabs>
        <w:tab w:val="center" w:pos="4513"/>
        <w:tab w:val="right" w:pos="9026"/>
      </w:tabs>
    </w:pPr>
  </w:style>
  <w:style w:type="character" w:customStyle="1" w:styleId="HeaderChar">
    <w:name w:val="Header Char"/>
    <w:basedOn w:val="DefaultParagraphFont"/>
    <w:link w:val="Header"/>
    <w:uiPriority w:val="99"/>
    <w:rsid w:val="00D40FE5"/>
    <w:rPr>
      <w:rFonts w:ascii="Arial" w:eastAsia="Arial" w:hAnsi="Arial" w:cs="Arial"/>
    </w:rPr>
  </w:style>
  <w:style w:type="paragraph" w:styleId="Footer">
    <w:name w:val="footer"/>
    <w:basedOn w:val="Normal"/>
    <w:link w:val="FooterChar"/>
    <w:uiPriority w:val="99"/>
    <w:unhideWhenUsed/>
    <w:rsid w:val="00D40FE5"/>
    <w:pPr>
      <w:tabs>
        <w:tab w:val="center" w:pos="4513"/>
        <w:tab w:val="right" w:pos="9026"/>
      </w:tabs>
    </w:pPr>
  </w:style>
  <w:style w:type="character" w:customStyle="1" w:styleId="FooterChar">
    <w:name w:val="Footer Char"/>
    <w:basedOn w:val="DefaultParagraphFont"/>
    <w:link w:val="Footer"/>
    <w:uiPriority w:val="99"/>
    <w:rsid w:val="00D40FE5"/>
    <w:rPr>
      <w:rFonts w:ascii="Arial" w:eastAsia="Arial" w:hAnsi="Arial" w:cs="Arial"/>
    </w:rPr>
  </w:style>
  <w:style w:type="paragraph" w:styleId="BodyTextIndent2">
    <w:name w:val="Body Text Indent 2"/>
    <w:basedOn w:val="Normal"/>
    <w:link w:val="BodyTextIndent2Char"/>
    <w:uiPriority w:val="99"/>
    <w:semiHidden/>
    <w:unhideWhenUsed/>
    <w:rsid w:val="00626EE0"/>
    <w:pPr>
      <w:spacing w:after="120" w:line="480" w:lineRule="auto"/>
      <w:ind w:left="283"/>
    </w:pPr>
  </w:style>
  <w:style w:type="character" w:customStyle="1" w:styleId="BodyTextIndent2Char">
    <w:name w:val="Body Text Indent 2 Char"/>
    <w:basedOn w:val="DefaultParagraphFont"/>
    <w:link w:val="BodyTextIndent2"/>
    <w:uiPriority w:val="99"/>
    <w:semiHidden/>
    <w:rsid w:val="00626EE0"/>
    <w:rPr>
      <w:rFonts w:ascii="Arial" w:eastAsia="Arial" w:hAnsi="Arial" w:cs="Arial"/>
    </w:rPr>
  </w:style>
  <w:style w:type="character" w:styleId="CommentReference">
    <w:name w:val="annotation reference"/>
    <w:basedOn w:val="DefaultParagraphFont"/>
    <w:uiPriority w:val="99"/>
    <w:semiHidden/>
    <w:unhideWhenUsed/>
    <w:rsid w:val="007B3AAD"/>
    <w:rPr>
      <w:sz w:val="16"/>
      <w:szCs w:val="16"/>
    </w:rPr>
  </w:style>
  <w:style w:type="paragraph" w:styleId="CommentText">
    <w:name w:val="annotation text"/>
    <w:basedOn w:val="Normal"/>
    <w:link w:val="CommentTextChar"/>
    <w:uiPriority w:val="99"/>
    <w:unhideWhenUsed/>
    <w:rsid w:val="007B3AAD"/>
    <w:rPr>
      <w:sz w:val="20"/>
      <w:szCs w:val="20"/>
    </w:rPr>
  </w:style>
  <w:style w:type="character" w:customStyle="1" w:styleId="CommentTextChar">
    <w:name w:val="Comment Text Char"/>
    <w:basedOn w:val="DefaultParagraphFont"/>
    <w:link w:val="CommentText"/>
    <w:uiPriority w:val="99"/>
    <w:rsid w:val="007B3AA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B3AAD"/>
    <w:rPr>
      <w:b/>
      <w:bCs/>
    </w:rPr>
  </w:style>
  <w:style w:type="character" w:customStyle="1" w:styleId="CommentSubjectChar">
    <w:name w:val="Comment Subject Char"/>
    <w:basedOn w:val="CommentTextChar"/>
    <w:link w:val="CommentSubject"/>
    <w:uiPriority w:val="99"/>
    <w:semiHidden/>
    <w:rsid w:val="007B3AA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0706">
      <w:bodyDiv w:val="1"/>
      <w:marLeft w:val="0"/>
      <w:marRight w:val="0"/>
      <w:marTop w:val="0"/>
      <w:marBottom w:val="0"/>
      <w:divBdr>
        <w:top w:val="none" w:sz="0" w:space="0" w:color="auto"/>
        <w:left w:val="none" w:sz="0" w:space="0" w:color="auto"/>
        <w:bottom w:val="none" w:sz="0" w:space="0" w:color="auto"/>
        <w:right w:val="none" w:sz="0" w:space="0" w:color="auto"/>
      </w:divBdr>
    </w:div>
    <w:div w:id="137719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gwent.pcc.police.uk/" TargetMode="External"/><Relationship Id="rId2" Type="http://schemas.openxmlformats.org/officeDocument/2006/relationships/hyperlink" Target="mailto:commissioner@gwent.police.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E0D50-1AA9-44C1-91C3-F2062546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Garwood, Darren</dc:creator>
  <cp:lastModifiedBy>Regan, Joanne</cp:lastModifiedBy>
  <cp:revision>2</cp:revision>
  <dcterms:created xsi:type="dcterms:W3CDTF">2024-02-19T15:56:00Z</dcterms:created>
  <dcterms:modified xsi:type="dcterms:W3CDTF">2024-02-19T15:56:00Z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Adobe InDesign 17.1 (Macintosh)</vt:lpwstr>
  </property>
  <property fmtid="{D5CDD505-2E9C-101B-9397-08002B2CF9AE}" pid="4" name="LastSaved">
    <vt:filetime>2022-02-08T00:00:00Z</vt:filetime>
  </property>
  <property fmtid="{D5CDD505-2E9C-101B-9397-08002B2CF9AE}" pid="5" name="MSIP_Label_f2acd28b-79a3-4a0f-b0ff-4b75658b1549_Enabled">
    <vt:lpwstr>true</vt:lpwstr>
  </property>
  <property fmtid="{D5CDD505-2E9C-101B-9397-08002B2CF9AE}" pid="6" name="MSIP_Label_f2acd28b-79a3-4a0f-b0ff-4b75658b1549_SetDate">
    <vt:lpwstr>2022-02-08T10:25:49Z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dfb2a0e7-22d5-4fb4-9f89-70f53c7c9435</vt:lpwstr>
  </property>
  <property fmtid="{D5CDD505-2E9C-101B-9397-08002B2CF9AE}" pid="11" name="MSIP_Label_f2acd28b-79a3-4a0f-b0ff-4b75658b1549_ContentBits">
    <vt:lpwstr>0</vt:lpwstr>
  </property>
</Properties>
</file>