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BB807" w14:textId="11FF13FD" w:rsidR="00511C53" w:rsidRDefault="00511C53" w:rsidP="0053350F">
      <w:pPr>
        <w:rPr>
          <w:szCs w:val="23"/>
          <w:lang w:val="en-US"/>
        </w:rPr>
      </w:pPr>
    </w:p>
    <w:p w14:paraId="01AE9998" w14:textId="5094A4DD" w:rsidR="00276D54" w:rsidRDefault="00276D54" w:rsidP="0053350F">
      <w:pPr>
        <w:rPr>
          <w:szCs w:val="23"/>
          <w:lang w:val="en-US"/>
        </w:rPr>
      </w:pPr>
    </w:p>
    <w:p w14:paraId="7185A4C6" w14:textId="2F0F3A37" w:rsidR="00276D54" w:rsidRDefault="00276D54" w:rsidP="0053350F">
      <w:pPr>
        <w:rPr>
          <w:szCs w:val="23"/>
          <w:lang w:val="en-US"/>
        </w:rPr>
      </w:pPr>
    </w:p>
    <w:p w14:paraId="7639143D" w14:textId="06CA5436" w:rsidR="00276D54" w:rsidRDefault="00276D54" w:rsidP="0053350F">
      <w:pPr>
        <w:rPr>
          <w:szCs w:val="23"/>
          <w:lang w:val="en-US"/>
        </w:rPr>
      </w:pPr>
    </w:p>
    <w:p w14:paraId="1B0D4C66" w14:textId="77777777" w:rsidR="00276D54" w:rsidRDefault="00276D54" w:rsidP="0053350F">
      <w:pPr>
        <w:rPr>
          <w:szCs w:val="23"/>
          <w:lang w:val="en-US"/>
        </w:rPr>
      </w:pPr>
    </w:p>
    <w:p w14:paraId="752FC4AC" w14:textId="77777777" w:rsidR="00F82A4C" w:rsidRPr="00267AA2" w:rsidRDefault="00F82A4C" w:rsidP="00F82A4C">
      <w:pPr>
        <w:jc w:val="center"/>
        <w:rPr>
          <w:rFonts w:ascii="Arial" w:hAnsi="Arial" w:cs="Arial"/>
          <w:b/>
        </w:rPr>
      </w:pPr>
      <w:r w:rsidRPr="005A4884">
        <w:rPr>
          <w:rFonts w:ascii="Arial" w:hAnsi="Arial"/>
          <w:b/>
          <w:noProof/>
          <w:lang w:eastAsia="en-GB"/>
        </w:rPr>
        <w:drawing>
          <wp:inline distT="0" distB="0" distL="0" distR="0" wp14:anchorId="6E397124" wp14:editId="2CB661DF">
            <wp:extent cx="2105025" cy="2162175"/>
            <wp:effectExtent l="0" t="0" r="9525" b="9525"/>
            <wp:docPr id="1" name="Picture 1" descr="Final SCHT_OPCClogo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nal SCHT_OPCClogo_20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2162175"/>
                    </a:xfrm>
                    <a:prstGeom prst="rect">
                      <a:avLst/>
                    </a:prstGeom>
                    <a:noFill/>
                    <a:ln>
                      <a:noFill/>
                    </a:ln>
                  </pic:spPr>
                </pic:pic>
              </a:graphicData>
            </a:graphic>
          </wp:inline>
        </w:drawing>
      </w:r>
    </w:p>
    <w:p w14:paraId="4498FC69" w14:textId="77777777" w:rsidR="00F82A4C" w:rsidRDefault="00F82A4C" w:rsidP="00F82A4C">
      <w:pPr>
        <w:pStyle w:val="Default"/>
        <w:jc w:val="center"/>
        <w:rPr>
          <w:b/>
          <w:sz w:val="56"/>
          <w:szCs w:val="72"/>
        </w:rPr>
      </w:pPr>
    </w:p>
    <w:p w14:paraId="3C1820C9" w14:textId="77777777" w:rsidR="00F82A4C" w:rsidRDefault="00F82A4C" w:rsidP="00F82A4C">
      <w:pPr>
        <w:pStyle w:val="Default"/>
        <w:jc w:val="center"/>
        <w:rPr>
          <w:b/>
          <w:sz w:val="56"/>
          <w:szCs w:val="72"/>
        </w:rPr>
      </w:pPr>
      <w:r>
        <w:rPr>
          <w:b/>
          <w:sz w:val="56"/>
          <w:szCs w:val="72"/>
        </w:rPr>
        <w:t xml:space="preserve">Office of the Police and Crime Commissioner for </w:t>
      </w:r>
      <w:r w:rsidRPr="00F82A4C">
        <w:rPr>
          <w:b/>
          <w:sz w:val="56"/>
          <w:szCs w:val="72"/>
        </w:rPr>
        <w:t xml:space="preserve">Gwent </w:t>
      </w:r>
    </w:p>
    <w:p w14:paraId="04AE944B" w14:textId="77777777" w:rsidR="00F82A4C" w:rsidRDefault="00F82A4C" w:rsidP="00F82A4C">
      <w:pPr>
        <w:pStyle w:val="Default"/>
        <w:jc w:val="center"/>
        <w:rPr>
          <w:b/>
          <w:sz w:val="56"/>
          <w:szCs w:val="72"/>
        </w:rPr>
      </w:pPr>
    </w:p>
    <w:p w14:paraId="387BA97C" w14:textId="77777777" w:rsidR="00F82A4C" w:rsidRPr="00E047B0" w:rsidRDefault="00F82A4C" w:rsidP="00F82A4C">
      <w:pPr>
        <w:pStyle w:val="Default"/>
        <w:jc w:val="center"/>
        <w:rPr>
          <w:b/>
          <w:sz w:val="56"/>
          <w:szCs w:val="72"/>
        </w:rPr>
      </w:pPr>
      <w:r>
        <w:rPr>
          <w:b/>
          <w:sz w:val="56"/>
          <w:szCs w:val="72"/>
        </w:rPr>
        <w:t>Data Protection Impact Assessment Template</w:t>
      </w:r>
    </w:p>
    <w:p w14:paraId="7B21C246" w14:textId="77777777" w:rsidR="00F82A4C" w:rsidRDefault="00F82A4C" w:rsidP="00F82A4C">
      <w:pPr>
        <w:rPr>
          <w:rFonts w:ascii="Arial" w:hAnsi="Arial" w:cs="Arial"/>
          <w:b/>
          <w:sz w:val="28"/>
          <w:szCs w:val="28"/>
        </w:rPr>
      </w:pPr>
    </w:p>
    <w:p w14:paraId="5926FB87" w14:textId="77777777" w:rsidR="00F82A4C" w:rsidRDefault="00F82A4C" w:rsidP="00F82A4C">
      <w:pPr>
        <w:rPr>
          <w:rFonts w:ascii="Arial" w:hAnsi="Arial" w:cs="Arial"/>
          <w:b/>
          <w:sz w:val="28"/>
          <w:szCs w:val="28"/>
        </w:rPr>
      </w:pPr>
    </w:p>
    <w:tbl>
      <w:tblPr>
        <w:tblStyle w:val="TableGrid"/>
        <w:tblW w:w="0" w:type="auto"/>
        <w:tblInd w:w="-5" w:type="dxa"/>
        <w:tblLook w:val="04A0" w:firstRow="1" w:lastRow="0" w:firstColumn="1" w:lastColumn="0" w:noHBand="0" w:noVBand="1"/>
      </w:tblPr>
      <w:tblGrid>
        <w:gridCol w:w="1836"/>
        <w:gridCol w:w="1151"/>
        <w:gridCol w:w="2258"/>
        <w:gridCol w:w="3776"/>
      </w:tblGrid>
      <w:tr w:rsidR="00F82A4C" w14:paraId="51B35633" w14:textId="77777777" w:rsidTr="00246DB8">
        <w:tc>
          <w:tcPr>
            <w:tcW w:w="9021" w:type="dxa"/>
            <w:gridSpan w:val="4"/>
          </w:tcPr>
          <w:p w14:paraId="478C4CE0" w14:textId="77777777" w:rsidR="00F82A4C" w:rsidRDefault="00F82A4C" w:rsidP="00246DB8">
            <w:pPr>
              <w:jc w:val="center"/>
              <w:rPr>
                <w:rFonts w:ascii="Arial" w:hAnsi="Arial" w:cs="Arial"/>
                <w:b/>
                <w:sz w:val="28"/>
                <w:szCs w:val="24"/>
                <w:u w:val="single"/>
              </w:rPr>
            </w:pPr>
            <w:r>
              <w:rPr>
                <w:rFonts w:ascii="Arial" w:hAnsi="Arial" w:cs="Arial"/>
                <w:b/>
                <w:sz w:val="28"/>
                <w:szCs w:val="24"/>
                <w:u w:val="single"/>
              </w:rPr>
              <w:t>Version Control</w:t>
            </w:r>
          </w:p>
          <w:p w14:paraId="6C6DF740" w14:textId="77777777" w:rsidR="00F82A4C" w:rsidRDefault="00F82A4C" w:rsidP="00246DB8">
            <w:pPr>
              <w:jc w:val="center"/>
              <w:rPr>
                <w:rFonts w:ascii="Arial" w:hAnsi="Arial" w:cs="Arial"/>
                <w:b/>
                <w:sz w:val="28"/>
                <w:szCs w:val="24"/>
                <w:u w:val="single"/>
              </w:rPr>
            </w:pPr>
          </w:p>
        </w:tc>
      </w:tr>
      <w:tr w:rsidR="00F82A4C" w14:paraId="5A5E633C" w14:textId="77777777" w:rsidTr="00246DB8">
        <w:tc>
          <w:tcPr>
            <w:tcW w:w="1836" w:type="dxa"/>
          </w:tcPr>
          <w:p w14:paraId="67FEB76B" w14:textId="77777777" w:rsidR="00F82A4C" w:rsidRPr="00662007" w:rsidRDefault="00F82A4C" w:rsidP="00246DB8">
            <w:pPr>
              <w:jc w:val="center"/>
              <w:rPr>
                <w:rFonts w:ascii="Arial" w:hAnsi="Arial" w:cs="Arial"/>
                <w:b/>
                <w:sz w:val="24"/>
                <w:szCs w:val="24"/>
              </w:rPr>
            </w:pPr>
            <w:r>
              <w:rPr>
                <w:rFonts w:ascii="Arial" w:hAnsi="Arial" w:cs="Arial"/>
                <w:b/>
                <w:sz w:val="24"/>
                <w:szCs w:val="24"/>
              </w:rPr>
              <w:t>Version</w:t>
            </w:r>
          </w:p>
        </w:tc>
        <w:tc>
          <w:tcPr>
            <w:tcW w:w="1151" w:type="dxa"/>
          </w:tcPr>
          <w:p w14:paraId="31CF7C5B" w14:textId="77777777" w:rsidR="00F82A4C" w:rsidRPr="00662007" w:rsidRDefault="00F82A4C" w:rsidP="00246DB8">
            <w:pPr>
              <w:jc w:val="center"/>
              <w:rPr>
                <w:rFonts w:ascii="Arial" w:hAnsi="Arial" w:cs="Arial"/>
                <w:b/>
                <w:sz w:val="24"/>
                <w:szCs w:val="24"/>
              </w:rPr>
            </w:pPr>
            <w:r>
              <w:rPr>
                <w:rFonts w:ascii="Arial" w:hAnsi="Arial" w:cs="Arial"/>
                <w:b/>
                <w:sz w:val="24"/>
                <w:szCs w:val="24"/>
              </w:rPr>
              <w:t>Date</w:t>
            </w:r>
          </w:p>
        </w:tc>
        <w:tc>
          <w:tcPr>
            <w:tcW w:w="2258" w:type="dxa"/>
          </w:tcPr>
          <w:p w14:paraId="7FE28BE4" w14:textId="77777777" w:rsidR="00F82A4C" w:rsidRPr="00662007" w:rsidRDefault="00F82A4C" w:rsidP="00246DB8">
            <w:pPr>
              <w:jc w:val="center"/>
              <w:rPr>
                <w:rFonts w:ascii="Arial" w:hAnsi="Arial" w:cs="Arial"/>
                <w:b/>
                <w:sz w:val="24"/>
                <w:szCs w:val="24"/>
              </w:rPr>
            </w:pPr>
            <w:r>
              <w:rPr>
                <w:rFonts w:ascii="Arial" w:hAnsi="Arial" w:cs="Arial"/>
                <w:b/>
                <w:sz w:val="24"/>
                <w:szCs w:val="24"/>
              </w:rPr>
              <w:t>Amended By</w:t>
            </w:r>
          </w:p>
        </w:tc>
        <w:tc>
          <w:tcPr>
            <w:tcW w:w="3776" w:type="dxa"/>
          </w:tcPr>
          <w:p w14:paraId="311DAC0E" w14:textId="77777777" w:rsidR="00F82A4C" w:rsidRPr="00662007" w:rsidRDefault="00F82A4C" w:rsidP="00246DB8">
            <w:pPr>
              <w:jc w:val="center"/>
              <w:rPr>
                <w:rFonts w:ascii="Arial" w:hAnsi="Arial" w:cs="Arial"/>
                <w:b/>
                <w:sz w:val="24"/>
                <w:szCs w:val="24"/>
              </w:rPr>
            </w:pPr>
            <w:r>
              <w:rPr>
                <w:rFonts w:ascii="Arial" w:hAnsi="Arial" w:cs="Arial"/>
                <w:b/>
                <w:sz w:val="24"/>
                <w:szCs w:val="24"/>
              </w:rPr>
              <w:t>Reason for Issue/Amendment</w:t>
            </w:r>
          </w:p>
        </w:tc>
      </w:tr>
      <w:tr w:rsidR="00F82A4C" w14:paraId="424A56E7" w14:textId="77777777" w:rsidTr="00246DB8">
        <w:tc>
          <w:tcPr>
            <w:tcW w:w="1836" w:type="dxa"/>
          </w:tcPr>
          <w:p w14:paraId="7211DFF1" w14:textId="77777777" w:rsidR="00F82A4C" w:rsidRDefault="00F82A4C" w:rsidP="00246DB8">
            <w:pPr>
              <w:jc w:val="both"/>
              <w:rPr>
                <w:rFonts w:ascii="Arial" w:hAnsi="Arial" w:cs="Arial"/>
                <w:sz w:val="24"/>
                <w:szCs w:val="24"/>
              </w:rPr>
            </w:pPr>
          </w:p>
        </w:tc>
        <w:tc>
          <w:tcPr>
            <w:tcW w:w="1151" w:type="dxa"/>
          </w:tcPr>
          <w:p w14:paraId="32C91703" w14:textId="77777777" w:rsidR="00F82A4C" w:rsidRDefault="00F82A4C" w:rsidP="00246DB8">
            <w:pPr>
              <w:jc w:val="both"/>
              <w:rPr>
                <w:rFonts w:ascii="Arial" w:hAnsi="Arial" w:cs="Arial"/>
                <w:sz w:val="24"/>
                <w:szCs w:val="24"/>
              </w:rPr>
            </w:pPr>
          </w:p>
        </w:tc>
        <w:tc>
          <w:tcPr>
            <w:tcW w:w="2258" w:type="dxa"/>
          </w:tcPr>
          <w:p w14:paraId="6784AEAC" w14:textId="77777777" w:rsidR="00F82A4C" w:rsidRDefault="00F82A4C" w:rsidP="00246DB8">
            <w:pPr>
              <w:jc w:val="both"/>
              <w:rPr>
                <w:rFonts w:ascii="Arial" w:hAnsi="Arial" w:cs="Arial"/>
                <w:sz w:val="24"/>
                <w:szCs w:val="24"/>
              </w:rPr>
            </w:pPr>
          </w:p>
        </w:tc>
        <w:tc>
          <w:tcPr>
            <w:tcW w:w="3776" w:type="dxa"/>
          </w:tcPr>
          <w:p w14:paraId="682DDB7E" w14:textId="77777777" w:rsidR="00F82A4C" w:rsidRDefault="00F82A4C" w:rsidP="00246DB8">
            <w:pPr>
              <w:jc w:val="both"/>
              <w:rPr>
                <w:rFonts w:ascii="Arial" w:hAnsi="Arial" w:cs="Arial"/>
                <w:sz w:val="24"/>
                <w:szCs w:val="24"/>
              </w:rPr>
            </w:pPr>
          </w:p>
        </w:tc>
      </w:tr>
      <w:tr w:rsidR="00F82A4C" w14:paraId="40273102" w14:textId="77777777" w:rsidTr="00246DB8">
        <w:tc>
          <w:tcPr>
            <w:tcW w:w="1836" w:type="dxa"/>
          </w:tcPr>
          <w:p w14:paraId="38F4A580" w14:textId="77777777" w:rsidR="00F82A4C" w:rsidRDefault="00F82A4C" w:rsidP="00246DB8">
            <w:pPr>
              <w:jc w:val="both"/>
              <w:rPr>
                <w:rFonts w:ascii="Arial" w:hAnsi="Arial" w:cs="Arial"/>
                <w:sz w:val="24"/>
                <w:szCs w:val="24"/>
              </w:rPr>
            </w:pPr>
          </w:p>
        </w:tc>
        <w:tc>
          <w:tcPr>
            <w:tcW w:w="1151" w:type="dxa"/>
          </w:tcPr>
          <w:p w14:paraId="1C7DE137" w14:textId="77777777" w:rsidR="00F82A4C" w:rsidRDefault="00F82A4C" w:rsidP="00246DB8">
            <w:pPr>
              <w:jc w:val="both"/>
              <w:rPr>
                <w:rFonts w:ascii="Arial" w:hAnsi="Arial" w:cs="Arial"/>
                <w:sz w:val="24"/>
                <w:szCs w:val="24"/>
              </w:rPr>
            </w:pPr>
          </w:p>
        </w:tc>
        <w:tc>
          <w:tcPr>
            <w:tcW w:w="2258" w:type="dxa"/>
          </w:tcPr>
          <w:p w14:paraId="2435B9EC" w14:textId="77777777" w:rsidR="00F82A4C" w:rsidRDefault="00F82A4C" w:rsidP="00246DB8">
            <w:pPr>
              <w:jc w:val="both"/>
              <w:rPr>
                <w:rFonts w:ascii="Arial" w:hAnsi="Arial" w:cs="Arial"/>
                <w:sz w:val="24"/>
                <w:szCs w:val="24"/>
              </w:rPr>
            </w:pPr>
          </w:p>
        </w:tc>
        <w:tc>
          <w:tcPr>
            <w:tcW w:w="3776" w:type="dxa"/>
          </w:tcPr>
          <w:p w14:paraId="3C2A5C64" w14:textId="77777777" w:rsidR="00F82A4C" w:rsidRDefault="00F82A4C" w:rsidP="00246DB8">
            <w:pPr>
              <w:jc w:val="both"/>
              <w:rPr>
                <w:rFonts w:ascii="Arial" w:hAnsi="Arial" w:cs="Arial"/>
                <w:sz w:val="24"/>
                <w:szCs w:val="24"/>
              </w:rPr>
            </w:pPr>
          </w:p>
        </w:tc>
      </w:tr>
    </w:tbl>
    <w:p w14:paraId="3A8FFAE9" w14:textId="77777777" w:rsidR="00F82A4C" w:rsidRPr="00267AA2" w:rsidRDefault="00F82A4C" w:rsidP="00F82A4C">
      <w:pPr>
        <w:rPr>
          <w:rFonts w:ascii="Arial" w:hAnsi="Arial" w:cs="Arial"/>
          <w:b/>
          <w:sz w:val="28"/>
          <w:szCs w:val="28"/>
        </w:rPr>
      </w:pPr>
      <w:r w:rsidRPr="00267AA2">
        <w:rPr>
          <w:rFonts w:ascii="Arial" w:hAnsi="Arial" w:cs="Arial"/>
          <w:b/>
          <w:sz w:val="28"/>
          <w:szCs w:val="28"/>
        </w:rPr>
        <w:br w:type="page"/>
      </w:r>
    </w:p>
    <w:p w14:paraId="409986AD" w14:textId="77777777" w:rsidR="00511C53" w:rsidRDefault="00F82A4C" w:rsidP="0053350F">
      <w:pPr>
        <w:rPr>
          <w:rFonts w:ascii="Arial" w:hAnsi="Arial" w:cs="Arial"/>
          <w:sz w:val="24"/>
          <w:szCs w:val="24"/>
          <w:lang w:val="en-US"/>
        </w:rPr>
      </w:pPr>
      <w:r w:rsidRPr="00F82A4C">
        <w:rPr>
          <w:rFonts w:ascii="Arial" w:hAnsi="Arial" w:cs="Arial"/>
          <w:sz w:val="24"/>
          <w:szCs w:val="24"/>
          <w:lang w:val="en-US"/>
        </w:rPr>
        <w:lastRenderedPageBreak/>
        <w:t xml:space="preserve">You should </w:t>
      </w:r>
      <w:r w:rsidR="00511C53" w:rsidRPr="00F82A4C">
        <w:rPr>
          <w:rFonts w:ascii="Arial" w:hAnsi="Arial" w:cs="Arial"/>
          <w:sz w:val="24"/>
          <w:szCs w:val="24"/>
          <w:lang w:val="en-US"/>
        </w:rPr>
        <w:t xml:space="preserve">fill out the template at the start of any major project involving the use of personal data, or if you are making a significant change to an existing process. The </w:t>
      </w:r>
      <w:r w:rsidR="0048248F" w:rsidRPr="00F82A4C">
        <w:rPr>
          <w:rFonts w:ascii="Arial" w:hAnsi="Arial" w:cs="Arial"/>
          <w:sz w:val="24"/>
          <w:szCs w:val="24"/>
          <w:lang w:val="en-US"/>
        </w:rPr>
        <w:t xml:space="preserve">final </w:t>
      </w:r>
      <w:r w:rsidR="00511C53" w:rsidRPr="00F82A4C">
        <w:rPr>
          <w:rFonts w:ascii="Arial" w:hAnsi="Arial" w:cs="Arial"/>
          <w:sz w:val="24"/>
          <w:szCs w:val="24"/>
          <w:lang w:val="en-US"/>
        </w:rPr>
        <w:t xml:space="preserve">outcomes should be integrated </w:t>
      </w:r>
      <w:r w:rsidR="0048248F" w:rsidRPr="00F82A4C">
        <w:rPr>
          <w:rFonts w:ascii="Arial" w:hAnsi="Arial" w:cs="Arial"/>
          <w:sz w:val="24"/>
          <w:szCs w:val="24"/>
          <w:lang w:val="en-US"/>
        </w:rPr>
        <w:t xml:space="preserve">back </w:t>
      </w:r>
      <w:r w:rsidR="00511C53" w:rsidRPr="00F82A4C">
        <w:rPr>
          <w:rFonts w:ascii="Arial" w:hAnsi="Arial" w:cs="Arial"/>
          <w:sz w:val="24"/>
          <w:szCs w:val="24"/>
          <w:lang w:val="en-US"/>
        </w:rPr>
        <w:t>into your project plan.</w:t>
      </w:r>
    </w:p>
    <w:p w14:paraId="5CD06001" w14:textId="77777777" w:rsidR="00F82A4C" w:rsidRDefault="00F82A4C" w:rsidP="0053350F">
      <w:pPr>
        <w:rPr>
          <w:rFonts w:ascii="Arial" w:hAnsi="Arial" w:cs="Arial"/>
          <w:sz w:val="24"/>
          <w:szCs w:val="24"/>
          <w:lang w:val="en-US"/>
        </w:rPr>
      </w:pPr>
    </w:p>
    <w:p w14:paraId="40FFF94E" w14:textId="77777777" w:rsidR="00F82A4C" w:rsidRDefault="00F82A4C" w:rsidP="0053350F">
      <w:pPr>
        <w:rPr>
          <w:rFonts w:ascii="Arial" w:hAnsi="Arial" w:cs="Arial"/>
          <w:sz w:val="24"/>
          <w:szCs w:val="24"/>
          <w:lang w:val="en-US"/>
        </w:rPr>
      </w:pPr>
      <w:r>
        <w:rPr>
          <w:rFonts w:ascii="Arial" w:hAnsi="Arial" w:cs="Arial"/>
          <w:sz w:val="24"/>
          <w:szCs w:val="24"/>
          <w:lang w:val="en-US"/>
        </w:rPr>
        <w:t>This template should be completed using the O</w:t>
      </w:r>
      <w:r w:rsidR="002E73A6">
        <w:rPr>
          <w:rFonts w:ascii="Arial" w:hAnsi="Arial" w:cs="Arial"/>
          <w:sz w:val="24"/>
          <w:szCs w:val="24"/>
          <w:lang w:val="en-US"/>
        </w:rPr>
        <w:t xml:space="preserve">ffice of the </w:t>
      </w:r>
      <w:r>
        <w:rPr>
          <w:rFonts w:ascii="Arial" w:hAnsi="Arial" w:cs="Arial"/>
          <w:sz w:val="24"/>
          <w:szCs w:val="24"/>
          <w:lang w:val="en-US"/>
        </w:rPr>
        <w:t>P</w:t>
      </w:r>
      <w:r w:rsidR="002E73A6">
        <w:rPr>
          <w:rFonts w:ascii="Arial" w:hAnsi="Arial" w:cs="Arial"/>
          <w:sz w:val="24"/>
          <w:szCs w:val="24"/>
          <w:lang w:val="en-US"/>
        </w:rPr>
        <w:t xml:space="preserve">olice and </w:t>
      </w:r>
      <w:r>
        <w:rPr>
          <w:rFonts w:ascii="Arial" w:hAnsi="Arial" w:cs="Arial"/>
          <w:sz w:val="24"/>
          <w:szCs w:val="24"/>
          <w:lang w:val="en-US"/>
        </w:rPr>
        <w:t>C</w:t>
      </w:r>
      <w:r w:rsidR="002E73A6">
        <w:rPr>
          <w:rFonts w:ascii="Arial" w:hAnsi="Arial" w:cs="Arial"/>
          <w:sz w:val="24"/>
          <w:szCs w:val="24"/>
          <w:lang w:val="en-US"/>
        </w:rPr>
        <w:t xml:space="preserve">rime </w:t>
      </w:r>
      <w:r>
        <w:rPr>
          <w:rFonts w:ascii="Arial" w:hAnsi="Arial" w:cs="Arial"/>
          <w:sz w:val="24"/>
          <w:szCs w:val="24"/>
          <w:lang w:val="en-US"/>
        </w:rPr>
        <w:t>C</w:t>
      </w:r>
      <w:r w:rsidR="002E73A6">
        <w:rPr>
          <w:rFonts w:ascii="Arial" w:hAnsi="Arial" w:cs="Arial"/>
          <w:sz w:val="24"/>
          <w:szCs w:val="24"/>
          <w:lang w:val="en-US"/>
        </w:rPr>
        <w:t>ommissioner (OPCC)</w:t>
      </w:r>
      <w:r>
        <w:rPr>
          <w:rFonts w:ascii="Arial" w:hAnsi="Arial" w:cs="Arial"/>
          <w:sz w:val="24"/>
          <w:szCs w:val="24"/>
          <w:lang w:val="en-US"/>
        </w:rPr>
        <w:t xml:space="preserve"> DPIA Guidance and the ICO DPIA Template Guidance documents</w:t>
      </w:r>
    </w:p>
    <w:p w14:paraId="370BF13D" w14:textId="77777777" w:rsidR="00F82A4C" w:rsidRDefault="00F82A4C" w:rsidP="0053350F">
      <w:pPr>
        <w:rPr>
          <w:rFonts w:ascii="Arial" w:hAnsi="Arial" w:cs="Arial"/>
          <w:sz w:val="24"/>
          <w:szCs w:val="24"/>
          <w:lang w:val="en-US"/>
        </w:rPr>
      </w:pPr>
    </w:p>
    <w:p w14:paraId="60328B13" w14:textId="77777777" w:rsidR="00511C53" w:rsidRPr="00F82A4C" w:rsidRDefault="00511C53" w:rsidP="0049238C">
      <w:pPr>
        <w:pStyle w:val="Heading1"/>
        <w:rPr>
          <w:rFonts w:ascii="Arial" w:hAnsi="Arial" w:cs="Arial"/>
          <w:sz w:val="24"/>
        </w:rPr>
      </w:pPr>
      <w:r w:rsidRPr="00F82A4C">
        <w:rPr>
          <w:rFonts w:ascii="Arial" w:hAnsi="Arial" w:cs="Arial"/>
          <w:sz w:val="24"/>
        </w:rPr>
        <w:t>Step 1: Identify the need for a DPIA</w:t>
      </w:r>
    </w:p>
    <w:tbl>
      <w:tblPr>
        <w:tblStyle w:val="TableGrid"/>
        <w:tblW w:w="0" w:type="auto"/>
        <w:tblLook w:val="04A0" w:firstRow="1" w:lastRow="0" w:firstColumn="1" w:lastColumn="0" w:noHBand="0" w:noVBand="1"/>
      </w:tblPr>
      <w:tblGrid>
        <w:gridCol w:w="9768"/>
      </w:tblGrid>
      <w:tr w:rsidR="00065783" w:rsidRPr="00F82A4C" w14:paraId="480E42CE" w14:textId="77777777" w:rsidTr="0049238C">
        <w:tc>
          <w:tcPr>
            <w:tcW w:w="9994" w:type="dxa"/>
          </w:tcPr>
          <w:p w14:paraId="0E0E308C" w14:textId="77777777" w:rsidR="00F82A4C" w:rsidRDefault="0049238C" w:rsidP="007E352D">
            <w:pPr>
              <w:keepNext/>
              <w:spacing w:before="120" w:after="120"/>
              <w:rPr>
                <w:rFonts w:ascii="Arial" w:hAnsi="Arial" w:cs="Arial"/>
                <w:sz w:val="24"/>
                <w:szCs w:val="24"/>
                <w:lang w:val="en-US"/>
              </w:rPr>
            </w:pPr>
            <w:r w:rsidRPr="00F82A4C">
              <w:rPr>
                <w:rFonts w:ascii="Arial" w:hAnsi="Arial" w:cs="Arial"/>
                <w:sz w:val="24"/>
                <w:szCs w:val="24"/>
                <w:lang w:val="en-US"/>
              </w:rPr>
              <w:t>Explain broadly what project aims to achieve and what type of processing it involves. You may find it helpful to refer or link to other documents, such as a project proposal.</w:t>
            </w:r>
            <w:r w:rsidR="007E352D" w:rsidRPr="00F82A4C">
              <w:rPr>
                <w:rFonts w:ascii="Arial" w:hAnsi="Arial" w:cs="Arial"/>
                <w:sz w:val="24"/>
                <w:szCs w:val="24"/>
                <w:lang w:val="en-US"/>
              </w:rPr>
              <w:t xml:space="preserve"> </w:t>
            </w:r>
          </w:p>
          <w:p w14:paraId="516919C4" w14:textId="61F45EFA" w:rsidR="0049238C" w:rsidRPr="00F82A4C" w:rsidRDefault="00727E3F" w:rsidP="007E352D">
            <w:pPr>
              <w:keepNext/>
              <w:spacing w:before="120" w:after="120"/>
              <w:rPr>
                <w:rFonts w:ascii="Arial" w:hAnsi="Arial" w:cs="Arial"/>
                <w:sz w:val="24"/>
                <w:szCs w:val="24"/>
                <w:lang w:val="en-US"/>
              </w:rPr>
            </w:pPr>
            <w:r>
              <w:rPr>
                <w:rFonts w:ascii="Arial" w:hAnsi="Arial" w:cs="Arial"/>
                <w:sz w:val="24"/>
                <w:szCs w:val="24"/>
                <w:lang w:val="en-US"/>
              </w:rPr>
              <w:t>Summ</w:t>
            </w:r>
            <w:r w:rsidR="007532E0">
              <w:rPr>
                <w:rFonts w:ascii="Arial" w:hAnsi="Arial" w:cs="Arial"/>
                <w:sz w:val="24"/>
                <w:szCs w:val="24"/>
                <w:lang w:val="en-US"/>
              </w:rPr>
              <w:t>ariz</w:t>
            </w:r>
            <w:r w:rsidR="0049238C" w:rsidRPr="00F82A4C">
              <w:rPr>
                <w:rFonts w:ascii="Arial" w:hAnsi="Arial" w:cs="Arial"/>
                <w:sz w:val="24"/>
                <w:szCs w:val="24"/>
                <w:lang w:val="en-US"/>
              </w:rPr>
              <w:t xml:space="preserve">e why you </w:t>
            </w:r>
            <w:r w:rsidR="00FA2A9A" w:rsidRPr="00F82A4C">
              <w:rPr>
                <w:rFonts w:ascii="Arial" w:hAnsi="Arial" w:cs="Arial"/>
                <w:sz w:val="24"/>
                <w:szCs w:val="24"/>
                <w:lang w:val="en-US"/>
              </w:rPr>
              <w:t>identified the need for</w:t>
            </w:r>
            <w:r w:rsidR="0049238C" w:rsidRPr="00F82A4C">
              <w:rPr>
                <w:rFonts w:ascii="Arial" w:hAnsi="Arial" w:cs="Arial"/>
                <w:sz w:val="24"/>
                <w:szCs w:val="24"/>
                <w:lang w:val="en-US"/>
              </w:rPr>
              <w:t xml:space="preserve"> a DPIA.</w:t>
            </w:r>
          </w:p>
        </w:tc>
      </w:tr>
      <w:tr w:rsidR="0049238C" w:rsidRPr="00F82A4C" w14:paraId="014A5B8B" w14:textId="77777777" w:rsidTr="007E352D">
        <w:trPr>
          <w:trHeight w:val="6293"/>
        </w:trPr>
        <w:tc>
          <w:tcPr>
            <w:tcW w:w="9994" w:type="dxa"/>
          </w:tcPr>
          <w:p w14:paraId="6625A111" w14:textId="77777777" w:rsidR="00EA5BEE" w:rsidRPr="00EA5BEE" w:rsidRDefault="00EA5BEE" w:rsidP="00EA5BEE">
            <w:pPr>
              <w:spacing w:before="120" w:after="120"/>
              <w:rPr>
                <w:rFonts w:ascii="Arial" w:hAnsi="Arial" w:cs="Arial"/>
                <w:sz w:val="24"/>
                <w:szCs w:val="24"/>
                <w:lang w:val="en-US"/>
              </w:rPr>
            </w:pPr>
            <w:r w:rsidRPr="00EA5BEE">
              <w:rPr>
                <w:rFonts w:ascii="Arial" w:hAnsi="Arial" w:cs="Arial"/>
                <w:sz w:val="24"/>
                <w:szCs w:val="24"/>
                <w:lang w:val="en-US"/>
              </w:rPr>
              <w:t>Police and Crime Commissioners (PCCs) act as the voice of the public on policing and crime matters and they are responsible for setting the strategic direction for policing within their respective force areas.</w:t>
            </w:r>
          </w:p>
          <w:p w14:paraId="4CA0E6E9" w14:textId="77777777" w:rsidR="00EA5BEE" w:rsidRPr="00EA5BEE" w:rsidRDefault="00EA5BEE" w:rsidP="00EA5BEE">
            <w:pPr>
              <w:spacing w:before="120" w:after="120"/>
              <w:rPr>
                <w:rFonts w:ascii="Arial" w:hAnsi="Arial" w:cs="Arial"/>
                <w:sz w:val="24"/>
                <w:szCs w:val="24"/>
                <w:lang w:val="en-US"/>
              </w:rPr>
            </w:pPr>
            <w:r w:rsidRPr="00EA5BEE">
              <w:rPr>
                <w:rFonts w:ascii="Arial" w:hAnsi="Arial" w:cs="Arial"/>
                <w:sz w:val="24"/>
                <w:szCs w:val="24"/>
                <w:lang w:val="en-US"/>
              </w:rPr>
              <w:t xml:space="preserve">They will </w:t>
            </w:r>
            <w:r>
              <w:rPr>
                <w:rFonts w:ascii="Arial" w:hAnsi="Arial" w:cs="Arial"/>
                <w:sz w:val="24"/>
                <w:szCs w:val="24"/>
                <w:lang w:val="en-US"/>
              </w:rPr>
              <w:t xml:space="preserve">from </w:t>
            </w:r>
            <w:r w:rsidRPr="00EA5BEE">
              <w:rPr>
                <w:rFonts w:ascii="Arial" w:hAnsi="Arial" w:cs="Arial"/>
                <w:sz w:val="24"/>
                <w:szCs w:val="24"/>
                <w:lang w:val="en-US"/>
              </w:rPr>
              <w:t xml:space="preserve">February 2020 be involved in the implementation of new complaints and conduct legislation arising from police integrity reforms 2019. A key element of the reforms will be to carry out independent reviews of police complaints where the Commissioner has been assessed as the relevant </w:t>
            </w:r>
            <w:r w:rsidR="004E5700">
              <w:rPr>
                <w:rFonts w:ascii="Arial" w:hAnsi="Arial" w:cs="Arial"/>
                <w:sz w:val="24"/>
                <w:szCs w:val="24"/>
                <w:lang w:val="en-US"/>
              </w:rPr>
              <w:t>review</w:t>
            </w:r>
            <w:r w:rsidRPr="00EA5BEE">
              <w:rPr>
                <w:rFonts w:ascii="Arial" w:hAnsi="Arial" w:cs="Arial"/>
                <w:sz w:val="24"/>
                <w:szCs w:val="24"/>
                <w:lang w:val="en-US"/>
              </w:rPr>
              <w:t xml:space="preserve"> body and the complainant formally requests a review in respect of the Force’s handling of their complaint. </w:t>
            </w:r>
          </w:p>
          <w:p w14:paraId="53C75B66" w14:textId="77777777" w:rsidR="00EA5BEE" w:rsidRPr="00EA5BEE" w:rsidRDefault="00EA5BEE" w:rsidP="00EA5BEE">
            <w:pPr>
              <w:spacing w:before="120" w:after="120"/>
              <w:rPr>
                <w:rFonts w:ascii="Arial" w:hAnsi="Arial" w:cs="Arial"/>
                <w:sz w:val="24"/>
                <w:szCs w:val="24"/>
                <w:lang w:val="en-US"/>
              </w:rPr>
            </w:pPr>
            <w:r w:rsidRPr="00EA5BEE">
              <w:rPr>
                <w:rFonts w:ascii="Arial" w:hAnsi="Arial" w:cs="Arial"/>
                <w:sz w:val="24"/>
                <w:szCs w:val="24"/>
                <w:lang w:val="en-US"/>
              </w:rPr>
              <w:t xml:space="preserve">This will require a capacity to independently research and evaluate police complaints processes and procedures as they apply to individual cases and thereafter make recommendations to the relevant </w:t>
            </w:r>
            <w:r w:rsidR="002E73A6">
              <w:rPr>
                <w:rFonts w:ascii="Arial" w:hAnsi="Arial" w:cs="Arial"/>
                <w:sz w:val="24"/>
                <w:szCs w:val="24"/>
                <w:lang w:val="en-US"/>
              </w:rPr>
              <w:t>PCC</w:t>
            </w:r>
            <w:r w:rsidRPr="00EA5BEE">
              <w:rPr>
                <w:rFonts w:ascii="Arial" w:hAnsi="Arial" w:cs="Arial"/>
                <w:sz w:val="24"/>
                <w:szCs w:val="24"/>
                <w:lang w:val="en-US"/>
              </w:rPr>
              <w:t xml:space="preserve"> who will then decide on the outcome of the review.</w:t>
            </w:r>
          </w:p>
          <w:p w14:paraId="220A4155" w14:textId="3ACF84C1" w:rsidR="0049238C" w:rsidRDefault="00EA5BEE" w:rsidP="00EA5BEE">
            <w:pPr>
              <w:spacing w:before="120" w:after="120"/>
              <w:rPr>
                <w:rFonts w:ascii="Arial" w:hAnsi="Arial" w:cs="Arial"/>
                <w:sz w:val="24"/>
                <w:szCs w:val="24"/>
                <w:lang w:val="en-US"/>
              </w:rPr>
            </w:pPr>
            <w:r w:rsidRPr="00EA5BEE">
              <w:rPr>
                <w:rFonts w:ascii="Arial" w:hAnsi="Arial" w:cs="Arial"/>
                <w:sz w:val="24"/>
                <w:szCs w:val="24"/>
                <w:lang w:val="en-US"/>
              </w:rPr>
              <w:t xml:space="preserve">The </w:t>
            </w:r>
            <w:r w:rsidR="002E73A6">
              <w:rPr>
                <w:rFonts w:ascii="Arial" w:hAnsi="Arial" w:cs="Arial"/>
                <w:sz w:val="24"/>
                <w:szCs w:val="24"/>
                <w:lang w:val="en-US"/>
              </w:rPr>
              <w:t>PCCs</w:t>
            </w:r>
            <w:r w:rsidRPr="00EA5BEE">
              <w:rPr>
                <w:rFonts w:ascii="Arial" w:hAnsi="Arial" w:cs="Arial"/>
                <w:sz w:val="24"/>
                <w:szCs w:val="24"/>
                <w:lang w:val="en-US"/>
              </w:rPr>
              <w:t xml:space="preserve"> for Dyfed </w:t>
            </w:r>
            <w:proofErr w:type="spellStart"/>
            <w:r w:rsidRPr="00EA5BEE">
              <w:rPr>
                <w:rFonts w:ascii="Arial" w:hAnsi="Arial" w:cs="Arial"/>
                <w:sz w:val="24"/>
                <w:szCs w:val="24"/>
                <w:lang w:val="en-US"/>
              </w:rPr>
              <w:t>Powys</w:t>
            </w:r>
            <w:proofErr w:type="spellEnd"/>
            <w:r w:rsidRPr="00EA5BEE">
              <w:rPr>
                <w:rFonts w:ascii="Arial" w:hAnsi="Arial" w:cs="Arial"/>
                <w:sz w:val="24"/>
                <w:szCs w:val="24"/>
                <w:lang w:val="en-US"/>
              </w:rPr>
              <w:t>, Gwent and North Wales are seeking to appoint an independent service provider to conduct independent reviews on their behalf. This will be for a period of 12 months with the option of extending it for a further period of 12 months.</w:t>
            </w:r>
            <w:r w:rsidR="00276D54">
              <w:rPr>
                <w:rFonts w:ascii="Arial" w:hAnsi="Arial" w:cs="Arial"/>
                <w:sz w:val="24"/>
                <w:szCs w:val="24"/>
                <w:lang w:val="en-US"/>
              </w:rPr>
              <w:t xml:space="preserve"> The PCC for Dyfed </w:t>
            </w:r>
            <w:proofErr w:type="spellStart"/>
            <w:r w:rsidR="00276D54">
              <w:rPr>
                <w:rFonts w:ascii="Arial" w:hAnsi="Arial" w:cs="Arial"/>
                <w:sz w:val="24"/>
                <w:szCs w:val="24"/>
                <w:lang w:val="en-US"/>
              </w:rPr>
              <w:t>Powys</w:t>
            </w:r>
            <w:proofErr w:type="spellEnd"/>
            <w:r w:rsidR="00276D54">
              <w:rPr>
                <w:rFonts w:ascii="Arial" w:hAnsi="Arial" w:cs="Arial"/>
                <w:sz w:val="24"/>
                <w:szCs w:val="24"/>
                <w:lang w:val="en-US"/>
              </w:rPr>
              <w:t xml:space="preserve"> will complete his own Data Protection Impact Assessment and this Assessment only applies to the PCCs for Gwent and North Wales.</w:t>
            </w:r>
          </w:p>
          <w:p w14:paraId="7E791538" w14:textId="77777777" w:rsidR="004F297A" w:rsidRDefault="004F297A" w:rsidP="004F297A">
            <w:pPr>
              <w:keepNext/>
              <w:spacing w:before="120" w:after="120"/>
              <w:rPr>
                <w:rFonts w:ascii="Arial" w:hAnsi="Arial" w:cs="Arial"/>
                <w:sz w:val="24"/>
                <w:szCs w:val="24"/>
                <w:lang w:val="en-US"/>
              </w:rPr>
            </w:pPr>
            <w:r>
              <w:rPr>
                <w:rFonts w:ascii="Arial" w:hAnsi="Arial" w:cs="Arial"/>
                <w:sz w:val="24"/>
                <w:szCs w:val="24"/>
                <w:lang w:val="en-US"/>
              </w:rPr>
              <w:t>Changes to complaints processes has been designated as an area of ‘high risk’ by the Information Commissioner’s Office (ICO) and one where a DPIA should be completed due to the potentially high risks to the individual as a result of this processing.</w:t>
            </w:r>
          </w:p>
          <w:p w14:paraId="06300028" w14:textId="77777777" w:rsidR="004F297A" w:rsidRDefault="00A70D75" w:rsidP="004F297A">
            <w:pPr>
              <w:keepNext/>
              <w:spacing w:before="120" w:after="120"/>
              <w:rPr>
                <w:rFonts w:ascii="Arial" w:hAnsi="Arial" w:cs="Arial"/>
                <w:sz w:val="24"/>
                <w:szCs w:val="24"/>
                <w:lang w:val="en-US"/>
              </w:rPr>
            </w:pPr>
            <w:hyperlink r:id="rId9" w:history="1">
              <w:r w:rsidR="004F297A">
                <w:rPr>
                  <w:rStyle w:val="Hyperlink"/>
                </w:rPr>
                <w:t>https://ico.org.uk/for-organisations/guide-to-data-protection/guide-to-the-general-data-protection-regulation-gdpr/data-protection-impact-assessments-dpias/examples-of-processing-likely-to-result-in-high-risk/</w:t>
              </w:r>
            </w:hyperlink>
          </w:p>
          <w:p w14:paraId="7A82A6EA" w14:textId="77777777" w:rsidR="004F297A" w:rsidRPr="00F82A4C" w:rsidRDefault="004F297A" w:rsidP="00EA5BEE">
            <w:pPr>
              <w:spacing w:before="120" w:after="120"/>
              <w:rPr>
                <w:rFonts w:ascii="Arial" w:hAnsi="Arial" w:cs="Arial"/>
                <w:sz w:val="24"/>
                <w:szCs w:val="24"/>
                <w:lang w:val="en-US"/>
              </w:rPr>
            </w:pPr>
          </w:p>
        </w:tc>
      </w:tr>
    </w:tbl>
    <w:p w14:paraId="1CA692C7" w14:textId="77777777" w:rsidR="00CF39D4" w:rsidRPr="00F82A4C" w:rsidRDefault="00CF39D4" w:rsidP="00D457A5">
      <w:pPr>
        <w:spacing w:before="120" w:after="120" w:line="240" w:lineRule="auto"/>
        <w:rPr>
          <w:rFonts w:ascii="Arial" w:eastAsia="Times New Roman" w:hAnsi="Arial" w:cs="Arial"/>
          <w:sz w:val="24"/>
          <w:szCs w:val="24"/>
          <w:lang w:val="en-US" w:eastAsia="en-GB"/>
        </w:rPr>
      </w:pPr>
    </w:p>
    <w:p w14:paraId="3D59A75F" w14:textId="77777777" w:rsidR="00CF39D4" w:rsidRPr="00F82A4C" w:rsidRDefault="00CF39D4" w:rsidP="000959FF">
      <w:pPr>
        <w:pStyle w:val="Heading1"/>
        <w:rPr>
          <w:rFonts w:ascii="Arial" w:hAnsi="Arial" w:cs="Arial"/>
          <w:sz w:val="24"/>
          <w:lang w:eastAsia="en-GB"/>
        </w:rPr>
      </w:pPr>
      <w:r w:rsidRPr="00F82A4C">
        <w:rPr>
          <w:rFonts w:ascii="Arial" w:hAnsi="Arial" w:cs="Arial"/>
          <w:sz w:val="24"/>
          <w:lang w:eastAsia="en-GB"/>
        </w:rPr>
        <w:lastRenderedPageBreak/>
        <w:t>Step 2: Describe the processing</w:t>
      </w:r>
    </w:p>
    <w:tbl>
      <w:tblPr>
        <w:tblStyle w:val="TableGrid"/>
        <w:tblW w:w="0" w:type="auto"/>
        <w:tblLook w:val="04A0" w:firstRow="1" w:lastRow="0" w:firstColumn="1" w:lastColumn="0" w:noHBand="0" w:noVBand="1"/>
      </w:tblPr>
      <w:tblGrid>
        <w:gridCol w:w="9768"/>
      </w:tblGrid>
      <w:tr w:rsidR="00CF39D4" w:rsidRPr="00F82A4C" w14:paraId="6FA3674B" w14:textId="77777777" w:rsidTr="00FA2A9A">
        <w:tc>
          <w:tcPr>
            <w:tcW w:w="9994" w:type="dxa"/>
          </w:tcPr>
          <w:p w14:paraId="3376CD01" w14:textId="77777777" w:rsidR="00CF39D4" w:rsidRPr="00F82A4C" w:rsidRDefault="00CF39D4" w:rsidP="00FA2A9A">
            <w:pPr>
              <w:keepNext/>
              <w:spacing w:before="120" w:after="120"/>
              <w:rPr>
                <w:rFonts w:ascii="Arial" w:hAnsi="Arial" w:cs="Arial"/>
                <w:sz w:val="24"/>
                <w:szCs w:val="24"/>
                <w:lang w:val="en-US"/>
              </w:rPr>
            </w:pPr>
            <w:r w:rsidRPr="00F82A4C">
              <w:rPr>
                <w:rFonts w:ascii="Arial" w:hAnsi="Arial" w:cs="Arial"/>
                <w:b/>
                <w:sz w:val="24"/>
                <w:szCs w:val="24"/>
                <w:lang w:val="en-US"/>
              </w:rPr>
              <w:t>Describe the nature of the processing</w:t>
            </w:r>
            <w:r w:rsidR="0049238C" w:rsidRPr="00F82A4C">
              <w:rPr>
                <w:rFonts w:ascii="Arial" w:hAnsi="Arial" w:cs="Arial"/>
                <w:b/>
                <w:sz w:val="24"/>
                <w:szCs w:val="24"/>
                <w:lang w:val="en-US"/>
              </w:rPr>
              <w:t xml:space="preserve">: </w:t>
            </w:r>
            <w:r w:rsidR="0049238C" w:rsidRPr="00F82A4C">
              <w:rPr>
                <w:rFonts w:ascii="Arial" w:hAnsi="Arial" w:cs="Arial"/>
                <w:sz w:val="24"/>
                <w:szCs w:val="24"/>
                <w:lang w:val="en-US"/>
              </w:rPr>
              <w:t>how will you collect, use</w:t>
            </w:r>
            <w:r w:rsidR="00FA2A9A" w:rsidRPr="00F82A4C">
              <w:rPr>
                <w:rFonts w:ascii="Arial" w:hAnsi="Arial" w:cs="Arial"/>
                <w:sz w:val="24"/>
                <w:szCs w:val="24"/>
                <w:lang w:val="en-US"/>
              </w:rPr>
              <w:t>,</w:t>
            </w:r>
            <w:r w:rsidR="0049238C" w:rsidRPr="00F82A4C">
              <w:rPr>
                <w:rFonts w:ascii="Arial" w:hAnsi="Arial" w:cs="Arial"/>
                <w:sz w:val="24"/>
                <w:szCs w:val="24"/>
                <w:lang w:val="en-US"/>
              </w:rPr>
              <w:t xml:space="preserve"> store</w:t>
            </w:r>
            <w:r w:rsidR="00FA2A9A" w:rsidRPr="00F82A4C">
              <w:rPr>
                <w:rFonts w:ascii="Arial" w:hAnsi="Arial" w:cs="Arial"/>
                <w:sz w:val="24"/>
                <w:szCs w:val="24"/>
                <w:lang w:val="en-US"/>
              </w:rPr>
              <w:t xml:space="preserve"> and delete</w:t>
            </w:r>
            <w:r w:rsidR="0049238C" w:rsidRPr="00F82A4C">
              <w:rPr>
                <w:rFonts w:ascii="Arial" w:hAnsi="Arial" w:cs="Arial"/>
                <w:sz w:val="24"/>
                <w:szCs w:val="24"/>
                <w:lang w:val="en-US"/>
              </w:rPr>
              <w:t xml:space="preserve"> data? </w:t>
            </w:r>
            <w:r w:rsidR="00FA2A9A" w:rsidRPr="00F82A4C">
              <w:rPr>
                <w:rFonts w:ascii="Arial" w:hAnsi="Arial" w:cs="Arial"/>
                <w:sz w:val="24"/>
                <w:szCs w:val="24"/>
                <w:lang w:val="en-US"/>
              </w:rPr>
              <w:t xml:space="preserve">What is the source of the data? </w:t>
            </w:r>
            <w:r w:rsidR="0049238C" w:rsidRPr="00F82A4C">
              <w:rPr>
                <w:rFonts w:ascii="Arial" w:hAnsi="Arial" w:cs="Arial"/>
                <w:sz w:val="24"/>
                <w:szCs w:val="24"/>
                <w:lang w:val="en-US"/>
              </w:rPr>
              <w:t xml:space="preserve">Will you be sharing data with anyone? </w:t>
            </w:r>
            <w:r w:rsidR="00FA2A9A" w:rsidRPr="00F82A4C">
              <w:rPr>
                <w:rFonts w:ascii="Arial" w:hAnsi="Arial" w:cs="Arial"/>
                <w:sz w:val="24"/>
                <w:szCs w:val="24"/>
                <w:lang w:val="en-US"/>
              </w:rPr>
              <w:t>You might find it useful to refer to a flow diagram or other way of describing data flows. What types of processing identified as likely high risk are involved?</w:t>
            </w:r>
          </w:p>
        </w:tc>
      </w:tr>
      <w:tr w:rsidR="00FA2A9A" w:rsidRPr="00F82A4C" w14:paraId="45E133C9" w14:textId="77777777" w:rsidTr="00FA2A9A">
        <w:trPr>
          <w:trHeight w:val="4252"/>
        </w:trPr>
        <w:tc>
          <w:tcPr>
            <w:tcW w:w="9994" w:type="dxa"/>
          </w:tcPr>
          <w:p w14:paraId="1CD2B59F" w14:textId="755E80E2" w:rsidR="00E01473" w:rsidRDefault="00EA5BEE" w:rsidP="00EA5BEE">
            <w:pPr>
              <w:keepNext/>
              <w:spacing w:before="120" w:after="120"/>
              <w:rPr>
                <w:rFonts w:ascii="Arial" w:hAnsi="Arial" w:cs="Arial"/>
                <w:sz w:val="24"/>
                <w:szCs w:val="24"/>
                <w:lang w:val="en-US"/>
              </w:rPr>
            </w:pPr>
            <w:r>
              <w:rPr>
                <w:rFonts w:ascii="Arial" w:hAnsi="Arial" w:cs="Arial"/>
                <w:sz w:val="24"/>
                <w:szCs w:val="24"/>
                <w:lang w:val="en-US"/>
              </w:rPr>
              <w:t xml:space="preserve">The data required to conduct the reviews </w:t>
            </w:r>
            <w:r w:rsidR="004F297A">
              <w:rPr>
                <w:rFonts w:ascii="Arial" w:hAnsi="Arial" w:cs="Arial"/>
                <w:sz w:val="24"/>
                <w:szCs w:val="24"/>
                <w:lang w:val="en-US"/>
              </w:rPr>
              <w:t>will have</w:t>
            </w:r>
            <w:r>
              <w:rPr>
                <w:rFonts w:ascii="Arial" w:hAnsi="Arial" w:cs="Arial"/>
                <w:sz w:val="24"/>
                <w:szCs w:val="24"/>
                <w:lang w:val="en-US"/>
              </w:rPr>
              <w:t xml:space="preserve"> already </w:t>
            </w:r>
            <w:r w:rsidR="004F297A">
              <w:rPr>
                <w:rFonts w:ascii="Arial" w:hAnsi="Arial" w:cs="Arial"/>
                <w:sz w:val="24"/>
                <w:szCs w:val="24"/>
                <w:lang w:val="en-US"/>
              </w:rPr>
              <w:t>been</w:t>
            </w:r>
            <w:r w:rsidR="008F38B0">
              <w:rPr>
                <w:rFonts w:ascii="Arial" w:hAnsi="Arial" w:cs="Arial"/>
                <w:sz w:val="24"/>
                <w:szCs w:val="24"/>
                <w:lang w:val="en-US"/>
              </w:rPr>
              <w:t xml:space="preserve"> </w:t>
            </w:r>
            <w:r>
              <w:rPr>
                <w:rFonts w:ascii="Arial" w:hAnsi="Arial" w:cs="Arial"/>
                <w:sz w:val="24"/>
                <w:szCs w:val="24"/>
                <w:lang w:val="en-US"/>
              </w:rPr>
              <w:t>collected by the relevant Professional Standards Department</w:t>
            </w:r>
            <w:r w:rsidR="00271DE6">
              <w:rPr>
                <w:rFonts w:ascii="Arial" w:hAnsi="Arial" w:cs="Arial"/>
                <w:sz w:val="24"/>
                <w:szCs w:val="24"/>
                <w:lang w:val="en-US"/>
              </w:rPr>
              <w:t>s</w:t>
            </w:r>
            <w:r w:rsidR="008F38B0">
              <w:rPr>
                <w:rFonts w:ascii="Arial" w:hAnsi="Arial" w:cs="Arial"/>
                <w:sz w:val="24"/>
                <w:szCs w:val="24"/>
                <w:lang w:val="en-US"/>
              </w:rPr>
              <w:t xml:space="preserve"> (PSD)</w:t>
            </w:r>
            <w:r>
              <w:rPr>
                <w:rFonts w:ascii="Arial" w:hAnsi="Arial" w:cs="Arial"/>
                <w:sz w:val="24"/>
                <w:szCs w:val="24"/>
                <w:lang w:val="en-US"/>
              </w:rPr>
              <w:t xml:space="preserve"> and </w:t>
            </w:r>
            <w:r w:rsidR="004F297A">
              <w:rPr>
                <w:rFonts w:ascii="Arial" w:hAnsi="Arial" w:cs="Arial"/>
                <w:sz w:val="24"/>
                <w:szCs w:val="24"/>
                <w:lang w:val="en-US"/>
              </w:rPr>
              <w:t>will have been</w:t>
            </w:r>
            <w:r>
              <w:rPr>
                <w:rFonts w:ascii="Arial" w:hAnsi="Arial" w:cs="Arial"/>
                <w:sz w:val="24"/>
                <w:szCs w:val="24"/>
                <w:lang w:val="en-US"/>
              </w:rPr>
              <w:t xml:space="preserve"> retained on the Centurion complaints system</w:t>
            </w:r>
            <w:r w:rsidR="00757ED9">
              <w:rPr>
                <w:rFonts w:ascii="Arial" w:hAnsi="Arial" w:cs="Arial"/>
                <w:sz w:val="24"/>
                <w:szCs w:val="24"/>
                <w:lang w:val="en-US"/>
              </w:rPr>
              <w:t xml:space="preserve">.  </w:t>
            </w:r>
            <w:r w:rsidR="00271DE6">
              <w:rPr>
                <w:rFonts w:ascii="Arial" w:hAnsi="Arial" w:cs="Arial"/>
                <w:sz w:val="24"/>
                <w:szCs w:val="24"/>
                <w:lang w:val="en-US"/>
              </w:rPr>
              <w:t>OPCCs have or will have access directly to the Centurion system to enable extraction of this information.  For Gwent, access to Centurion is already provided</w:t>
            </w:r>
            <w:r w:rsidR="00276D54">
              <w:rPr>
                <w:rFonts w:ascii="Arial" w:hAnsi="Arial" w:cs="Arial"/>
                <w:sz w:val="24"/>
                <w:szCs w:val="24"/>
                <w:lang w:val="en-US"/>
              </w:rPr>
              <w:t xml:space="preserve"> by the force</w:t>
            </w:r>
            <w:r w:rsidR="00271DE6">
              <w:rPr>
                <w:rFonts w:ascii="Arial" w:hAnsi="Arial" w:cs="Arial"/>
                <w:sz w:val="24"/>
                <w:szCs w:val="24"/>
                <w:lang w:val="en-US"/>
              </w:rPr>
              <w:t xml:space="preserve"> to support the undertaking of the dip sampling of complaints, which is a legal requirement place on the PCC by the PRSRA 2011.</w:t>
            </w:r>
            <w:r w:rsidR="00487BBE">
              <w:rPr>
                <w:rFonts w:ascii="Arial" w:hAnsi="Arial" w:cs="Arial"/>
                <w:sz w:val="24"/>
                <w:szCs w:val="24"/>
                <w:lang w:val="en-US"/>
              </w:rPr>
              <w:t xml:space="preserve">  </w:t>
            </w:r>
            <w:r w:rsidR="006567D8">
              <w:rPr>
                <w:rFonts w:ascii="Arial" w:hAnsi="Arial" w:cs="Arial"/>
                <w:sz w:val="24"/>
                <w:szCs w:val="24"/>
                <w:lang w:val="en-US"/>
              </w:rPr>
              <w:t>Xxxxxxxxxxxxxxxxxxxxxxxxxxxxxxxxxxxxxxxxxxxxxxxxxxxxxxxxxxxxxxxxxxxxxxxxxxxxxxxxxxxxxxxxxxxxxxxxxxxxxxxxxxxxxxxxxxxxxxxxxxxxxxxxxxxxxxxxxxxxxxxxxxxxxxxxxxxxxxxxxxxxxxxxxxxxxxxxxxxxxxxxxxxxxxxxxxxxxxxxxxxxxxxxxxxxxxxxxxxxxxxxxxxxxxxxxxxxx.</w:t>
            </w:r>
          </w:p>
          <w:p w14:paraId="6ABE9078" w14:textId="79EF4334" w:rsidR="00FA2A9A" w:rsidRDefault="006567D8" w:rsidP="00EA5BEE">
            <w:pPr>
              <w:keepNext/>
              <w:spacing w:before="120" w:after="120"/>
              <w:rPr>
                <w:rFonts w:ascii="Arial" w:hAnsi="Arial" w:cs="Arial"/>
                <w:sz w:val="24"/>
                <w:szCs w:val="24"/>
                <w:lang w:val="en-US"/>
              </w:rPr>
            </w:pPr>
            <w:r>
              <w:rPr>
                <w:rFonts w:ascii="Arial" w:hAnsi="Arial" w:cs="Arial"/>
                <w:sz w:val="24"/>
                <w:szCs w:val="24"/>
                <w:lang w:val="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A4D8BFE" w14:textId="39AFF3D4" w:rsidR="00202934" w:rsidRPr="00202934" w:rsidRDefault="00202934" w:rsidP="00EA5BEE">
            <w:pPr>
              <w:keepNext/>
              <w:spacing w:before="120" w:after="120"/>
              <w:rPr>
                <w:rFonts w:ascii="Arial" w:hAnsi="Arial" w:cs="Arial"/>
                <w:b/>
                <w:bCs/>
                <w:i/>
                <w:iCs/>
                <w:sz w:val="24"/>
                <w:szCs w:val="24"/>
                <w:lang w:val="en-US"/>
              </w:rPr>
            </w:pPr>
            <w:r w:rsidRPr="00202934">
              <w:rPr>
                <w:rFonts w:ascii="Arial" w:hAnsi="Arial" w:cs="Arial"/>
                <w:b/>
                <w:bCs/>
                <w:i/>
                <w:iCs/>
                <w:sz w:val="24"/>
                <w:szCs w:val="24"/>
                <w:lang w:val="en-US"/>
              </w:rPr>
              <w:t>Redacted under Section 31 of the FOIA.</w:t>
            </w:r>
          </w:p>
          <w:p w14:paraId="7CAF3906" w14:textId="70ADC4C1" w:rsidR="00487BBE" w:rsidRDefault="00487BBE" w:rsidP="00EA5BEE">
            <w:pPr>
              <w:keepNext/>
              <w:spacing w:before="120" w:after="120"/>
              <w:rPr>
                <w:rFonts w:ascii="Arial" w:hAnsi="Arial" w:cs="Arial"/>
                <w:sz w:val="24"/>
                <w:szCs w:val="24"/>
                <w:lang w:val="en-US"/>
              </w:rPr>
            </w:pPr>
            <w:r>
              <w:rPr>
                <w:rFonts w:ascii="Arial" w:hAnsi="Arial" w:cs="Arial"/>
                <w:sz w:val="24"/>
                <w:szCs w:val="24"/>
                <w:lang w:val="en-US"/>
              </w:rPr>
              <w:t xml:space="preserve">The OPCCs will also have to agree a </w:t>
            </w:r>
            <w:r w:rsidR="004F297A">
              <w:rPr>
                <w:rFonts w:ascii="Arial" w:hAnsi="Arial" w:cs="Arial"/>
                <w:sz w:val="24"/>
                <w:szCs w:val="24"/>
                <w:lang w:val="en-US"/>
              </w:rPr>
              <w:t xml:space="preserve">form </w:t>
            </w:r>
            <w:r>
              <w:rPr>
                <w:rFonts w:ascii="Arial" w:hAnsi="Arial" w:cs="Arial"/>
                <w:sz w:val="24"/>
                <w:szCs w:val="24"/>
                <w:lang w:val="en-US"/>
              </w:rPr>
              <w:t xml:space="preserve">template for publication to their website </w:t>
            </w:r>
            <w:proofErr w:type="gramStart"/>
            <w:r>
              <w:rPr>
                <w:rFonts w:ascii="Arial" w:hAnsi="Arial" w:cs="Arial"/>
                <w:sz w:val="24"/>
                <w:szCs w:val="24"/>
                <w:lang w:val="en-US"/>
              </w:rPr>
              <w:t>in order to</w:t>
            </w:r>
            <w:proofErr w:type="gramEnd"/>
            <w:r>
              <w:rPr>
                <w:rFonts w:ascii="Arial" w:hAnsi="Arial" w:cs="Arial"/>
                <w:sz w:val="24"/>
                <w:szCs w:val="24"/>
                <w:lang w:val="en-US"/>
              </w:rPr>
              <w:t xml:space="preserve"> allow members of the public to submit their </w:t>
            </w:r>
            <w:r w:rsidR="004F297A">
              <w:rPr>
                <w:rFonts w:ascii="Arial" w:hAnsi="Arial" w:cs="Arial"/>
                <w:sz w:val="24"/>
                <w:szCs w:val="24"/>
                <w:lang w:val="en-US"/>
              </w:rPr>
              <w:t>review</w:t>
            </w:r>
            <w:r>
              <w:rPr>
                <w:rFonts w:ascii="Arial" w:hAnsi="Arial" w:cs="Arial"/>
                <w:sz w:val="24"/>
                <w:szCs w:val="24"/>
                <w:lang w:val="en-US"/>
              </w:rPr>
              <w:t>.  This template will need to ensure that all relevant information is collected in order for the correct case to be identified on the Centurion</w:t>
            </w:r>
            <w:r w:rsidR="00276D54">
              <w:rPr>
                <w:rFonts w:ascii="Arial" w:hAnsi="Arial" w:cs="Arial"/>
                <w:sz w:val="24"/>
                <w:szCs w:val="24"/>
                <w:lang w:val="en-US"/>
              </w:rPr>
              <w:t xml:space="preserve"> and Egress</w:t>
            </w:r>
            <w:r>
              <w:rPr>
                <w:rFonts w:ascii="Arial" w:hAnsi="Arial" w:cs="Arial"/>
                <w:sz w:val="24"/>
                <w:szCs w:val="24"/>
                <w:lang w:val="en-US"/>
              </w:rPr>
              <w:t xml:space="preserve"> system</w:t>
            </w:r>
            <w:r w:rsidR="00276D54">
              <w:rPr>
                <w:rFonts w:ascii="Arial" w:hAnsi="Arial" w:cs="Arial"/>
                <w:sz w:val="24"/>
                <w:szCs w:val="24"/>
                <w:lang w:val="en-US"/>
              </w:rPr>
              <w:t>s</w:t>
            </w:r>
            <w:r>
              <w:rPr>
                <w:rFonts w:ascii="Arial" w:hAnsi="Arial" w:cs="Arial"/>
                <w:sz w:val="24"/>
                <w:szCs w:val="24"/>
                <w:lang w:val="en-US"/>
              </w:rPr>
              <w:t>.</w:t>
            </w:r>
          </w:p>
          <w:p w14:paraId="692B86D9" w14:textId="77777777" w:rsidR="00E16C04" w:rsidRPr="00F82A4C" w:rsidRDefault="00E16C04" w:rsidP="00E16C04">
            <w:pPr>
              <w:keepNext/>
              <w:spacing w:before="120" w:after="120"/>
              <w:rPr>
                <w:rFonts w:ascii="Arial" w:hAnsi="Arial" w:cs="Arial"/>
                <w:sz w:val="24"/>
                <w:szCs w:val="24"/>
                <w:lang w:val="en-US"/>
              </w:rPr>
            </w:pPr>
            <w:r>
              <w:rPr>
                <w:rFonts w:ascii="Arial" w:hAnsi="Arial" w:cs="Arial"/>
                <w:sz w:val="24"/>
                <w:szCs w:val="24"/>
                <w:lang w:val="en-US"/>
              </w:rPr>
              <w:t xml:space="preserve">The successful service provider must be able to demonstrate how it will meet </w:t>
            </w:r>
            <w:r w:rsidRPr="00E16C04">
              <w:rPr>
                <w:rFonts w:ascii="Arial" w:hAnsi="Arial" w:cs="Arial"/>
                <w:sz w:val="24"/>
                <w:szCs w:val="24"/>
                <w:lang w:val="en-US"/>
              </w:rPr>
              <w:t>the legal obligations of the Data Protection Act 2018 (the ‘2018 Act’) and the EU General Data</w:t>
            </w:r>
            <w:r>
              <w:rPr>
                <w:rFonts w:ascii="Arial" w:hAnsi="Arial" w:cs="Arial"/>
                <w:sz w:val="24"/>
                <w:szCs w:val="24"/>
                <w:lang w:val="en-US"/>
              </w:rPr>
              <w:t xml:space="preserve"> Protection Regulation (‘GDPR’) in terms of how it</w:t>
            </w:r>
            <w:r w:rsidRPr="00E16C04">
              <w:rPr>
                <w:rFonts w:ascii="Arial" w:hAnsi="Arial" w:cs="Arial"/>
                <w:sz w:val="24"/>
                <w:szCs w:val="24"/>
                <w:lang w:val="en-US"/>
              </w:rPr>
              <w:t xml:space="preserve"> gathers</w:t>
            </w:r>
            <w:r w:rsidR="00A37488">
              <w:rPr>
                <w:rFonts w:ascii="Arial" w:hAnsi="Arial" w:cs="Arial"/>
                <w:sz w:val="24"/>
                <w:szCs w:val="24"/>
                <w:lang w:val="en-US"/>
              </w:rPr>
              <w:t xml:space="preserve">, </w:t>
            </w:r>
            <w:r w:rsidRPr="00E16C04">
              <w:rPr>
                <w:rFonts w:ascii="Arial" w:hAnsi="Arial" w:cs="Arial"/>
                <w:sz w:val="24"/>
                <w:szCs w:val="24"/>
                <w:lang w:val="en-US"/>
              </w:rPr>
              <w:t>uses</w:t>
            </w:r>
            <w:r w:rsidR="00A37488">
              <w:rPr>
                <w:rFonts w:ascii="Arial" w:hAnsi="Arial" w:cs="Arial"/>
                <w:sz w:val="24"/>
                <w:szCs w:val="24"/>
                <w:lang w:val="en-US"/>
              </w:rPr>
              <w:t xml:space="preserve"> and protects</w:t>
            </w:r>
            <w:r w:rsidRPr="00E16C04">
              <w:rPr>
                <w:rFonts w:ascii="Arial" w:hAnsi="Arial" w:cs="Arial"/>
                <w:sz w:val="24"/>
                <w:szCs w:val="24"/>
                <w:lang w:val="en-US"/>
              </w:rPr>
              <w:t xml:space="preserve"> data about workers, employees and</w:t>
            </w:r>
            <w:r>
              <w:rPr>
                <w:rFonts w:ascii="Arial" w:hAnsi="Arial" w:cs="Arial"/>
                <w:sz w:val="24"/>
                <w:szCs w:val="24"/>
                <w:lang w:val="en-US"/>
              </w:rPr>
              <w:t xml:space="preserve"> contractors, both to manage its</w:t>
            </w:r>
            <w:r w:rsidRPr="00E16C04">
              <w:rPr>
                <w:rFonts w:ascii="Arial" w:hAnsi="Arial" w:cs="Arial"/>
                <w:sz w:val="24"/>
                <w:szCs w:val="24"/>
                <w:lang w:val="en-US"/>
              </w:rPr>
              <w:t xml:space="preserve"> relationships with th</w:t>
            </w:r>
            <w:r>
              <w:rPr>
                <w:rFonts w:ascii="Arial" w:hAnsi="Arial" w:cs="Arial"/>
                <w:sz w:val="24"/>
                <w:szCs w:val="24"/>
                <w:lang w:val="en-US"/>
              </w:rPr>
              <w:t>ose</w:t>
            </w:r>
            <w:r w:rsidRPr="00E16C04">
              <w:rPr>
                <w:rFonts w:ascii="Arial" w:hAnsi="Arial" w:cs="Arial"/>
                <w:sz w:val="24"/>
                <w:szCs w:val="24"/>
                <w:lang w:val="en-US"/>
              </w:rPr>
              <w:t xml:space="preserve"> individuals and</w:t>
            </w:r>
            <w:r>
              <w:rPr>
                <w:rFonts w:ascii="Arial" w:hAnsi="Arial" w:cs="Arial"/>
                <w:sz w:val="24"/>
                <w:szCs w:val="24"/>
                <w:lang w:val="en-US"/>
              </w:rPr>
              <w:t xml:space="preserve"> in the course of conducting its</w:t>
            </w:r>
            <w:r w:rsidRPr="00E16C04">
              <w:rPr>
                <w:rFonts w:ascii="Arial" w:hAnsi="Arial" w:cs="Arial"/>
                <w:sz w:val="24"/>
                <w:szCs w:val="24"/>
                <w:lang w:val="en-US"/>
              </w:rPr>
              <w:t xml:space="preserve"> business.</w:t>
            </w:r>
          </w:p>
        </w:tc>
      </w:tr>
    </w:tbl>
    <w:p w14:paraId="6B8C70A5" w14:textId="77777777" w:rsidR="00CF39D4" w:rsidRPr="00F82A4C" w:rsidRDefault="00CF39D4" w:rsidP="00CF39D4">
      <w:pPr>
        <w:spacing w:line="240" w:lineRule="auto"/>
        <w:rPr>
          <w:rFonts w:ascii="Arial" w:hAnsi="Arial" w:cs="Arial"/>
          <w:sz w:val="24"/>
          <w:szCs w:val="24"/>
          <w:lang w:val="en-US"/>
        </w:rPr>
      </w:pPr>
    </w:p>
    <w:tbl>
      <w:tblPr>
        <w:tblStyle w:val="TableGrid"/>
        <w:tblW w:w="0" w:type="auto"/>
        <w:tblLook w:val="04A0" w:firstRow="1" w:lastRow="0" w:firstColumn="1" w:lastColumn="0" w:noHBand="0" w:noVBand="1"/>
      </w:tblPr>
      <w:tblGrid>
        <w:gridCol w:w="9768"/>
      </w:tblGrid>
      <w:tr w:rsidR="00CF39D4" w:rsidRPr="00F82A4C" w14:paraId="40D864E1" w14:textId="77777777" w:rsidTr="00FA2A9A">
        <w:tc>
          <w:tcPr>
            <w:tcW w:w="9994" w:type="dxa"/>
          </w:tcPr>
          <w:p w14:paraId="05CA66DA" w14:textId="77777777" w:rsidR="00CF39D4" w:rsidRPr="00F82A4C" w:rsidRDefault="00CF39D4" w:rsidP="00FA2A9A">
            <w:pPr>
              <w:keepNext/>
              <w:spacing w:before="120" w:after="120"/>
              <w:rPr>
                <w:rFonts w:ascii="Arial" w:hAnsi="Arial" w:cs="Arial"/>
                <w:sz w:val="24"/>
                <w:szCs w:val="24"/>
                <w:lang w:val="en-US"/>
              </w:rPr>
            </w:pPr>
            <w:r w:rsidRPr="00F82A4C">
              <w:rPr>
                <w:rFonts w:ascii="Arial" w:hAnsi="Arial" w:cs="Arial"/>
                <w:b/>
                <w:sz w:val="24"/>
                <w:szCs w:val="24"/>
                <w:lang w:val="en-US"/>
              </w:rPr>
              <w:lastRenderedPageBreak/>
              <w:t>Describe the scope of the processing</w:t>
            </w:r>
            <w:r w:rsidR="00FA2A9A" w:rsidRPr="00F82A4C">
              <w:rPr>
                <w:rFonts w:ascii="Arial" w:hAnsi="Arial" w:cs="Arial"/>
                <w:b/>
                <w:sz w:val="24"/>
                <w:szCs w:val="24"/>
                <w:lang w:val="en-US"/>
              </w:rPr>
              <w:t xml:space="preserve">: </w:t>
            </w:r>
            <w:r w:rsidR="00FA2A9A" w:rsidRPr="00F82A4C">
              <w:rPr>
                <w:rFonts w:ascii="Arial" w:hAnsi="Arial" w:cs="Arial"/>
                <w:sz w:val="24"/>
                <w:szCs w:val="24"/>
                <w:lang w:val="en-US"/>
              </w:rPr>
              <w:t>what is the nature of the data, and does it include special category or criminal offence data? How much data will you be collecting and using? How often? How long will you keep it? How many individuals are affected? What geographical area does it cover?</w:t>
            </w:r>
          </w:p>
        </w:tc>
      </w:tr>
      <w:tr w:rsidR="00FA2A9A" w:rsidRPr="00F82A4C" w14:paraId="0FBC3D85" w14:textId="77777777" w:rsidTr="00FA2A9A">
        <w:trPr>
          <w:trHeight w:val="5102"/>
        </w:trPr>
        <w:tc>
          <w:tcPr>
            <w:tcW w:w="9994" w:type="dxa"/>
          </w:tcPr>
          <w:p w14:paraId="48A2E19B" w14:textId="2D6DE3F2" w:rsidR="00FA2A9A" w:rsidRDefault="00D04293" w:rsidP="00441F5B">
            <w:pPr>
              <w:spacing w:before="120" w:after="120"/>
              <w:rPr>
                <w:rFonts w:ascii="Arial" w:hAnsi="Arial" w:cs="Arial"/>
                <w:sz w:val="24"/>
                <w:szCs w:val="24"/>
                <w:lang w:val="en-US"/>
              </w:rPr>
            </w:pPr>
            <w:r>
              <w:rPr>
                <w:rFonts w:ascii="Arial" w:hAnsi="Arial" w:cs="Arial"/>
                <w:sz w:val="24"/>
                <w:szCs w:val="24"/>
                <w:lang w:val="en-US"/>
              </w:rPr>
              <w:t xml:space="preserve">The nature of the data will be in relation to the review complaints against police officers </w:t>
            </w:r>
            <w:r w:rsidR="00757ED9">
              <w:rPr>
                <w:rFonts w:ascii="Arial" w:hAnsi="Arial" w:cs="Arial"/>
                <w:sz w:val="24"/>
                <w:szCs w:val="24"/>
                <w:lang w:val="en-US"/>
              </w:rPr>
              <w:t xml:space="preserve">and police staff (other than conduct).  This will be undertaken </w:t>
            </w:r>
            <w:r>
              <w:rPr>
                <w:rFonts w:ascii="Arial" w:hAnsi="Arial" w:cs="Arial"/>
                <w:sz w:val="24"/>
                <w:szCs w:val="24"/>
                <w:lang w:val="en-US"/>
              </w:rPr>
              <w:t xml:space="preserve">by an independent service provider on behalf of the </w:t>
            </w:r>
            <w:r w:rsidR="002E73A6">
              <w:rPr>
                <w:rFonts w:ascii="Arial" w:hAnsi="Arial" w:cs="Arial"/>
                <w:sz w:val="24"/>
                <w:szCs w:val="24"/>
                <w:lang w:val="en-US"/>
              </w:rPr>
              <w:t>PCCs</w:t>
            </w:r>
            <w:r>
              <w:rPr>
                <w:rFonts w:ascii="Arial" w:hAnsi="Arial" w:cs="Arial"/>
                <w:sz w:val="24"/>
                <w:szCs w:val="24"/>
                <w:lang w:val="en-US"/>
              </w:rPr>
              <w:t xml:space="preserve"> for, Gwent and North Wales. The amount of data collected will vary depending on the circumstances of each complaint case</w:t>
            </w:r>
            <w:r w:rsidR="00757ED9">
              <w:rPr>
                <w:rFonts w:ascii="Arial" w:hAnsi="Arial" w:cs="Arial"/>
                <w:sz w:val="24"/>
                <w:szCs w:val="24"/>
                <w:lang w:val="en-US"/>
              </w:rPr>
              <w:t xml:space="preserve"> but will include personal and possibly sensitive information relating to areas such as discrimination</w:t>
            </w:r>
            <w:r w:rsidR="004F297A">
              <w:rPr>
                <w:rFonts w:ascii="Arial" w:hAnsi="Arial" w:cs="Arial"/>
                <w:sz w:val="24"/>
                <w:szCs w:val="24"/>
                <w:lang w:val="en-US"/>
              </w:rPr>
              <w:t xml:space="preserve"> in relation to protected characteristics</w:t>
            </w:r>
            <w:r w:rsidR="00757ED9">
              <w:rPr>
                <w:rFonts w:ascii="Arial" w:hAnsi="Arial" w:cs="Arial"/>
                <w:sz w:val="24"/>
                <w:szCs w:val="24"/>
                <w:lang w:val="en-US"/>
              </w:rPr>
              <w:t xml:space="preserve"> and possibly </w:t>
            </w:r>
            <w:r w:rsidR="004F297A">
              <w:rPr>
                <w:rFonts w:ascii="Arial" w:hAnsi="Arial" w:cs="Arial"/>
                <w:sz w:val="24"/>
                <w:szCs w:val="24"/>
                <w:lang w:val="en-US"/>
              </w:rPr>
              <w:t xml:space="preserve">medical information </w:t>
            </w:r>
            <w:r w:rsidR="00757ED9">
              <w:rPr>
                <w:rFonts w:ascii="Arial" w:hAnsi="Arial" w:cs="Arial"/>
                <w:sz w:val="24"/>
                <w:szCs w:val="24"/>
                <w:lang w:val="en-US"/>
              </w:rPr>
              <w:t>depending on the nature of the complaint</w:t>
            </w:r>
            <w:r>
              <w:rPr>
                <w:rFonts w:ascii="Arial" w:hAnsi="Arial" w:cs="Arial"/>
                <w:sz w:val="24"/>
                <w:szCs w:val="24"/>
                <w:lang w:val="en-US"/>
              </w:rPr>
              <w:t xml:space="preserve">. </w:t>
            </w:r>
            <w:r w:rsidR="004E5700">
              <w:rPr>
                <w:rFonts w:ascii="Arial" w:hAnsi="Arial" w:cs="Arial"/>
                <w:sz w:val="24"/>
                <w:szCs w:val="24"/>
                <w:lang w:val="en-US"/>
              </w:rPr>
              <w:t xml:space="preserve">Based </w:t>
            </w:r>
            <w:r>
              <w:rPr>
                <w:rFonts w:ascii="Arial" w:hAnsi="Arial" w:cs="Arial"/>
                <w:sz w:val="24"/>
                <w:szCs w:val="24"/>
                <w:lang w:val="en-US"/>
              </w:rPr>
              <w:t>on historical data it is predicted that the volume of cases per force area will be as follows</w:t>
            </w:r>
            <w:r w:rsidR="004F297A">
              <w:rPr>
                <w:rFonts w:ascii="Arial" w:hAnsi="Arial" w:cs="Arial"/>
                <w:sz w:val="24"/>
                <w:szCs w:val="24"/>
                <w:lang w:val="en-US"/>
              </w:rPr>
              <w:t xml:space="preserve"> (</w:t>
            </w:r>
            <w:r w:rsidR="004F297A" w:rsidRPr="006E402A">
              <w:rPr>
                <w:rFonts w:ascii="Arial" w:hAnsi="Arial" w:cs="Arial"/>
                <w:sz w:val="24"/>
                <w:szCs w:val="24"/>
                <w:lang w:val="en-US"/>
              </w:rPr>
              <w:t>although this is anticipated to increase going forward</w:t>
            </w:r>
            <w:r w:rsidR="004F297A">
              <w:rPr>
                <w:rFonts w:ascii="Arial" w:hAnsi="Arial" w:cs="Arial"/>
                <w:sz w:val="24"/>
                <w:szCs w:val="24"/>
                <w:lang w:val="en-US"/>
              </w:rPr>
              <w:t>)</w:t>
            </w:r>
            <w:r w:rsidR="004F297A" w:rsidRPr="006E402A">
              <w:rPr>
                <w:rFonts w:ascii="Arial" w:hAnsi="Arial" w:cs="Arial"/>
                <w:sz w:val="24"/>
                <w:szCs w:val="24"/>
                <w:lang w:val="en-US"/>
              </w:rPr>
              <w:t>.</w:t>
            </w:r>
            <w:r>
              <w:rPr>
                <w:rFonts w:ascii="Arial" w:hAnsi="Arial" w:cs="Arial"/>
                <w:sz w:val="24"/>
                <w:szCs w:val="24"/>
                <w:lang w:val="en-US"/>
              </w:rPr>
              <w:t xml:space="preserve"> – </w:t>
            </w:r>
          </w:p>
          <w:p w14:paraId="2BB5D74B" w14:textId="6BCE7967" w:rsidR="006E402A" w:rsidRPr="006E402A" w:rsidRDefault="006E402A" w:rsidP="006E402A">
            <w:pPr>
              <w:spacing w:before="120" w:after="120"/>
              <w:rPr>
                <w:rFonts w:ascii="Arial" w:hAnsi="Arial" w:cs="Arial"/>
                <w:sz w:val="24"/>
                <w:szCs w:val="24"/>
                <w:lang w:val="en-US"/>
              </w:rPr>
            </w:pPr>
            <w:r w:rsidRPr="006E402A">
              <w:rPr>
                <w:rFonts w:ascii="Arial" w:hAnsi="Arial" w:cs="Arial"/>
                <w:sz w:val="24"/>
                <w:szCs w:val="24"/>
                <w:lang w:val="en-US"/>
              </w:rPr>
              <w:t xml:space="preserve">North Wales – 51 (2017/18) and 43 </w:t>
            </w:r>
            <w:r w:rsidR="00757ED9">
              <w:rPr>
                <w:rFonts w:ascii="Arial" w:hAnsi="Arial" w:cs="Arial"/>
                <w:sz w:val="24"/>
                <w:szCs w:val="24"/>
                <w:lang w:val="en-US"/>
              </w:rPr>
              <w:t>(</w:t>
            </w:r>
            <w:r w:rsidRPr="006E402A">
              <w:rPr>
                <w:rFonts w:ascii="Arial" w:hAnsi="Arial" w:cs="Arial"/>
                <w:sz w:val="24"/>
                <w:szCs w:val="24"/>
                <w:lang w:val="en-US"/>
              </w:rPr>
              <w:t>2018/19</w:t>
            </w:r>
            <w:r w:rsidR="00757ED9">
              <w:rPr>
                <w:rFonts w:ascii="Arial" w:hAnsi="Arial" w:cs="Arial"/>
                <w:sz w:val="24"/>
                <w:szCs w:val="24"/>
                <w:lang w:val="en-US"/>
              </w:rPr>
              <w:t>)</w:t>
            </w:r>
          </w:p>
          <w:p w14:paraId="7EE6BCBE" w14:textId="77777777" w:rsidR="006E402A" w:rsidRPr="006E402A" w:rsidRDefault="00AA5CA5" w:rsidP="006E402A">
            <w:pPr>
              <w:spacing w:before="120" w:after="120"/>
              <w:rPr>
                <w:rFonts w:ascii="Arial" w:hAnsi="Arial" w:cs="Arial"/>
                <w:sz w:val="24"/>
                <w:szCs w:val="24"/>
                <w:lang w:val="en-US"/>
              </w:rPr>
            </w:pPr>
            <w:r>
              <w:rPr>
                <w:rFonts w:ascii="Arial" w:hAnsi="Arial" w:cs="Arial"/>
                <w:sz w:val="24"/>
                <w:szCs w:val="24"/>
                <w:lang w:val="en-US"/>
              </w:rPr>
              <w:t>Gwent – 24 (2018)</w:t>
            </w:r>
            <w:r w:rsidR="006E402A" w:rsidRPr="006E402A">
              <w:rPr>
                <w:rFonts w:ascii="Arial" w:hAnsi="Arial" w:cs="Arial"/>
                <w:sz w:val="24"/>
                <w:szCs w:val="24"/>
                <w:lang w:val="en-US"/>
              </w:rPr>
              <w:t xml:space="preserve"> </w:t>
            </w:r>
          </w:p>
          <w:p w14:paraId="74E3B20B" w14:textId="6B1450FD" w:rsidR="00D04293" w:rsidRDefault="006E402A" w:rsidP="00441F5B">
            <w:pPr>
              <w:spacing w:before="120" w:after="120"/>
              <w:rPr>
                <w:rFonts w:ascii="Arial" w:hAnsi="Arial" w:cs="Arial"/>
                <w:sz w:val="24"/>
                <w:szCs w:val="24"/>
                <w:lang w:val="en-US"/>
              </w:rPr>
            </w:pPr>
            <w:r>
              <w:rPr>
                <w:rFonts w:ascii="Arial" w:hAnsi="Arial" w:cs="Arial"/>
                <w:sz w:val="24"/>
                <w:szCs w:val="24"/>
                <w:lang w:val="en-US"/>
              </w:rPr>
              <w:t xml:space="preserve">Based on the above there could be </w:t>
            </w:r>
            <w:r w:rsidR="00276D54">
              <w:rPr>
                <w:rFonts w:ascii="Arial" w:hAnsi="Arial" w:cs="Arial"/>
                <w:sz w:val="24"/>
                <w:szCs w:val="24"/>
                <w:lang w:val="en-US"/>
              </w:rPr>
              <w:t>anywhere between 67</w:t>
            </w:r>
            <w:r w:rsidR="00AA5CA5">
              <w:rPr>
                <w:rFonts w:ascii="Arial" w:hAnsi="Arial" w:cs="Arial"/>
                <w:sz w:val="24"/>
                <w:szCs w:val="24"/>
                <w:lang w:val="en-US"/>
              </w:rPr>
              <w:t xml:space="preserve"> and</w:t>
            </w:r>
            <w:r>
              <w:rPr>
                <w:rFonts w:ascii="Arial" w:hAnsi="Arial" w:cs="Arial"/>
                <w:sz w:val="24"/>
                <w:szCs w:val="24"/>
                <w:lang w:val="en-US"/>
              </w:rPr>
              <w:t xml:space="preserve"> </w:t>
            </w:r>
            <w:r w:rsidR="00276D54">
              <w:rPr>
                <w:rFonts w:ascii="Arial" w:hAnsi="Arial" w:cs="Arial"/>
                <w:sz w:val="24"/>
                <w:szCs w:val="24"/>
                <w:lang w:val="en-US"/>
              </w:rPr>
              <w:t>75</w:t>
            </w:r>
            <w:r w:rsidRPr="006E402A">
              <w:rPr>
                <w:rFonts w:ascii="Arial" w:hAnsi="Arial" w:cs="Arial"/>
                <w:sz w:val="24"/>
                <w:szCs w:val="24"/>
                <w:lang w:val="en-US"/>
              </w:rPr>
              <w:t xml:space="preserve"> reviews a year. That could increase </w:t>
            </w:r>
            <w:r>
              <w:rPr>
                <w:rFonts w:ascii="Arial" w:hAnsi="Arial" w:cs="Arial"/>
                <w:sz w:val="24"/>
                <w:szCs w:val="24"/>
                <w:lang w:val="en-US"/>
              </w:rPr>
              <w:t>for al</w:t>
            </w:r>
            <w:r w:rsidRPr="006E402A">
              <w:rPr>
                <w:rFonts w:ascii="Arial" w:hAnsi="Arial" w:cs="Arial"/>
                <w:sz w:val="24"/>
                <w:szCs w:val="24"/>
                <w:lang w:val="en-US"/>
              </w:rPr>
              <w:t>l</w:t>
            </w:r>
            <w:r>
              <w:rPr>
                <w:rFonts w:ascii="Arial" w:hAnsi="Arial" w:cs="Arial"/>
                <w:sz w:val="24"/>
                <w:szCs w:val="24"/>
                <w:lang w:val="en-US"/>
              </w:rPr>
              <w:t xml:space="preserve"> areas</w:t>
            </w:r>
            <w:r w:rsidRPr="006E402A">
              <w:rPr>
                <w:rFonts w:ascii="Arial" w:hAnsi="Arial" w:cs="Arial"/>
                <w:sz w:val="24"/>
                <w:szCs w:val="24"/>
                <w:lang w:val="en-US"/>
              </w:rPr>
              <w:t xml:space="preserve"> </w:t>
            </w:r>
            <w:r w:rsidR="00757ED9">
              <w:rPr>
                <w:rFonts w:ascii="Arial" w:hAnsi="Arial" w:cs="Arial"/>
                <w:sz w:val="24"/>
                <w:szCs w:val="24"/>
                <w:lang w:val="en-US"/>
              </w:rPr>
              <w:t>as</w:t>
            </w:r>
            <w:r w:rsidRPr="006E402A">
              <w:rPr>
                <w:rFonts w:ascii="Arial" w:hAnsi="Arial" w:cs="Arial"/>
                <w:sz w:val="24"/>
                <w:szCs w:val="24"/>
                <w:lang w:val="en-US"/>
              </w:rPr>
              <w:t xml:space="preserve"> </w:t>
            </w:r>
            <w:r w:rsidR="002E73A6">
              <w:rPr>
                <w:rFonts w:ascii="Arial" w:hAnsi="Arial" w:cs="Arial"/>
                <w:sz w:val="24"/>
                <w:szCs w:val="24"/>
                <w:lang w:val="en-US"/>
              </w:rPr>
              <w:t>PCCs</w:t>
            </w:r>
            <w:r w:rsidR="00757ED9">
              <w:rPr>
                <w:rFonts w:ascii="Arial" w:hAnsi="Arial" w:cs="Arial"/>
                <w:sz w:val="24"/>
                <w:szCs w:val="24"/>
                <w:lang w:val="en-US"/>
              </w:rPr>
              <w:t xml:space="preserve"> are likely to be seen as undertaking the reviews from an independent perspective whereas they are currently undertaken by the Head of PSD</w:t>
            </w:r>
            <w:r w:rsidR="004F297A">
              <w:rPr>
                <w:rFonts w:ascii="Arial" w:hAnsi="Arial" w:cs="Arial"/>
                <w:sz w:val="24"/>
                <w:szCs w:val="24"/>
                <w:lang w:val="en-US"/>
              </w:rPr>
              <w:t xml:space="preserve"> on behalf of the Chief Constable</w:t>
            </w:r>
            <w:r w:rsidR="00757ED9">
              <w:rPr>
                <w:rFonts w:ascii="Arial" w:hAnsi="Arial" w:cs="Arial"/>
                <w:sz w:val="24"/>
                <w:szCs w:val="24"/>
                <w:lang w:val="en-US"/>
              </w:rPr>
              <w:t>.</w:t>
            </w:r>
          </w:p>
          <w:p w14:paraId="5E3234EC" w14:textId="77777777" w:rsidR="006E402A" w:rsidRDefault="00D04293" w:rsidP="006E402A">
            <w:pPr>
              <w:spacing w:before="120" w:after="120"/>
              <w:rPr>
                <w:rFonts w:ascii="Arial" w:hAnsi="Arial" w:cs="Arial"/>
                <w:sz w:val="24"/>
                <w:szCs w:val="24"/>
                <w:lang w:val="en-US"/>
              </w:rPr>
            </w:pPr>
            <w:r>
              <w:rPr>
                <w:rFonts w:ascii="Arial" w:hAnsi="Arial" w:cs="Arial"/>
                <w:sz w:val="24"/>
                <w:szCs w:val="24"/>
                <w:lang w:val="en-US"/>
              </w:rPr>
              <w:t xml:space="preserve">The independent service provider will only have access to or retain the information for the period of time required to conduct the review on behalf of the appropriate </w:t>
            </w:r>
            <w:r w:rsidR="002E73A6">
              <w:rPr>
                <w:rFonts w:ascii="Arial" w:hAnsi="Arial" w:cs="Arial"/>
                <w:sz w:val="24"/>
                <w:szCs w:val="24"/>
                <w:lang w:val="en-US"/>
              </w:rPr>
              <w:t>PCC</w:t>
            </w:r>
            <w:r>
              <w:rPr>
                <w:rFonts w:ascii="Arial" w:hAnsi="Arial" w:cs="Arial"/>
                <w:sz w:val="24"/>
                <w:szCs w:val="24"/>
                <w:lang w:val="en-US"/>
              </w:rPr>
              <w:t>.</w:t>
            </w:r>
            <w:r w:rsidR="00E16C04">
              <w:rPr>
                <w:rFonts w:ascii="Arial" w:hAnsi="Arial" w:cs="Arial"/>
                <w:sz w:val="24"/>
                <w:szCs w:val="24"/>
                <w:lang w:val="en-US"/>
              </w:rPr>
              <w:t xml:space="preserve"> </w:t>
            </w:r>
            <w:r w:rsidR="006E402A">
              <w:rPr>
                <w:rFonts w:ascii="Arial" w:hAnsi="Arial" w:cs="Arial"/>
                <w:sz w:val="24"/>
                <w:szCs w:val="24"/>
                <w:lang w:val="en-US"/>
              </w:rPr>
              <w:t xml:space="preserve">Any information will be </w:t>
            </w:r>
          </w:p>
          <w:p w14:paraId="47253559" w14:textId="77777777" w:rsidR="006E402A" w:rsidRPr="006E402A" w:rsidRDefault="006E402A" w:rsidP="006E402A">
            <w:pPr>
              <w:pStyle w:val="ListParagraph"/>
              <w:numPr>
                <w:ilvl w:val="0"/>
                <w:numId w:val="1"/>
              </w:numPr>
              <w:spacing w:before="120" w:after="120"/>
              <w:rPr>
                <w:rFonts w:ascii="Arial" w:hAnsi="Arial" w:cs="Arial"/>
                <w:sz w:val="24"/>
                <w:szCs w:val="24"/>
                <w:lang w:val="en-US"/>
              </w:rPr>
            </w:pPr>
            <w:r w:rsidRPr="006E402A">
              <w:rPr>
                <w:rFonts w:ascii="Arial" w:hAnsi="Arial" w:cs="Arial"/>
                <w:sz w:val="24"/>
                <w:szCs w:val="24"/>
                <w:lang w:val="en-US"/>
              </w:rPr>
              <w:t>collected and processed only for specified, explicit and legitimate purposes;</w:t>
            </w:r>
          </w:p>
          <w:p w14:paraId="797C7B95" w14:textId="77777777" w:rsidR="006E402A" w:rsidRPr="006E402A" w:rsidRDefault="006E402A" w:rsidP="006E402A">
            <w:pPr>
              <w:pStyle w:val="ListParagraph"/>
              <w:numPr>
                <w:ilvl w:val="0"/>
                <w:numId w:val="1"/>
              </w:numPr>
              <w:spacing w:before="120" w:after="120"/>
              <w:rPr>
                <w:rFonts w:ascii="Arial" w:hAnsi="Arial" w:cs="Arial"/>
                <w:sz w:val="24"/>
                <w:szCs w:val="24"/>
                <w:lang w:val="en-US"/>
              </w:rPr>
            </w:pPr>
            <w:r w:rsidRPr="006E402A">
              <w:rPr>
                <w:rFonts w:ascii="Arial" w:hAnsi="Arial" w:cs="Arial"/>
                <w:sz w:val="24"/>
                <w:szCs w:val="24"/>
                <w:lang w:val="en-US"/>
              </w:rPr>
              <w:t>Not be kept for longer than is necessary for the purposes for which it is processed; and</w:t>
            </w:r>
          </w:p>
          <w:p w14:paraId="379E04AE" w14:textId="77777777" w:rsidR="006E402A" w:rsidRPr="006E402A" w:rsidRDefault="006E402A" w:rsidP="006E402A">
            <w:pPr>
              <w:pStyle w:val="ListParagraph"/>
              <w:numPr>
                <w:ilvl w:val="0"/>
                <w:numId w:val="1"/>
              </w:numPr>
              <w:spacing w:before="120" w:after="120"/>
              <w:rPr>
                <w:rFonts w:ascii="Arial" w:hAnsi="Arial" w:cs="Arial"/>
                <w:sz w:val="24"/>
                <w:szCs w:val="24"/>
                <w:lang w:val="en-US"/>
              </w:rPr>
            </w:pPr>
            <w:r w:rsidRPr="006E402A">
              <w:rPr>
                <w:rFonts w:ascii="Arial" w:hAnsi="Arial" w:cs="Arial"/>
                <w:sz w:val="24"/>
                <w:szCs w:val="24"/>
                <w:lang w:val="en-US"/>
              </w:rPr>
              <w:t>Be processed securely.</w:t>
            </w:r>
          </w:p>
          <w:p w14:paraId="4426634C" w14:textId="77777777" w:rsidR="00D04293" w:rsidRPr="00F82A4C" w:rsidRDefault="00757ED9" w:rsidP="00441F5B">
            <w:pPr>
              <w:spacing w:before="120" w:after="120"/>
              <w:rPr>
                <w:rFonts w:ascii="Arial" w:hAnsi="Arial" w:cs="Arial"/>
                <w:sz w:val="24"/>
                <w:szCs w:val="24"/>
                <w:lang w:val="en-US"/>
              </w:rPr>
            </w:pPr>
            <w:r>
              <w:rPr>
                <w:rFonts w:ascii="Arial" w:hAnsi="Arial" w:cs="Arial"/>
                <w:sz w:val="24"/>
                <w:szCs w:val="24"/>
                <w:lang w:val="en-US"/>
              </w:rPr>
              <w:t>All complaint information which is held on the Centurion system is subject to retention periods as set out by MOPI.</w:t>
            </w:r>
          </w:p>
        </w:tc>
      </w:tr>
    </w:tbl>
    <w:p w14:paraId="4390C1CD" w14:textId="77777777" w:rsidR="00CF39D4" w:rsidRPr="00F82A4C" w:rsidRDefault="00CF39D4" w:rsidP="00CF39D4">
      <w:pPr>
        <w:spacing w:line="240" w:lineRule="auto"/>
        <w:rPr>
          <w:rFonts w:ascii="Arial" w:hAnsi="Arial" w:cs="Arial"/>
          <w:sz w:val="24"/>
          <w:szCs w:val="24"/>
          <w:lang w:val="en-US"/>
        </w:rPr>
      </w:pPr>
    </w:p>
    <w:tbl>
      <w:tblPr>
        <w:tblStyle w:val="TableGrid"/>
        <w:tblW w:w="0" w:type="auto"/>
        <w:tblLook w:val="04A0" w:firstRow="1" w:lastRow="0" w:firstColumn="1" w:lastColumn="0" w:noHBand="0" w:noVBand="1"/>
      </w:tblPr>
      <w:tblGrid>
        <w:gridCol w:w="9768"/>
      </w:tblGrid>
      <w:tr w:rsidR="00441F5B" w:rsidRPr="00F82A4C" w14:paraId="5BAF0261" w14:textId="77777777" w:rsidTr="007E352D">
        <w:tc>
          <w:tcPr>
            <w:tcW w:w="9994" w:type="dxa"/>
          </w:tcPr>
          <w:p w14:paraId="2367AEF0" w14:textId="77777777" w:rsidR="00441F5B" w:rsidRPr="00F82A4C" w:rsidRDefault="00441F5B" w:rsidP="007E352D">
            <w:pPr>
              <w:keepNext/>
              <w:spacing w:before="120" w:after="120"/>
              <w:rPr>
                <w:rFonts w:ascii="Arial" w:hAnsi="Arial" w:cs="Arial"/>
                <w:sz w:val="24"/>
                <w:szCs w:val="24"/>
                <w:lang w:val="en-US"/>
              </w:rPr>
            </w:pPr>
            <w:r w:rsidRPr="00F82A4C">
              <w:rPr>
                <w:rFonts w:ascii="Arial" w:hAnsi="Arial" w:cs="Arial"/>
                <w:b/>
                <w:sz w:val="24"/>
                <w:szCs w:val="24"/>
                <w:lang w:val="en-US"/>
              </w:rPr>
              <w:lastRenderedPageBreak/>
              <w:t>Describe the context of the processing</w:t>
            </w:r>
            <w:r w:rsidR="00FA2A9A" w:rsidRPr="00F82A4C">
              <w:rPr>
                <w:rFonts w:ascii="Arial" w:hAnsi="Arial" w:cs="Arial"/>
                <w:b/>
                <w:sz w:val="24"/>
                <w:szCs w:val="24"/>
                <w:lang w:val="en-US"/>
              </w:rPr>
              <w:t xml:space="preserve">: </w:t>
            </w:r>
            <w:r w:rsidR="00FA2A9A" w:rsidRPr="00F82A4C">
              <w:rPr>
                <w:rFonts w:ascii="Arial" w:hAnsi="Arial" w:cs="Arial"/>
                <w:sz w:val="24"/>
                <w:szCs w:val="24"/>
                <w:lang w:val="en-US"/>
              </w:rPr>
              <w:t>what is the nature of your relationship with the individuals? How much control will they have? Would they expect you to use their data in this way?</w:t>
            </w:r>
            <w:r w:rsidR="007E352D" w:rsidRPr="00F82A4C">
              <w:rPr>
                <w:rFonts w:ascii="Arial" w:hAnsi="Arial" w:cs="Arial"/>
                <w:sz w:val="24"/>
                <w:szCs w:val="24"/>
                <w:lang w:val="en-US"/>
              </w:rPr>
              <w:t xml:space="preserve"> Do they include children or other vulnerable groups?</w:t>
            </w:r>
            <w:r w:rsidR="00FA2A9A" w:rsidRPr="00F82A4C">
              <w:rPr>
                <w:rFonts w:ascii="Arial" w:hAnsi="Arial" w:cs="Arial"/>
                <w:sz w:val="24"/>
                <w:szCs w:val="24"/>
                <w:lang w:val="en-US"/>
              </w:rPr>
              <w:t xml:space="preserve"> Are there </w:t>
            </w:r>
            <w:r w:rsidR="007E352D" w:rsidRPr="00F82A4C">
              <w:rPr>
                <w:rFonts w:ascii="Arial" w:hAnsi="Arial" w:cs="Arial"/>
                <w:sz w:val="24"/>
                <w:szCs w:val="24"/>
                <w:lang w:val="en-US"/>
              </w:rPr>
              <w:t>prior</w:t>
            </w:r>
            <w:r w:rsidR="00FA2A9A" w:rsidRPr="00F82A4C">
              <w:rPr>
                <w:rFonts w:ascii="Arial" w:hAnsi="Arial" w:cs="Arial"/>
                <w:sz w:val="24"/>
                <w:szCs w:val="24"/>
                <w:lang w:val="en-US"/>
              </w:rPr>
              <w:t xml:space="preserve"> concerns over this type of processing</w:t>
            </w:r>
            <w:r w:rsidR="007E352D" w:rsidRPr="00F82A4C">
              <w:rPr>
                <w:rFonts w:ascii="Arial" w:hAnsi="Arial" w:cs="Arial"/>
                <w:sz w:val="24"/>
                <w:szCs w:val="24"/>
                <w:lang w:val="en-US"/>
              </w:rPr>
              <w:t xml:space="preserve"> or security flaws</w:t>
            </w:r>
            <w:r w:rsidR="00FA2A9A" w:rsidRPr="00F82A4C">
              <w:rPr>
                <w:rFonts w:ascii="Arial" w:hAnsi="Arial" w:cs="Arial"/>
                <w:sz w:val="24"/>
                <w:szCs w:val="24"/>
                <w:lang w:val="en-US"/>
              </w:rPr>
              <w:t>? Is it novel in any way? What is t</w:t>
            </w:r>
            <w:r w:rsidR="007E352D" w:rsidRPr="00F82A4C">
              <w:rPr>
                <w:rFonts w:ascii="Arial" w:hAnsi="Arial" w:cs="Arial"/>
                <w:sz w:val="24"/>
                <w:szCs w:val="24"/>
                <w:lang w:val="en-US"/>
              </w:rPr>
              <w:t>he current state of technology in this area? Are there any current issues of public concern that you should factor in? Are you signed up to any approved code of conduct or certification scheme (once any have been approved)?</w:t>
            </w:r>
          </w:p>
        </w:tc>
      </w:tr>
      <w:tr w:rsidR="007E352D" w:rsidRPr="00F82A4C" w14:paraId="572B08BF" w14:textId="77777777" w:rsidTr="007E352D">
        <w:trPr>
          <w:trHeight w:val="5669"/>
        </w:trPr>
        <w:tc>
          <w:tcPr>
            <w:tcW w:w="9994" w:type="dxa"/>
          </w:tcPr>
          <w:p w14:paraId="63FB313B" w14:textId="0573DB65" w:rsidR="007E352D" w:rsidRDefault="002E73A6" w:rsidP="002E6702">
            <w:pPr>
              <w:spacing w:before="120" w:after="120"/>
              <w:rPr>
                <w:rFonts w:ascii="Arial" w:hAnsi="Arial" w:cs="Arial"/>
                <w:sz w:val="24"/>
                <w:szCs w:val="24"/>
                <w:lang w:val="en-US"/>
              </w:rPr>
            </w:pPr>
            <w:r>
              <w:rPr>
                <w:rFonts w:ascii="Arial" w:hAnsi="Arial" w:cs="Arial"/>
                <w:sz w:val="24"/>
                <w:szCs w:val="24"/>
                <w:lang w:val="en-US"/>
              </w:rPr>
              <w:t>PCCs</w:t>
            </w:r>
            <w:r w:rsidR="002E6702" w:rsidRPr="002E6702">
              <w:rPr>
                <w:rFonts w:ascii="Arial" w:hAnsi="Arial" w:cs="Arial"/>
                <w:sz w:val="24"/>
                <w:szCs w:val="24"/>
                <w:lang w:val="en-US"/>
              </w:rPr>
              <w:t xml:space="preserve"> will</w:t>
            </w:r>
            <w:r>
              <w:rPr>
                <w:rFonts w:ascii="Arial" w:hAnsi="Arial" w:cs="Arial"/>
                <w:sz w:val="24"/>
                <w:szCs w:val="24"/>
                <w:lang w:val="en-US"/>
              </w:rPr>
              <w:t>,</w:t>
            </w:r>
            <w:r w:rsidR="002E6702" w:rsidRPr="002E6702">
              <w:rPr>
                <w:rFonts w:ascii="Arial" w:hAnsi="Arial" w:cs="Arial"/>
                <w:sz w:val="24"/>
                <w:szCs w:val="24"/>
                <w:lang w:val="en-US"/>
              </w:rPr>
              <w:t xml:space="preserve"> from February 2020</w:t>
            </w:r>
            <w:r>
              <w:rPr>
                <w:rFonts w:ascii="Arial" w:hAnsi="Arial" w:cs="Arial"/>
                <w:sz w:val="24"/>
                <w:szCs w:val="24"/>
                <w:lang w:val="en-US"/>
              </w:rPr>
              <w:t>,</w:t>
            </w:r>
            <w:r w:rsidR="002E6702" w:rsidRPr="002E6702">
              <w:rPr>
                <w:rFonts w:ascii="Arial" w:hAnsi="Arial" w:cs="Arial"/>
                <w:sz w:val="24"/>
                <w:szCs w:val="24"/>
                <w:lang w:val="en-US"/>
              </w:rPr>
              <w:t xml:space="preserve"> be involved in the implementation of new complaints and conduct legislation arising from </w:t>
            </w:r>
            <w:r w:rsidR="004F297A">
              <w:rPr>
                <w:rFonts w:ascii="Arial" w:hAnsi="Arial" w:cs="Arial"/>
                <w:sz w:val="24"/>
                <w:szCs w:val="24"/>
                <w:lang w:val="en-US"/>
              </w:rPr>
              <w:t>the Policing and Crime Act 2017</w:t>
            </w:r>
            <w:r w:rsidR="002E6702" w:rsidRPr="002E6702">
              <w:rPr>
                <w:rFonts w:ascii="Arial" w:hAnsi="Arial" w:cs="Arial"/>
                <w:sz w:val="24"/>
                <w:szCs w:val="24"/>
                <w:lang w:val="en-US"/>
              </w:rPr>
              <w:t xml:space="preserve">. A key element of the reforms will be to carry out independent reviews of police complaints where the Commissioner has been assessed as the relevant </w:t>
            </w:r>
            <w:r w:rsidR="004E5700">
              <w:rPr>
                <w:rFonts w:ascii="Arial" w:hAnsi="Arial" w:cs="Arial"/>
                <w:sz w:val="24"/>
                <w:szCs w:val="24"/>
                <w:lang w:val="en-US"/>
              </w:rPr>
              <w:t>review</w:t>
            </w:r>
            <w:r w:rsidR="002E6702" w:rsidRPr="002E6702">
              <w:rPr>
                <w:rFonts w:ascii="Arial" w:hAnsi="Arial" w:cs="Arial"/>
                <w:sz w:val="24"/>
                <w:szCs w:val="24"/>
                <w:lang w:val="en-US"/>
              </w:rPr>
              <w:t xml:space="preserve"> body and the complainant formally requests a review in respect of the Force’s handling of their complaint.</w:t>
            </w:r>
          </w:p>
          <w:p w14:paraId="369C9726" w14:textId="48B4714E" w:rsidR="002E6702" w:rsidRDefault="002E6702" w:rsidP="00AA5CA5">
            <w:pPr>
              <w:spacing w:before="120" w:after="120"/>
              <w:rPr>
                <w:rFonts w:ascii="Arial" w:hAnsi="Arial" w:cs="Arial"/>
                <w:sz w:val="24"/>
                <w:szCs w:val="24"/>
                <w:lang w:val="en-US"/>
              </w:rPr>
            </w:pPr>
            <w:r>
              <w:rPr>
                <w:rFonts w:ascii="Arial" w:hAnsi="Arial" w:cs="Arial"/>
                <w:sz w:val="24"/>
                <w:szCs w:val="24"/>
                <w:lang w:val="en-US"/>
              </w:rPr>
              <w:t xml:space="preserve">Forces themselves currently carry out the reviews and they are aware that the responsibility for doing so will transfer to </w:t>
            </w:r>
            <w:r w:rsidR="002E73A6">
              <w:rPr>
                <w:rFonts w:ascii="Arial" w:hAnsi="Arial" w:cs="Arial"/>
                <w:sz w:val="24"/>
                <w:szCs w:val="24"/>
                <w:lang w:val="en-US"/>
              </w:rPr>
              <w:t>PCCs</w:t>
            </w:r>
            <w:r>
              <w:rPr>
                <w:rFonts w:ascii="Arial" w:hAnsi="Arial" w:cs="Arial"/>
                <w:sz w:val="24"/>
                <w:szCs w:val="24"/>
                <w:lang w:val="en-US"/>
              </w:rPr>
              <w:t xml:space="preserve"> from 1 February 2020.</w:t>
            </w:r>
            <w:r w:rsidR="00AA5CA5">
              <w:rPr>
                <w:rFonts w:ascii="Arial" w:hAnsi="Arial" w:cs="Arial"/>
                <w:sz w:val="24"/>
                <w:szCs w:val="24"/>
                <w:lang w:val="en-US"/>
              </w:rPr>
              <w:t xml:space="preserve"> </w:t>
            </w:r>
            <w:r w:rsidR="003A1212">
              <w:rPr>
                <w:rFonts w:ascii="Arial" w:hAnsi="Arial" w:cs="Arial"/>
                <w:sz w:val="24"/>
                <w:szCs w:val="24"/>
                <w:lang w:val="en-US"/>
              </w:rPr>
              <w:t xml:space="preserve">This is a statutory responsibility. </w:t>
            </w:r>
            <w:r>
              <w:rPr>
                <w:rFonts w:ascii="Arial" w:hAnsi="Arial" w:cs="Arial"/>
                <w:sz w:val="24"/>
                <w:szCs w:val="24"/>
                <w:lang w:val="en-US"/>
              </w:rPr>
              <w:t>Forces will have the opportunity to comment on the accuracy of the complaint file and they may also be asked to clarify aspects for the independent serv</w:t>
            </w:r>
            <w:r w:rsidR="00AA5CA5">
              <w:rPr>
                <w:rFonts w:ascii="Arial" w:hAnsi="Arial" w:cs="Arial"/>
                <w:sz w:val="24"/>
                <w:szCs w:val="24"/>
                <w:lang w:val="en-US"/>
              </w:rPr>
              <w:t>ice provider. The fact that Commissioners are conducting the reviews is intended to increase transparency and provide enhanced assurance that these matters are dealt with objectively and fairly by an impartial authority</w:t>
            </w:r>
            <w:r w:rsidR="00ED10D6">
              <w:rPr>
                <w:rFonts w:ascii="Arial" w:hAnsi="Arial" w:cs="Arial"/>
                <w:sz w:val="24"/>
                <w:szCs w:val="24"/>
                <w:lang w:val="en-US"/>
              </w:rPr>
              <w:t>, there are no current issues of public concern that need to be considered</w:t>
            </w:r>
            <w:r w:rsidR="00AA5CA5">
              <w:rPr>
                <w:rFonts w:ascii="Arial" w:hAnsi="Arial" w:cs="Arial"/>
                <w:sz w:val="24"/>
                <w:szCs w:val="24"/>
                <w:lang w:val="en-US"/>
              </w:rPr>
              <w:t>.</w:t>
            </w:r>
            <w:r w:rsidR="00ED10D6">
              <w:rPr>
                <w:rFonts w:ascii="Arial" w:hAnsi="Arial" w:cs="Arial"/>
                <w:sz w:val="24"/>
                <w:szCs w:val="24"/>
                <w:lang w:val="en-US"/>
              </w:rPr>
              <w:t xml:space="preserve">  No </w:t>
            </w:r>
            <w:r w:rsidR="00992CD6">
              <w:rPr>
                <w:rFonts w:ascii="Arial" w:hAnsi="Arial" w:cs="Arial"/>
                <w:sz w:val="24"/>
                <w:szCs w:val="24"/>
                <w:lang w:val="en-US"/>
              </w:rPr>
              <w:t>review</w:t>
            </w:r>
            <w:r w:rsidR="00ED10D6">
              <w:rPr>
                <w:rFonts w:ascii="Arial" w:hAnsi="Arial" w:cs="Arial"/>
                <w:sz w:val="24"/>
                <w:szCs w:val="24"/>
                <w:lang w:val="en-US"/>
              </w:rPr>
              <w:t xml:space="preserve"> will be undertaken unless a request is made to do so from the original complainant.  Information relating to these </w:t>
            </w:r>
            <w:r w:rsidR="00992CD6">
              <w:rPr>
                <w:rFonts w:ascii="Arial" w:hAnsi="Arial" w:cs="Arial"/>
                <w:sz w:val="24"/>
                <w:szCs w:val="24"/>
                <w:lang w:val="en-US"/>
              </w:rPr>
              <w:t>review</w:t>
            </w:r>
            <w:r w:rsidR="00ED10D6">
              <w:rPr>
                <w:rFonts w:ascii="Arial" w:hAnsi="Arial" w:cs="Arial"/>
                <w:sz w:val="24"/>
                <w:szCs w:val="24"/>
                <w:lang w:val="en-US"/>
              </w:rPr>
              <w:t>s is unlikely to contain information relating to children but may include requests from people who are vulnerable.  There are no concerns relating to the processing of this information as it already takes place – responsibility will just be moving from PSDs to OPCCs.</w:t>
            </w:r>
          </w:p>
          <w:p w14:paraId="305F6A2B" w14:textId="3E43D092" w:rsidR="00ED10D6" w:rsidRDefault="00ED10D6" w:rsidP="00AA5CA5">
            <w:pPr>
              <w:spacing w:before="120" w:after="120"/>
              <w:rPr>
                <w:rFonts w:ascii="Arial" w:hAnsi="Arial" w:cs="Arial"/>
                <w:sz w:val="24"/>
                <w:szCs w:val="24"/>
                <w:lang w:val="en-US"/>
              </w:rPr>
            </w:pPr>
            <w:r w:rsidRPr="007F0896">
              <w:rPr>
                <w:rFonts w:ascii="Arial" w:hAnsi="Arial" w:cs="Arial"/>
                <w:sz w:val="24"/>
                <w:szCs w:val="24"/>
                <w:lang w:val="en-US"/>
              </w:rPr>
              <w:t>The way in which data is transferred to the external service provider is a concern</w:t>
            </w:r>
            <w:r w:rsidR="00992CD6" w:rsidRPr="007F0896">
              <w:rPr>
                <w:rFonts w:ascii="Arial" w:hAnsi="Arial" w:cs="Arial"/>
                <w:sz w:val="24"/>
                <w:szCs w:val="24"/>
                <w:lang w:val="en-US"/>
              </w:rPr>
              <w:t>.</w:t>
            </w:r>
            <w:r w:rsidRPr="007F0896">
              <w:rPr>
                <w:rFonts w:ascii="Arial" w:hAnsi="Arial" w:cs="Arial"/>
                <w:sz w:val="24"/>
                <w:szCs w:val="24"/>
                <w:lang w:val="en-US"/>
              </w:rPr>
              <w:t xml:space="preserve"> OPCCs need to ensure this information is transferred as securely as possible to limit a data breach </w:t>
            </w:r>
            <w:r w:rsidRPr="00046441">
              <w:rPr>
                <w:rFonts w:ascii="Arial" w:hAnsi="Arial" w:cs="Arial"/>
                <w:sz w:val="24"/>
                <w:szCs w:val="24"/>
                <w:lang w:val="en-US"/>
              </w:rPr>
              <w:t xml:space="preserve">occurring.  </w:t>
            </w:r>
            <w:r w:rsidR="00046441">
              <w:rPr>
                <w:rFonts w:ascii="Arial" w:hAnsi="Arial" w:cs="Arial"/>
                <w:sz w:val="24"/>
                <w:szCs w:val="24"/>
                <w:lang w:val="en-US"/>
              </w:rPr>
              <w:t>Xxxxxxxxxxxxxxxxxxxxxxxxxxxxxxxxxxxxxxxxxxxxxxxxxxxxxxxxxxxxxxxxxxxxxxxxxxxxxxxxxxxxxxxxxxxxxxxxxxxxxxxxxxxxxxxxxxxxxxxxxxxxxxxxxxxxxxxxxxxxxxxxxxxxxxxxxxxxxxxxxxxxxxxxxxxxxxxxxxxxxxxxxxxxxxxxxxxxxxxxxxxxxxxxxxxxxxxxxxxxxxxxxxxxxxxxxxxxx.</w:t>
            </w:r>
          </w:p>
          <w:p w14:paraId="42CBB878" w14:textId="77777777" w:rsidR="00096E3B" w:rsidRPr="00202934" w:rsidRDefault="00096E3B" w:rsidP="00096E3B">
            <w:pPr>
              <w:keepNext/>
              <w:spacing w:before="120" w:after="120"/>
              <w:rPr>
                <w:rFonts w:ascii="Arial" w:hAnsi="Arial" w:cs="Arial"/>
                <w:b/>
                <w:bCs/>
                <w:i/>
                <w:iCs/>
                <w:sz w:val="24"/>
                <w:szCs w:val="24"/>
                <w:lang w:val="en-US"/>
              </w:rPr>
            </w:pPr>
            <w:r w:rsidRPr="00202934">
              <w:rPr>
                <w:rFonts w:ascii="Arial" w:hAnsi="Arial" w:cs="Arial"/>
                <w:b/>
                <w:bCs/>
                <w:i/>
                <w:iCs/>
                <w:sz w:val="24"/>
                <w:szCs w:val="24"/>
                <w:lang w:val="en-US"/>
              </w:rPr>
              <w:t>Redacted under Section 31 of the FOIA.</w:t>
            </w:r>
          </w:p>
          <w:p w14:paraId="5778B389" w14:textId="77777777" w:rsidR="00ED10D6" w:rsidRDefault="00ED10D6" w:rsidP="00AA5CA5">
            <w:pPr>
              <w:spacing w:before="120" w:after="120"/>
              <w:rPr>
                <w:rFonts w:ascii="Arial" w:hAnsi="Arial" w:cs="Arial"/>
                <w:sz w:val="24"/>
                <w:szCs w:val="24"/>
                <w:lang w:val="en-US"/>
              </w:rPr>
            </w:pPr>
          </w:p>
          <w:p w14:paraId="4C8C6649" w14:textId="77777777" w:rsidR="00ED10D6" w:rsidRDefault="00ED10D6" w:rsidP="00AA5CA5">
            <w:pPr>
              <w:spacing w:before="120" w:after="120"/>
              <w:rPr>
                <w:rFonts w:ascii="Arial" w:hAnsi="Arial" w:cs="Arial"/>
                <w:sz w:val="24"/>
                <w:szCs w:val="24"/>
                <w:lang w:val="en-US"/>
              </w:rPr>
            </w:pPr>
            <w:r>
              <w:rPr>
                <w:rFonts w:ascii="Arial" w:hAnsi="Arial" w:cs="Arial"/>
                <w:sz w:val="24"/>
                <w:szCs w:val="24"/>
                <w:lang w:val="en-US"/>
              </w:rPr>
              <w:t>Each OPCC will update its privacy notice to reflect the changes being made.</w:t>
            </w:r>
          </w:p>
          <w:p w14:paraId="413CDE5A" w14:textId="77777777" w:rsidR="00AA5CA5" w:rsidRPr="00F82A4C" w:rsidRDefault="00AA5CA5" w:rsidP="00ED10D6">
            <w:pPr>
              <w:spacing w:before="120" w:after="120"/>
              <w:rPr>
                <w:rFonts w:ascii="Arial" w:hAnsi="Arial" w:cs="Arial"/>
                <w:sz w:val="24"/>
                <w:szCs w:val="24"/>
                <w:lang w:val="en-US"/>
              </w:rPr>
            </w:pPr>
          </w:p>
        </w:tc>
      </w:tr>
    </w:tbl>
    <w:p w14:paraId="28FB705D" w14:textId="77777777" w:rsidR="00441F5B" w:rsidRPr="00F82A4C" w:rsidRDefault="00441F5B" w:rsidP="00441F5B">
      <w:pPr>
        <w:spacing w:line="240" w:lineRule="auto"/>
        <w:rPr>
          <w:rFonts w:ascii="Arial" w:hAnsi="Arial" w:cs="Arial"/>
          <w:sz w:val="24"/>
          <w:szCs w:val="24"/>
          <w:lang w:val="en-US"/>
        </w:rPr>
      </w:pPr>
    </w:p>
    <w:tbl>
      <w:tblPr>
        <w:tblStyle w:val="TableGrid"/>
        <w:tblW w:w="0" w:type="auto"/>
        <w:tblLook w:val="04A0" w:firstRow="1" w:lastRow="0" w:firstColumn="1" w:lastColumn="0" w:noHBand="0" w:noVBand="1"/>
      </w:tblPr>
      <w:tblGrid>
        <w:gridCol w:w="9768"/>
      </w:tblGrid>
      <w:tr w:rsidR="00441F5B" w:rsidRPr="00F82A4C" w14:paraId="49D14354" w14:textId="77777777" w:rsidTr="007E352D">
        <w:tc>
          <w:tcPr>
            <w:tcW w:w="9994" w:type="dxa"/>
          </w:tcPr>
          <w:p w14:paraId="5112659E" w14:textId="77777777" w:rsidR="00441F5B" w:rsidRPr="00F82A4C" w:rsidRDefault="00441F5B" w:rsidP="001C4A2B">
            <w:pPr>
              <w:keepNext/>
              <w:spacing w:before="120" w:after="120"/>
              <w:rPr>
                <w:rFonts w:ascii="Arial" w:hAnsi="Arial" w:cs="Arial"/>
                <w:sz w:val="24"/>
                <w:szCs w:val="24"/>
                <w:lang w:val="en-US"/>
              </w:rPr>
            </w:pPr>
            <w:r w:rsidRPr="00F82A4C">
              <w:rPr>
                <w:rFonts w:ascii="Arial" w:hAnsi="Arial" w:cs="Arial"/>
                <w:b/>
                <w:sz w:val="24"/>
                <w:szCs w:val="24"/>
                <w:lang w:val="en-US"/>
              </w:rPr>
              <w:lastRenderedPageBreak/>
              <w:t>Describe the purposes of the processing</w:t>
            </w:r>
            <w:r w:rsidR="007E352D" w:rsidRPr="00F82A4C">
              <w:rPr>
                <w:rFonts w:ascii="Arial" w:hAnsi="Arial" w:cs="Arial"/>
                <w:b/>
                <w:sz w:val="24"/>
                <w:szCs w:val="24"/>
                <w:lang w:val="en-US"/>
              </w:rPr>
              <w:t xml:space="preserve">: </w:t>
            </w:r>
            <w:r w:rsidR="007E352D" w:rsidRPr="00F82A4C">
              <w:rPr>
                <w:rFonts w:ascii="Arial" w:hAnsi="Arial" w:cs="Arial"/>
                <w:sz w:val="24"/>
                <w:szCs w:val="24"/>
                <w:lang w:val="en-US"/>
              </w:rPr>
              <w:t xml:space="preserve">what do you want to achieve? What is the intended effect on individuals? What are the benefits of the processing – for you, and more broadly? </w:t>
            </w:r>
          </w:p>
        </w:tc>
      </w:tr>
      <w:tr w:rsidR="007E352D" w:rsidRPr="00F82A4C" w14:paraId="59985AE0" w14:textId="77777777" w:rsidTr="007E352D">
        <w:trPr>
          <w:trHeight w:val="4365"/>
        </w:trPr>
        <w:tc>
          <w:tcPr>
            <w:tcW w:w="9994" w:type="dxa"/>
          </w:tcPr>
          <w:p w14:paraId="7C10BAB0" w14:textId="77777777" w:rsidR="007E352D" w:rsidRDefault="00AA5CA5" w:rsidP="00441F5B">
            <w:pPr>
              <w:spacing w:before="120" w:after="120"/>
              <w:rPr>
                <w:rFonts w:ascii="Arial" w:hAnsi="Arial" w:cs="Arial"/>
                <w:sz w:val="24"/>
                <w:szCs w:val="24"/>
                <w:lang w:val="en-US"/>
              </w:rPr>
            </w:pPr>
            <w:r>
              <w:rPr>
                <w:rFonts w:ascii="Arial" w:hAnsi="Arial" w:cs="Arial"/>
                <w:sz w:val="24"/>
                <w:szCs w:val="24"/>
                <w:lang w:val="en-US"/>
              </w:rPr>
              <w:t xml:space="preserve">The benefits are that </w:t>
            </w:r>
            <w:r w:rsidR="002E73A6">
              <w:rPr>
                <w:rFonts w:ascii="Arial" w:hAnsi="Arial" w:cs="Arial"/>
                <w:sz w:val="24"/>
                <w:szCs w:val="24"/>
                <w:lang w:val="en-US"/>
              </w:rPr>
              <w:t>PCCs</w:t>
            </w:r>
            <w:r>
              <w:rPr>
                <w:rFonts w:ascii="Arial" w:hAnsi="Arial" w:cs="Arial"/>
                <w:sz w:val="24"/>
                <w:szCs w:val="24"/>
                <w:lang w:val="en-US"/>
              </w:rPr>
              <w:t xml:space="preserve"> will comply with the relevant police complaints legislation and </w:t>
            </w:r>
            <w:r w:rsidR="003A1212">
              <w:rPr>
                <w:rFonts w:ascii="Arial" w:hAnsi="Arial" w:cs="Arial"/>
                <w:sz w:val="24"/>
                <w:szCs w:val="24"/>
                <w:lang w:val="en-US"/>
              </w:rPr>
              <w:t>the</w:t>
            </w:r>
            <w:r w:rsidR="003A1212" w:rsidRPr="003A1212">
              <w:rPr>
                <w:rFonts w:ascii="Arial" w:hAnsi="Arial" w:cs="Arial"/>
                <w:sz w:val="24"/>
                <w:szCs w:val="24"/>
                <w:lang w:val="en-US"/>
              </w:rPr>
              <w:t xml:space="preserve"> fact that Commissioners are conducting the reviews is intended to increase transparency and provide enhanced assurance that these matters are dealt with objectively and fairly by an impartial authority.</w:t>
            </w:r>
          </w:p>
          <w:p w14:paraId="28D6F597" w14:textId="77777777" w:rsidR="003A1212" w:rsidRPr="00F82A4C" w:rsidRDefault="001C4A2B" w:rsidP="00441F5B">
            <w:pPr>
              <w:spacing w:before="120" w:after="120"/>
              <w:rPr>
                <w:rFonts w:ascii="Arial" w:hAnsi="Arial" w:cs="Arial"/>
                <w:sz w:val="24"/>
                <w:szCs w:val="24"/>
                <w:lang w:val="en-US"/>
              </w:rPr>
            </w:pPr>
            <w:r>
              <w:rPr>
                <w:rFonts w:ascii="Arial" w:hAnsi="Arial" w:cs="Arial"/>
                <w:sz w:val="24"/>
                <w:szCs w:val="24"/>
                <w:lang w:val="en-US"/>
              </w:rPr>
              <w:t xml:space="preserve">A person requesting a review of their complaint </w:t>
            </w:r>
            <w:r w:rsidR="003A1212">
              <w:rPr>
                <w:rFonts w:ascii="Arial" w:hAnsi="Arial" w:cs="Arial"/>
                <w:sz w:val="24"/>
                <w:szCs w:val="24"/>
                <w:lang w:val="en-US"/>
              </w:rPr>
              <w:t xml:space="preserve">can </w:t>
            </w:r>
            <w:r>
              <w:rPr>
                <w:rFonts w:ascii="Arial" w:hAnsi="Arial" w:cs="Arial"/>
                <w:sz w:val="24"/>
                <w:szCs w:val="24"/>
                <w:lang w:val="en-US"/>
              </w:rPr>
              <w:t>be assured that it</w:t>
            </w:r>
            <w:r w:rsidR="003A1212">
              <w:rPr>
                <w:rFonts w:ascii="Arial" w:hAnsi="Arial" w:cs="Arial"/>
                <w:sz w:val="24"/>
                <w:szCs w:val="24"/>
                <w:lang w:val="en-US"/>
              </w:rPr>
              <w:t xml:space="preserve"> will be done independently and by a competent authority</w:t>
            </w:r>
            <w:r w:rsidR="00992CD6">
              <w:rPr>
                <w:rFonts w:ascii="Arial" w:hAnsi="Arial" w:cs="Arial"/>
                <w:sz w:val="24"/>
                <w:szCs w:val="24"/>
                <w:lang w:val="en-US"/>
              </w:rPr>
              <w:t xml:space="preserve"> with full access to the relevant information</w:t>
            </w:r>
            <w:r w:rsidR="003A1212">
              <w:rPr>
                <w:rFonts w:ascii="Arial" w:hAnsi="Arial" w:cs="Arial"/>
                <w:sz w:val="24"/>
                <w:szCs w:val="24"/>
                <w:lang w:val="en-US"/>
              </w:rPr>
              <w:t>.</w:t>
            </w:r>
          </w:p>
        </w:tc>
      </w:tr>
    </w:tbl>
    <w:p w14:paraId="44E325FB" w14:textId="77777777" w:rsidR="004A21D6" w:rsidRPr="00F82A4C" w:rsidRDefault="004A21D6" w:rsidP="000959FF">
      <w:pPr>
        <w:pStyle w:val="Heading1"/>
        <w:rPr>
          <w:rFonts w:ascii="Arial" w:hAnsi="Arial" w:cs="Arial"/>
          <w:sz w:val="24"/>
          <w:lang w:eastAsia="en-GB"/>
        </w:rPr>
      </w:pPr>
      <w:r w:rsidRPr="00F82A4C">
        <w:rPr>
          <w:rFonts w:ascii="Arial" w:hAnsi="Arial" w:cs="Arial"/>
          <w:sz w:val="24"/>
          <w:lang w:eastAsia="en-GB"/>
        </w:rPr>
        <w:t>Step 3: Consultation process</w:t>
      </w:r>
    </w:p>
    <w:tbl>
      <w:tblPr>
        <w:tblStyle w:val="TableGrid"/>
        <w:tblW w:w="0" w:type="auto"/>
        <w:tblLook w:val="04A0" w:firstRow="1" w:lastRow="0" w:firstColumn="1" w:lastColumn="0" w:noHBand="0" w:noVBand="1"/>
      </w:tblPr>
      <w:tblGrid>
        <w:gridCol w:w="9768"/>
      </w:tblGrid>
      <w:tr w:rsidR="004A21D6" w:rsidRPr="00F82A4C" w14:paraId="5DEF7D43" w14:textId="77777777" w:rsidTr="007E352D">
        <w:tc>
          <w:tcPr>
            <w:tcW w:w="9994" w:type="dxa"/>
          </w:tcPr>
          <w:p w14:paraId="5934E985" w14:textId="77777777" w:rsidR="004A21D6" w:rsidRPr="00F82A4C" w:rsidRDefault="007E352D" w:rsidP="007E352D">
            <w:pPr>
              <w:keepNext/>
              <w:spacing w:before="120" w:after="120"/>
              <w:rPr>
                <w:rFonts w:ascii="Arial" w:hAnsi="Arial" w:cs="Arial"/>
                <w:sz w:val="24"/>
                <w:szCs w:val="24"/>
                <w:lang w:val="en-US"/>
              </w:rPr>
            </w:pPr>
            <w:r w:rsidRPr="00F82A4C">
              <w:rPr>
                <w:rFonts w:ascii="Arial" w:hAnsi="Arial" w:cs="Arial"/>
                <w:b/>
                <w:sz w:val="24"/>
                <w:szCs w:val="24"/>
                <w:lang w:val="en-US"/>
              </w:rPr>
              <w:t xml:space="preserve">Consider how to consult with relevant stakeholders: </w:t>
            </w:r>
            <w:r w:rsidRPr="00F82A4C">
              <w:rPr>
                <w:rFonts w:ascii="Arial" w:hAnsi="Arial" w:cs="Arial"/>
                <w:sz w:val="24"/>
                <w:szCs w:val="24"/>
                <w:lang w:val="en-US"/>
              </w:rPr>
              <w:t>describe when and how you will seek individuals’ views – or justify why it’s not appropriate to do so. Who else do you need to involve within your organisation? Do you need to ask your processors to assist? Do you plan to consult information security experts, or any other experts?</w:t>
            </w:r>
          </w:p>
        </w:tc>
      </w:tr>
      <w:tr w:rsidR="007E352D" w:rsidRPr="00F82A4C" w14:paraId="3062B7C6" w14:textId="77777777" w:rsidTr="00C307DC">
        <w:trPr>
          <w:trHeight w:val="3742"/>
        </w:trPr>
        <w:tc>
          <w:tcPr>
            <w:tcW w:w="9994" w:type="dxa"/>
          </w:tcPr>
          <w:p w14:paraId="47A56D66" w14:textId="77777777" w:rsidR="007E352D" w:rsidRPr="00F82A4C" w:rsidRDefault="00590294" w:rsidP="002E73A6">
            <w:pPr>
              <w:spacing w:before="120" w:after="120"/>
              <w:rPr>
                <w:rFonts w:ascii="Arial" w:hAnsi="Arial" w:cs="Arial"/>
                <w:sz w:val="24"/>
                <w:szCs w:val="24"/>
                <w:lang w:val="en-US"/>
              </w:rPr>
            </w:pPr>
            <w:r>
              <w:rPr>
                <w:rFonts w:ascii="Arial" w:hAnsi="Arial" w:cs="Arial"/>
                <w:sz w:val="24"/>
                <w:szCs w:val="24"/>
                <w:lang w:val="en-US"/>
              </w:rPr>
              <w:t xml:space="preserve">Engagement between </w:t>
            </w:r>
            <w:r w:rsidR="002E73A6">
              <w:rPr>
                <w:rFonts w:ascii="Arial" w:hAnsi="Arial" w:cs="Arial"/>
                <w:sz w:val="24"/>
                <w:szCs w:val="24"/>
                <w:lang w:val="en-US"/>
              </w:rPr>
              <w:t xml:space="preserve">PCCs </w:t>
            </w:r>
            <w:r>
              <w:rPr>
                <w:rFonts w:ascii="Arial" w:hAnsi="Arial" w:cs="Arial"/>
                <w:sz w:val="24"/>
                <w:szCs w:val="24"/>
                <w:lang w:val="en-US"/>
              </w:rPr>
              <w:t xml:space="preserve">and Forces has been ongoing for some time on the implementation of the new arrangements. As they are statutory regulations Commissioners and Forces must ensure the appropriate arrangements have been put in place. </w:t>
            </w:r>
            <w:r w:rsidR="001C4A2B">
              <w:rPr>
                <w:rFonts w:ascii="Arial" w:hAnsi="Arial" w:cs="Arial"/>
                <w:sz w:val="24"/>
                <w:szCs w:val="24"/>
                <w:lang w:val="en-US"/>
              </w:rPr>
              <w:t>Any person requesting a review of their complaint will be advised of the relevant process to be followed which will include details of who to contact</w:t>
            </w:r>
            <w:r w:rsidR="00992CD6">
              <w:rPr>
                <w:rFonts w:ascii="Arial" w:hAnsi="Arial" w:cs="Arial"/>
                <w:sz w:val="24"/>
                <w:szCs w:val="24"/>
                <w:lang w:val="en-US"/>
              </w:rPr>
              <w:t>,</w:t>
            </w:r>
            <w:r w:rsidR="001C4A2B">
              <w:rPr>
                <w:rFonts w:ascii="Arial" w:hAnsi="Arial" w:cs="Arial"/>
                <w:sz w:val="24"/>
                <w:szCs w:val="24"/>
                <w:lang w:val="en-US"/>
              </w:rPr>
              <w:t xml:space="preserve"> together with their contact details</w:t>
            </w:r>
            <w:r w:rsidR="00992CD6">
              <w:rPr>
                <w:rFonts w:ascii="Arial" w:hAnsi="Arial" w:cs="Arial"/>
                <w:sz w:val="24"/>
                <w:szCs w:val="24"/>
                <w:lang w:val="en-US"/>
              </w:rPr>
              <w:t xml:space="preserve"> and will be advised how their personal data will be used</w:t>
            </w:r>
            <w:r w:rsidR="001C4A2B">
              <w:rPr>
                <w:rFonts w:ascii="Arial" w:hAnsi="Arial" w:cs="Arial"/>
                <w:sz w:val="24"/>
                <w:szCs w:val="24"/>
                <w:lang w:val="en-US"/>
              </w:rPr>
              <w:t xml:space="preserve">. </w:t>
            </w:r>
          </w:p>
        </w:tc>
      </w:tr>
    </w:tbl>
    <w:p w14:paraId="5630F8FA" w14:textId="77777777" w:rsidR="00441F5B" w:rsidRPr="00F82A4C" w:rsidRDefault="00441F5B" w:rsidP="00441F5B">
      <w:pPr>
        <w:spacing w:line="240" w:lineRule="auto"/>
        <w:rPr>
          <w:rFonts w:ascii="Arial" w:hAnsi="Arial" w:cs="Arial"/>
          <w:sz w:val="24"/>
          <w:szCs w:val="24"/>
          <w:lang w:val="en-US"/>
        </w:rPr>
      </w:pPr>
    </w:p>
    <w:p w14:paraId="2FCC64B0" w14:textId="77777777" w:rsidR="004A21D6" w:rsidRPr="00F82A4C" w:rsidRDefault="004A21D6" w:rsidP="000959FF">
      <w:pPr>
        <w:pStyle w:val="Heading1"/>
        <w:rPr>
          <w:rFonts w:ascii="Arial" w:hAnsi="Arial" w:cs="Arial"/>
          <w:sz w:val="24"/>
          <w:lang w:eastAsia="en-GB"/>
        </w:rPr>
      </w:pPr>
      <w:r w:rsidRPr="00F82A4C">
        <w:rPr>
          <w:rFonts w:ascii="Arial" w:hAnsi="Arial" w:cs="Arial"/>
          <w:sz w:val="24"/>
          <w:lang w:eastAsia="en-GB"/>
        </w:rPr>
        <w:lastRenderedPageBreak/>
        <w:t>Step 4: Assess necessity and proportionality</w:t>
      </w:r>
    </w:p>
    <w:tbl>
      <w:tblPr>
        <w:tblStyle w:val="TableGrid"/>
        <w:tblW w:w="0" w:type="auto"/>
        <w:tblLook w:val="04A0" w:firstRow="1" w:lastRow="0" w:firstColumn="1" w:lastColumn="0" w:noHBand="0" w:noVBand="1"/>
      </w:tblPr>
      <w:tblGrid>
        <w:gridCol w:w="9768"/>
      </w:tblGrid>
      <w:tr w:rsidR="004A21D6" w:rsidRPr="00F82A4C" w14:paraId="551A925C" w14:textId="77777777" w:rsidTr="00C307DC">
        <w:tc>
          <w:tcPr>
            <w:tcW w:w="9994" w:type="dxa"/>
          </w:tcPr>
          <w:p w14:paraId="4F3F93EC" w14:textId="77777777" w:rsidR="004A21D6" w:rsidRPr="00F82A4C" w:rsidRDefault="00C307DC" w:rsidP="00C307DC">
            <w:pPr>
              <w:keepNext/>
              <w:spacing w:before="120" w:after="120"/>
              <w:rPr>
                <w:rFonts w:ascii="Arial" w:hAnsi="Arial" w:cs="Arial"/>
                <w:sz w:val="24"/>
                <w:szCs w:val="24"/>
                <w:lang w:val="en-US"/>
              </w:rPr>
            </w:pPr>
            <w:r w:rsidRPr="00F82A4C">
              <w:rPr>
                <w:rFonts w:ascii="Arial" w:hAnsi="Arial" w:cs="Arial"/>
                <w:b/>
                <w:sz w:val="24"/>
                <w:szCs w:val="24"/>
                <w:lang w:val="en-US"/>
              </w:rPr>
              <w:t>Describe compliance and proportionality measures, in particular:</w:t>
            </w:r>
            <w:r w:rsidRPr="00F82A4C">
              <w:rPr>
                <w:rFonts w:ascii="Arial" w:hAnsi="Arial" w:cs="Arial"/>
                <w:sz w:val="24"/>
                <w:szCs w:val="24"/>
                <w:lang w:val="en-US"/>
              </w:rPr>
              <w:t xml:space="preserve"> what is your lawful basis for processing? Does the processing actually achieve your purpose? Is there another way to achieve the same outcome? How will you prevent function creep? How will you ensure data quality and data </w:t>
            </w:r>
            <w:proofErr w:type="spellStart"/>
            <w:r w:rsidRPr="00F82A4C">
              <w:rPr>
                <w:rFonts w:ascii="Arial" w:hAnsi="Arial" w:cs="Arial"/>
                <w:sz w:val="24"/>
                <w:szCs w:val="24"/>
                <w:lang w:val="en-US"/>
              </w:rPr>
              <w:t>minimisation</w:t>
            </w:r>
            <w:proofErr w:type="spellEnd"/>
            <w:r w:rsidRPr="00F82A4C">
              <w:rPr>
                <w:rFonts w:ascii="Arial" w:hAnsi="Arial" w:cs="Arial"/>
                <w:sz w:val="24"/>
                <w:szCs w:val="24"/>
                <w:lang w:val="en-US"/>
              </w:rPr>
              <w:t>? What information will you give individuals? How will you help to support their rights? What measures do you take to ensure processors comply? How do you safeguard any international transfers?</w:t>
            </w:r>
          </w:p>
        </w:tc>
      </w:tr>
      <w:tr w:rsidR="00C307DC" w:rsidRPr="00F82A4C" w14:paraId="70FC03CA" w14:textId="77777777" w:rsidTr="00C307DC">
        <w:trPr>
          <w:trHeight w:val="3912"/>
        </w:trPr>
        <w:tc>
          <w:tcPr>
            <w:tcW w:w="9994" w:type="dxa"/>
          </w:tcPr>
          <w:p w14:paraId="776DB427" w14:textId="1FF236B6" w:rsidR="00590294" w:rsidRDefault="00590294" w:rsidP="004A21D6">
            <w:pPr>
              <w:spacing w:before="120" w:after="120"/>
              <w:rPr>
                <w:rFonts w:ascii="Arial" w:hAnsi="Arial" w:cs="Arial"/>
                <w:sz w:val="24"/>
                <w:szCs w:val="24"/>
                <w:lang w:val="en-US"/>
              </w:rPr>
            </w:pPr>
            <w:r>
              <w:rPr>
                <w:rFonts w:ascii="Arial" w:hAnsi="Arial" w:cs="Arial"/>
                <w:sz w:val="24"/>
                <w:szCs w:val="24"/>
                <w:lang w:val="en-US"/>
              </w:rPr>
              <w:t xml:space="preserve">It is a statutory requirement for </w:t>
            </w:r>
            <w:r w:rsidR="002E73A6">
              <w:rPr>
                <w:rFonts w:ascii="Arial" w:hAnsi="Arial" w:cs="Arial"/>
                <w:sz w:val="24"/>
                <w:szCs w:val="24"/>
                <w:lang w:val="en-US"/>
              </w:rPr>
              <w:t>PCCs</w:t>
            </w:r>
            <w:r>
              <w:rPr>
                <w:rFonts w:ascii="Arial" w:hAnsi="Arial" w:cs="Arial"/>
                <w:sz w:val="24"/>
                <w:szCs w:val="24"/>
                <w:lang w:val="en-US"/>
              </w:rPr>
              <w:t xml:space="preserve"> to carry out reviews of low level complaint cases.</w:t>
            </w:r>
            <w:r w:rsidR="009E1C27">
              <w:rPr>
                <w:rFonts w:ascii="Arial" w:hAnsi="Arial" w:cs="Arial"/>
                <w:sz w:val="24"/>
                <w:szCs w:val="24"/>
                <w:lang w:val="en-US"/>
              </w:rPr>
              <w:t xml:space="preserve">  The transfer of this responsibility from forces to PCCs is set out in the Policing and Crime Act 2017 and in the Police (Conduct) Regulations 2020 which were approved by Parliament on 10</w:t>
            </w:r>
            <w:r w:rsidR="009E1C27" w:rsidRPr="009E1C27">
              <w:rPr>
                <w:rFonts w:ascii="Arial" w:hAnsi="Arial" w:cs="Arial"/>
                <w:sz w:val="24"/>
                <w:szCs w:val="24"/>
                <w:vertAlign w:val="superscript"/>
                <w:lang w:val="en-US"/>
              </w:rPr>
              <w:t>th</w:t>
            </w:r>
            <w:r w:rsidR="009E1C27">
              <w:rPr>
                <w:rFonts w:ascii="Arial" w:hAnsi="Arial" w:cs="Arial"/>
                <w:sz w:val="24"/>
                <w:szCs w:val="24"/>
                <w:lang w:val="en-US"/>
              </w:rPr>
              <w:t xml:space="preserve"> January 2020 and come into force on 1</w:t>
            </w:r>
            <w:r w:rsidR="009E1C27" w:rsidRPr="004E5700">
              <w:rPr>
                <w:rFonts w:ascii="Arial" w:hAnsi="Arial" w:cs="Arial"/>
                <w:sz w:val="24"/>
                <w:szCs w:val="24"/>
                <w:vertAlign w:val="superscript"/>
                <w:lang w:val="en-US"/>
              </w:rPr>
              <w:t>st</w:t>
            </w:r>
            <w:r w:rsidR="009E1C27">
              <w:rPr>
                <w:rFonts w:ascii="Arial" w:hAnsi="Arial" w:cs="Arial"/>
                <w:sz w:val="24"/>
                <w:szCs w:val="24"/>
                <w:lang w:val="en-US"/>
              </w:rPr>
              <w:t xml:space="preserve"> February 2020.  Therefore</w:t>
            </w:r>
            <w:r w:rsidR="008F38B0">
              <w:rPr>
                <w:rFonts w:ascii="Arial" w:hAnsi="Arial" w:cs="Arial"/>
                <w:sz w:val="24"/>
                <w:szCs w:val="24"/>
                <w:lang w:val="en-US"/>
              </w:rPr>
              <w:t>,</w:t>
            </w:r>
            <w:r w:rsidR="009E1C27">
              <w:rPr>
                <w:rFonts w:ascii="Arial" w:hAnsi="Arial" w:cs="Arial"/>
                <w:sz w:val="24"/>
                <w:szCs w:val="24"/>
                <w:lang w:val="en-US"/>
              </w:rPr>
              <w:t xml:space="preserve"> the legal basis for processing is ‘Legal Obligation’.</w:t>
            </w:r>
            <w:r>
              <w:rPr>
                <w:rFonts w:ascii="Arial" w:hAnsi="Arial" w:cs="Arial"/>
                <w:sz w:val="24"/>
                <w:szCs w:val="24"/>
                <w:lang w:val="en-US"/>
              </w:rPr>
              <w:t xml:space="preserve"> </w:t>
            </w:r>
          </w:p>
          <w:p w14:paraId="46A5291D" w14:textId="77777777" w:rsidR="00590294" w:rsidRPr="00590294" w:rsidRDefault="00590294" w:rsidP="00590294">
            <w:pPr>
              <w:spacing w:before="120" w:after="120"/>
              <w:rPr>
                <w:rFonts w:ascii="Arial" w:hAnsi="Arial" w:cs="Arial"/>
                <w:sz w:val="24"/>
                <w:szCs w:val="24"/>
                <w:lang w:val="en-US"/>
              </w:rPr>
            </w:pPr>
            <w:r w:rsidRPr="00590294">
              <w:rPr>
                <w:rFonts w:ascii="Arial" w:hAnsi="Arial" w:cs="Arial"/>
                <w:sz w:val="24"/>
                <w:szCs w:val="24"/>
                <w:lang w:val="en-US"/>
              </w:rPr>
              <w:t>PCCs act as the voice of the public on policing and crime matters and they are responsible for setting the strategic direction for policing within their respective force areas.</w:t>
            </w:r>
          </w:p>
          <w:p w14:paraId="49271B92" w14:textId="77777777" w:rsidR="00590294" w:rsidRPr="00590294" w:rsidRDefault="00590294" w:rsidP="00590294">
            <w:pPr>
              <w:spacing w:before="120" w:after="120"/>
              <w:rPr>
                <w:rFonts w:ascii="Arial" w:hAnsi="Arial" w:cs="Arial"/>
                <w:sz w:val="24"/>
                <w:szCs w:val="24"/>
                <w:lang w:val="en-US"/>
              </w:rPr>
            </w:pPr>
            <w:r w:rsidRPr="00590294">
              <w:rPr>
                <w:rFonts w:ascii="Arial" w:hAnsi="Arial" w:cs="Arial"/>
                <w:sz w:val="24"/>
                <w:szCs w:val="24"/>
                <w:lang w:val="en-US"/>
              </w:rPr>
              <w:t xml:space="preserve">A key element of the reforms will be to carry out independent reviews of police complaints where the Commissioner has been assessed as the relevant </w:t>
            </w:r>
            <w:r w:rsidR="004E5700">
              <w:rPr>
                <w:rFonts w:ascii="Arial" w:hAnsi="Arial" w:cs="Arial"/>
                <w:sz w:val="24"/>
                <w:szCs w:val="24"/>
                <w:lang w:val="en-US"/>
              </w:rPr>
              <w:t>review</w:t>
            </w:r>
            <w:r w:rsidR="004E5700" w:rsidRPr="00590294">
              <w:rPr>
                <w:rFonts w:ascii="Arial" w:hAnsi="Arial" w:cs="Arial"/>
                <w:sz w:val="24"/>
                <w:szCs w:val="24"/>
                <w:lang w:val="en-US"/>
              </w:rPr>
              <w:t xml:space="preserve"> </w:t>
            </w:r>
            <w:r w:rsidRPr="00590294">
              <w:rPr>
                <w:rFonts w:ascii="Arial" w:hAnsi="Arial" w:cs="Arial"/>
                <w:sz w:val="24"/>
                <w:szCs w:val="24"/>
                <w:lang w:val="en-US"/>
              </w:rPr>
              <w:t xml:space="preserve">body and the complainant formally requests a review in respect of the Force’s handling of their complaint. </w:t>
            </w:r>
          </w:p>
          <w:p w14:paraId="7C59884D" w14:textId="77777777" w:rsidR="00590294" w:rsidRDefault="00590294" w:rsidP="00590294">
            <w:pPr>
              <w:spacing w:before="120" w:after="120"/>
              <w:rPr>
                <w:rFonts w:ascii="Arial" w:hAnsi="Arial" w:cs="Arial"/>
                <w:sz w:val="24"/>
                <w:szCs w:val="24"/>
                <w:lang w:val="en-US"/>
              </w:rPr>
            </w:pPr>
            <w:r w:rsidRPr="00590294">
              <w:rPr>
                <w:rFonts w:ascii="Arial" w:hAnsi="Arial" w:cs="Arial"/>
                <w:sz w:val="24"/>
                <w:szCs w:val="24"/>
                <w:lang w:val="en-US"/>
              </w:rPr>
              <w:t xml:space="preserve">This will require a capacity to independently research and evaluate police complaints processes and procedures as they apply to individual cases and thereafter make recommendations to the relevant </w:t>
            </w:r>
            <w:r w:rsidR="002E73A6">
              <w:rPr>
                <w:rFonts w:ascii="Arial" w:hAnsi="Arial" w:cs="Arial"/>
                <w:sz w:val="24"/>
                <w:szCs w:val="24"/>
                <w:lang w:val="en-US"/>
              </w:rPr>
              <w:t>PCC</w:t>
            </w:r>
            <w:r w:rsidRPr="00590294">
              <w:rPr>
                <w:rFonts w:ascii="Arial" w:hAnsi="Arial" w:cs="Arial"/>
                <w:sz w:val="24"/>
                <w:szCs w:val="24"/>
                <w:lang w:val="en-US"/>
              </w:rPr>
              <w:t xml:space="preserve"> who will then decide on the outcome of the review.</w:t>
            </w:r>
          </w:p>
          <w:p w14:paraId="11CEF121" w14:textId="77777777" w:rsidR="00590294" w:rsidRDefault="00590294" w:rsidP="00590294">
            <w:pPr>
              <w:spacing w:before="120" w:after="120"/>
              <w:rPr>
                <w:rFonts w:ascii="Arial" w:hAnsi="Arial" w:cs="Arial"/>
                <w:sz w:val="24"/>
                <w:szCs w:val="24"/>
                <w:lang w:val="en-US"/>
              </w:rPr>
            </w:pPr>
            <w:r>
              <w:rPr>
                <w:rFonts w:ascii="Arial" w:hAnsi="Arial" w:cs="Arial"/>
                <w:sz w:val="24"/>
                <w:szCs w:val="24"/>
                <w:lang w:val="en-US"/>
              </w:rPr>
              <w:t xml:space="preserve">These arrangements will enable </w:t>
            </w:r>
            <w:r w:rsidR="002E73A6">
              <w:rPr>
                <w:rFonts w:ascii="Arial" w:hAnsi="Arial" w:cs="Arial"/>
                <w:sz w:val="24"/>
                <w:szCs w:val="24"/>
                <w:lang w:val="en-US"/>
              </w:rPr>
              <w:t>PCCs</w:t>
            </w:r>
            <w:r>
              <w:rPr>
                <w:rFonts w:ascii="Arial" w:hAnsi="Arial" w:cs="Arial"/>
                <w:sz w:val="24"/>
                <w:szCs w:val="24"/>
                <w:lang w:val="en-US"/>
              </w:rPr>
              <w:t xml:space="preserve"> to carry out their statutory responsibilities. </w:t>
            </w:r>
            <w:r w:rsidR="00773CEF">
              <w:rPr>
                <w:rFonts w:ascii="Arial" w:hAnsi="Arial" w:cs="Arial"/>
                <w:sz w:val="24"/>
                <w:szCs w:val="24"/>
                <w:lang w:val="en-US"/>
              </w:rPr>
              <w:t>Commissioners may only act within the parameters of their statutory responsibilities and any attempt to go beyond them will be subject to internal controls which could involve the Monitoring Officer, Internal or external audit, the police and crime panel, public services ombudsman, data protection officers. In addition the Forces legal advisors will advise their respective Chief Constables if there is a suggestion of “function creep” and the Police Federation may also challenge such an approach.</w:t>
            </w:r>
          </w:p>
          <w:p w14:paraId="4B053BE8" w14:textId="77777777" w:rsidR="009E1C27" w:rsidRDefault="009E1C27" w:rsidP="00590294">
            <w:pPr>
              <w:spacing w:before="120" w:after="120"/>
              <w:rPr>
                <w:rFonts w:ascii="Arial" w:hAnsi="Arial" w:cs="Arial"/>
                <w:sz w:val="24"/>
                <w:szCs w:val="24"/>
                <w:lang w:val="en-US"/>
              </w:rPr>
            </w:pPr>
            <w:r>
              <w:rPr>
                <w:rFonts w:ascii="Arial" w:hAnsi="Arial" w:cs="Arial"/>
                <w:sz w:val="24"/>
                <w:szCs w:val="24"/>
                <w:lang w:val="en-US"/>
              </w:rPr>
              <w:t>Individuals will be advised of the changes via OPCC websites and amended privacy notices.</w:t>
            </w:r>
          </w:p>
          <w:p w14:paraId="22D8009C" w14:textId="77777777" w:rsidR="009E1C27" w:rsidRDefault="009E1C27" w:rsidP="00590294">
            <w:pPr>
              <w:spacing w:before="120" w:after="120"/>
              <w:rPr>
                <w:rFonts w:ascii="Arial" w:hAnsi="Arial" w:cs="Arial"/>
                <w:sz w:val="24"/>
                <w:szCs w:val="24"/>
                <w:lang w:val="en-US"/>
              </w:rPr>
            </w:pPr>
            <w:r>
              <w:rPr>
                <w:rFonts w:ascii="Arial" w:hAnsi="Arial" w:cs="Arial"/>
                <w:sz w:val="24"/>
                <w:szCs w:val="24"/>
                <w:lang w:val="en-US"/>
              </w:rPr>
              <w:t>There will be no international transfer of information.</w:t>
            </w:r>
          </w:p>
          <w:p w14:paraId="539C2588" w14:textId="77777777" w:rsidR="00E41C6E" w:rsidRDefault="00E41C6E" w:rsidP="004A21D6">
            <w:pPr>
              <w:spacing w:before="120" w:after="120"/>
              <w:rPr>
                <w:rFonts w:ascii="Arial" w:hAnsi="Arial" w:cs="Arial"/>
                <w:sz w:val="24"/>
                <w:szCs w:val="24"/>
                <w:lang w:val="en-US"/>
              </w:rPr>
            </w:pPr>
          </w:p>
          <w:p w14:paraId="2858A97A" w14:textId="77777777" w:rsidR="00E41C6E" w:rsidRDefault="00E41C6E" w:rsidP="004A21D6">
            <w:pPr>
              <w:spacing w:before="120" w:after="120"/>
              <w:rPr>
                <w:rFonts w:ascii="Arial" w:hAnsi="Arial" w:cs="Arial"/>
                <w:sz w:val="24"/>
                <w:szCs w:val="24"/>
                <w:lang w:val="en-US"/>
              </w:rPr>
            </w:pPr>
          </w:p>
          <w:p w14:paraId="6C6A6357" w14:textId="77777777" w:rsidR="00E41C6E" w:rsidRDefault="00E41C6E" w:rsidP="004A21D6">
            <w:pPr>
              <w:spacing w:before="120" w:after="120"/>
              <w:rPr>
                <w:rFonts w:ascii="Arial" w:hAnsi="Arial" w:cs="Arial"/>
                <w:sz w:val="24"/>
                <w:szCs w:val="24"/>
                <w:lang w:val="en-US"/>
              </w:rPr>
            </w:pPr>
          </w:p>
          <w:p w14:paraId="4871FF62" w14:textId="77777777" w:rsidR="00E41C6E" w:rsidRDefault="00E41C6E" w:rsidP="004A21D6">
            <w:pPr>
              <w:spacing w:before="120" w:after="120"/>
              <w:rPr>
                <w:rFonts w:ascii="Arial" w:hAnsi="Arial" w:cs="Arial"/>
                <w:sz w:val="24"/>
                <w:szCs w:val="24"/>
                <w:lang w:val="en-US"/>
              </w:rPr>
            </w:pPr>
          </w:p>
          <w:p w14:paraId="585F3954" w14:textId="77777777" w:rsidR="00E41C6E" w:rsidRDefault="00E41C6E" w:rsidP="004A21D6">
            <w:pPr>
              <w:spacing w:before="120" w:after="120"/>
              <w:rPr>
                <w:rFonts w:ascii="Arial" w:hAnsi="Arial" w:cs="Arial"/>
                <w:sz w:val="24"/>
                <w:szCs w:val="24"/>
                <w:lang w:val="en-US"/>
              </w:rPr>
            </w:pPr>
          </w:p>
          <w:p w14:paraId="5827267A" w14:textId="77777777" w:rsidR="00E41C6E" w:rsidRPr="00F82A4C" w:rsidRDefault="00E41C6E" w:rsidP="004A21D6">
            <w:pPr>
              <w:spacing w:before="120" w:after="120"/>
              <w:rPr>
                <w:rFonts w:ascii="Arial" w:hAnsi="Arial" w:cs="Arial"/>
                <w:sz w:val="24"/>
                <w:szCs w:val="24"/>
                <w:lang w:val="en-US"/>
              </w:rPr>
            </w:pPr>
          </w:p>
        </w:tc>
      </w:tr>
    </w:tbl>
    <w:p w14:paraId="0F2A44B0" w14:textId="77777777" w:rsidR="00D7227C" w:rsidRPr="00F82A4C" w:rsidRDefault="00D7227C" w:rsidP="000959FF">
      <w:pPr>
        <w:pStyle w:val="Heading1"/>
        <w:rPr>
          <w:rFonts w:ascii="Arial" w:hAnsi="Arial" w:cs="Arial"/>
          <w:sz w:val="24"/>
          <w:lang w:eastAsia="en-GB"/>
        </w:rPr>
      </w:pPr>
      <w:r w:rsidRPr="00F82A4C">
        <w:rPr>
          <w:rFonts w:ascii="Arial" w:hAnsi="Arial" w:cs="Arial"/>
          <w:sz w:val="24"/>
          <w:lang w:eastAsia="en-GB"/>
        </w:rPr>
        <w:lastRenderedPageBreak/>
        <w:t>Step 5: Identify and assess risks</w:t>
      </w:r>
    </w:p>
    <w:tbl>
      <w:tblPr>
        <w:tblStyle w:val="TableGrid"/>
        <w:tblW w:w="9974" w:type="dxa"/>
        <w:tblLayout w:type="fixed"/>
        <w:tblLook w:val="0480" w:firstRow="0" w:lastRow="0" w:firstColumn="1" w:lastColumn="0" w:noHBand="0" w:noVBand="1"/>
      </w:tblPr>
      <w:tblGrid>
        <w:gridCol w:w="5920"/>
        <w:gridCol w:w="1418"/>
        <w:gridCol w:w="1376"/>
        <w:gridCol w:w="1260"/>
      </w:tblGrid>
      <w:tr w:rsidR="00857B3B" w:rsidRPr="00F82A4C" w14:paraId="501874B7" w14:textId="77777777" w:rsidTr="00857B3B">
        <w:tc>
          <w:tcPr>
            <w:tcW w:w="5920" w:type="dxa"/>
            <w:shd w:val="clear" w:color="auto" w:fill="FFFFFF" w:themeFill="background1"/>
          </w:tcPr>
          <w:p w14:paraId="6399C16B" w14:textId="77777777" w:rsidR="00857B3B" w:rsidRPr="00F82A4C" w:rsidRDefault="00857B3B" w:rsidP="00857B3B">
            <w:pPr>
              <w:keepNext/>
              <w:spacing w:before="120" w:after="120"/>
              <w:rPr>
                <w:rFonts w:ascii="Arial" w:hAnsi="Arial" w:cs="Arial"/>
                <w:sz w:val="24"/>
                <w:szCs w:val="24"/>
                <w:lang w:val="en-US"/>
              </w:rPr>
            </w:pPr>
            <w:r w:rsidRPr="00F82A4C">
              <w:rPr>
                <w:rFonts w:ascii="Arial" w:hAnsi="Arial" w:cs="Arial"/>
                <w:b/>
                <w:sz w:val="24"/>
                <w:szCs w:val="24"/>
                <w:lang w:val="en-US"/>
              </w:rPr>
              <w:t xml:space="preserve">Describe source of risk and nature of potential impact on individuals. </w:t>
            </w:r>
            <w:r w:rsidRPr="00F82A4C">
              <w:rPr>
                <w:rFonts w:ascii="Arial" w:hAnsi="Arial" w:cs="Arial"/>
                <w:sz w:val="24"/>
                <w:szCs w:val="24"/>
                <w:lang w:val="en-US"/>
              </w:rPr>
              <w:t>Include associated compliance and corporate risks</w:t>
            </w:r>
            <w:r w:rsidRPr="00F82A4C">
              <w:rPr>
                <w:rFonts w:ascii="Arial" w:hAnsi="Arial" w:cs="Arial"/>
                <w:b/>
                <w:sz w:val="24"/>
                <w:szCs w:val="24"/>
                <w:lang w:val="en-US"/>
              </w:rPr>
              <w:t xml:space="preserve"> </w:t>
            </w:r>
            <w:r w:rsidRPr="00F82A4C">
              <w:rPr>
                <w:rFonts w:ascii="Arial" w:hAnsi="Arial" w:cs="Arial"/>
                <w:sz w:val="24"/>
                <w:szCs w:val="24"/>
                <w:lang w:val="en-US"/>
              </w:rPr>
              <w:t xml:space="preserve">as necessary. </w:t>
            </w:r>
          </w:p>
        </w:tc>
        <w:tc>
          <w:tcPr>
            <w:tcW w:w="1418" w:type="dxa"/>
            <w:shd w:val="clear" w:color="auto" w:fill="FFFFFF" w:themeFill="background1"/>
          </w:tcPr>
          <w:p w14:paraId="1C9E0987" w14:textId="77777777" w:rsidR="00857B3B" w:rsidRPr="00F82A4C" w:rsidRDefault="00857B3B" w:rsidP="001B3DEE">
            <w:pPr>
              <w:keepNext/>
              <w:spacing w:before="120" w:after="120"/>
              <w:rPr>
                <w:rFonts w:ascii="Arial" w:hAnsi="Arial" w:cs="Arial"/>
                <w:b/>
                <w:sz w:val="24"/>
                <w:szCs w:val="24"/>
                <w:lang w:val="en-US"/>
              </w:rPr>
            </w:pPr>
            <w:r w:rsidRPr="00F82A4C">
              <w:rPr>
                <w:rFonts w:ascii="Arial" w:hAnsi="Arial" w:cs="Arial"/>
                <w:b/>
                <w:sz w:val="24"/>
                <w:szCs w:val="24"/>
                <w:lang w:val="en-US"/>
              </w:rPr>
              <w:t>Likelihood of harm</w:t>
            </w:r>
          </w:p>
        </w:tc>
        <w:tc>
          <w:tcPr>
            <w:tcW w:w="1376" w:type="dxa"/>
            <w:shd w:val="clear" w:color="auto" w:fill="FFFFFF" w:themeFill="background1"/>
          </w:tcPr>
          <w:p w14:paraId="75E049D8" w14:textId="77777777" w:rsidR="00857B3B" w:rsidRPr="00F82A4C" w:rsidRDefault="00857B3B" w:rsidP="001B3DEE">
            <w:pPr>
              <w:keepNext/>
              <w:spacing w:before="120" w:after="120"/>
              <w:rPr>
                <w:rFonts w:ascii="Arial" w:hAnsi="Arial" w:cs="Arial"/>
                <w:b/>
                <w:sz w:val="24"/>
                <w:szCs w:val="24"/>
                <w:lang w:val="en-US"/>
              </w:rPr>
            </w:pPr>
            <w:r w:rsidRPr="00F82A4C">
              <w:rPr>
                <w:rFonts w:ascii="Arial" w:hAnsi="Arial" w:cs="Arial"/>
                <w:b/>
                <w:sz w:val="24"/>
                <w:szCs w:val="24"/>
                <w:lang w:val="en-US"/>
              </w:rPr>
              <w:t>Severity of harm</w:t>
            </w:r>
          </w:p>
        </w:tc>
        <w:tc>
          <w:tcPr>
            <w:tcW w:w="1260" w:type="dxa"/>
            <w:shd w:val="clear" w:color="auto" w:fill="FFFFFF" w:themeFill="background1"/>
          </w:tcPr>
          <w:p w14:paraId="387DE073" w14:textId="77777777" w:rsidR="00857B3B" w:rsidRPr="00F82A4C" w:rsidRDefault="00857B3B" w:rsidP="001B3DEE">
            <w:pPr>
              <w:keepNext/>
              <w:spacing w:before="120" w:after="120"/>
              <w:rPr>
                <w:rFonts w:ascii="Arial" w:hAnsi="Arial" w:cs="Arial"/>
                <w:b/>
                <w:sz w:val="24"/>
                <w:szCs w:val="24"/>
                <w:lang w:val="en-US"/>
              </w:rPr>
            </w:pPr>
            <w:r w:rsidRPr="00F82A4C">
              <w:rPr>
                <w:rFonts w:ascii="Arial" w:hAnsi="Arial" w:cs="Arial"/>
                <w:b/>
                <w:sz w:val="24"/>
                <w:szCs w:val="24"/>
                <w:lang w:val="en-US"/>
              </w:rPr>
              <w:t xml:space="preserve">Overall risk </w:t>
            </w:r>
          </w:p>
        </w:tc>
      </w:tr>
      <w:tr w:rsidR="00857B3B" w:rsidRPr="00F82A4C" w14:paraId="6A7BA89D" w14:textId="77777777" w:rsidTr="00E41C6E">
        <w:trPr>
          <w:trHeight w:val="10113"/>
        </w:trPr>
        <w:tc>
          <w:tcPr>
            <w:tcW w:w="5920" w:type="dxa"/>
          </w:tcPr>
          <w:p w14:paraId="34313541" w14:textId="77777777" w:rsidR="004603A6" w:rsidRDefault="004603A6" w:rsidP="00D7227C">
            <w:pPr>
              <w:spacing w:before="120" w:after="120"/>
              <w:rPr>
                <w:rFonts w:ascii="Arial" w:hAnsi="Arial" w:cs="Arial"/>
                <w:sz w:val="24"/>
                <w:szCs w:val="24"/>
                <w:lang w:val="en-US"/>
              </w:rPr>
            </w:pPr>
          </w:p>
          <w:p w14:paraId="5ED4CE43" w14:textId="77777777" w:rsidR="00857B3B" w:rsidRDefault="004603A6" w:rsidP="00C36EA3">
            <w:pPr>
              <w:pStyle w:val="ListParagraph"/>
              <w:numPr>
                <w:ilvl w:val="0"/>
                <w:numId w:val="3"/>
              </w:numPr>
              <w:spacing w:before="120" w:after="120"/>
              <w:rPr>
                <w:rFonts w:ascii="Arial" w:hAnsi="Arial" w:cs="Arial"/>
                <w:sz w:val="24"/>
                <w:szCs w:val="24"/>
                <w:lang w:val="en-US"/>
              </w:rPr>
            </w:pPr>
            <w:r w:rsidRPr="00773CEF">
              <w:rPr>
                <w:rFonts w:ascii="Arial" w:hAnsi="Arial" w:cs="Arial"/>
                <w:sz w:val="24"/>
                <w:szCs w:val="24"/>
                <w:lang w:val="en-US"/>
              </w:rPr>
              <w:t xml:space="preserve">The successful independent service provider will not have sufficient expertise to conduct the reviews effectively. If this occurs the person seeking a review of their complaint may not be reassured it has been done thoroughly and by a competent authority. That could result in a loss of confidence in the complaints system. </w:t>
            </w:r>
          </w:p>
          <w:p w14:paraId="24F9BD67" w14:textId="77777777" w:rsidR="00773CEF" w:rsidRDefault="00773CEF" w:rsidP="00773CEF">
            <w:pPr>
              <w:pStyle w:val="ListParagraph"/>
              <w:spacing w:before="120" w:after="120"/>
              <w:rPr>
                <w:rFonts w:ascii="Arial" w:hAnsi="Arial" w:cs="Arial"/>
                <w:sz w:val="24"/>
                <w:szCs w:val="24"/>
                <w:lang w:val="en-US"/>
              </w:rPr>
            </w:pPr>
          </w:p>
          <w:p w14:paraId="1BE3E2D3" w14:textId="77777777" w:rsidR="00773CEF" w:rsidRDefault="00773CEF" w:rsidP="00773CEF">
            <w:pPr>
              <w:pStyle w:val="ListParagraph"/>
              <w:spacing w:before="120" w:after="120"/>
              <w:rPr>
                <w:rFonts w:ascii="Arial" w:hAnsi="Arial" w:cs="Arial"/>
                <w:sz w:val="24"/>
                <w:szCs w:val="24"/>
                <w:lang w:val="en-US"/>
              </w:rPr>
            </w:pPr>
          </w:p>
          <w:p w14:paraId="10817A4B" w14:textId="77777777" w:rsidR="00773CEF" w:rsidRPr="00773CEF" w:rsidRDefault="00773CEF" w:rsidP="00773CEF">
            <w:pPr>
              <w:pStyle w:val="ListParagraph"/>
              <w:spacing w:before="120" w:after="120"/>
              <w:rPr>
                <w:rFonts w:ascii="Arial" w:hAnsi="Arial" w:cs="Arial"/>
                <w:sz w:val="24"/>
                <w:szCs w:val="24"/>
                <w:lang w:val="en-US"/>
              </w:rPr>
            </w:pPr>
          </w:p>
          <w:p w14:paraId="523D4737" w14:textId="77777777" w:rsidR="004603A6" w:rsidRDefault="004603A6" w:rsidP="00D7227C">
            <w:pPr>
              <w:spacing w:before="120" w:after="120"/>
              <w:rPr>
                <w:rFonts w:ascii="Arial" w:hAnsi="Arial" w:cs="Arial"/>
                <w:sz w:val="24"/>
                <w:szCs w:val="24"/>
                <w:lang w:val="en-US"/>
              </w:rPr>
            </w:pPr>
          </w:p>
          <w:p w14:paraId="13E1FD1F" w14:textId="77777777" w:rsidR="000960D1" w:rsidRPr="00C36EA3" w:rsidRDefault="004603A6" w:rsidP="00C36EA3">
            <w:pPr>
              <w:pStyle w:val="ListParagraph"/>
              <w:numPr>
                <w:ilvl w:val="0"/>
                <w:numId w:val="3"/>
              </w:numPr>
              <w:spacing w:before="120" w:after="120"/>
              <w:rPr>
                <w:rFonts w:ascii="Arial" w:hAnsi="Arial" w:cs="Arial"/>
                <w:sz w:val="24"/>
                <w:szCs w:val="24"/>
                <w:lang w:val="en-US"/>
              </w:rPr>
            </w:pPr>
            <w:r w:rsidRPr="00C36EA3">
              <w:rPr>
                <w:rFonts w:ascii="Arial" w:hAnsi="Arial" w:cs="Arial"/>
                <w:sz w:val="24"/>
                <w:szCs w:val="24"/>
                <w:lang w:val="en-US"/>
              </w:rPr>
              <w:t xml:space="preserve">The arrangements for enabling the independent service provider to securely access the complaints file must be robust. A failure to ensure this could result in the disclosure of personal information. </w:t>
            </w:r>
          </w:p>
        </w:tc>
        <w:tc>
          <w:tcPr>
            <w:tcW w:w="1418" w:type="dxa"/>
          </w:tcPr>
          <w:p w14:paraId="5FB85691" w14:textId="77777777" w:rsidR="00857B3B" w:rsidRDefault="00857B3B" w:rsidP="00D7227C">
            <w:pPr>
              <w:spacing w:before="120" w:after="120"/>
              <w:rPr>
                <w:rFonts w:ascii="Arial" w:hAnsi="Arial" w:cs="Arial"/>
                <w:sz w:val="24"/>
                <w:szCs w:val="24"/>
                <w:lang w:val="en-US"/>
              </w:rPr>
            </w:pPr>
            <w:r w:rsidRPr="00F82A4C">
              <w:rPr>
                <w:rFonts w:ascii="Arial" w:hAnsi="Arial" w:cs="Arial"/>
                <w:sz w:val="24"/>
                <w:szCs w:val="24"/>
                <w:lang w:val="en-US"/>
              </w:rPr>
              <w:t>Remote, possible or probable</w:t>
            </w:r>
          </w:p>
          <w:p w14:paraId="3DDDDD61" w14:textId="77777777" w:rsidR="004603A6" w:rsidRDefault="004603A6" w:rsidP="00D7227C">
            <w:pPr>
              <w:spacing w:before="120" w:after="120"/>
              <w:rPr>
                <w:rFonts w:ascii="Arial" w:hAnsi="Arial" w:cs="Arial"/>
                <w:sz w:val="24"/>
                <w:szCs w:val="24"/>
                <w:lang w:val="en-US"/>
              </w:rPr>
            </w:pPr>
          </w:p>
          <w:p w14:paraId="0382B0E0" w14:textId="77777777" w:rsidR="004603A6" w:rsidRDefault="004603A6" w:rsidP="00D7227C">
            <w:pPr>
              <w:spacing w:before="120" w:after="120"/>
              <w:rPr>
                <w:rFonts w:ascii="Arial" w:hAnsi="Arial" w:cs="Arial"/>
                <w:sz w:val="24"/>
                <w:szCs w:val="24"/>
                <w:lang w:val="en-US"/>
              </w:rPr>
            </w:pPr>
            <w:r>
              <w:rPr>
                <w:rFonts w:ascii="Arial" w:hAnsi="Arial" w:cs="Arial"/>
                <w:sz w:val="24"/>
                <w:szCs w:val="24"/>
                <w:lang w:val="en-US"/>
              </w:rPr>
              <w:t>Possible</w:t>
            </w:r>
          </w:p>
          <w:p w14:paraId="47C844A9" w14:textId="77777777" w:rsidR="004603A6" w:rsidRDefault="004603A6" w:rsidP="00D7227C">
            <w:pPr>
              <w:spacing w:before="120" w:after="120"/>
              <w:rPr>
                <w:rFonts w:ascii="Arial" w:hAnsi="Arial" w:cs="Arial"/>
                <w:sz w:val="24"/>
                <w:szCs w:val="24"/>
                <w:lang w:val="en-US"/>
              </w:rPr>
            </w:pPr>
          </w:p>
          <w:p w14:paraId="68FEE594" w14:textId="77777777" w:rsidR="004603A6" w:rsidRDefault="004603A6" w:rsidP="00D7227C">
            <w:pPr>
              <w:spacing w:before="120" w:after="120"/>
              <w:rPr>
                <w:rFonts w:ascii="Arial" w:hAnsi="Arial" w:cs="Arial"/>
                <w:sz w:val="24"/>
                <w:szCs w:val="24"/>
                <w:lang w:val="en-US"/>
              </w:rPr>
            </w:pPr>
          </w:p>
          <w:p w14:paraId="15BA44F9" w14:textId="77777777" w:rsidR="004603A6" w:rsidRDefault="004603A6" w:rsidP="00D7227C">
            <w:pPr>
              <w:spacing w:before="120" w:after="120"/>
              <w:rPr>
                <w:rFonts w:ascii="Arial" w:hAnsi="Arial" w:cs="Arial"/>
                <w:sz w:val="24"/>
                <w:szCs w:val="24"/>
                <w:lang w:val="en-US"/>
              </w:rPr>
            </w:pPr>
          </w:p>
          <w:p w14:paraId="25F4AEA5" w14:textId="77777777" w:rsidR="004603A6" w:rsidRDefault="004603A6" w:rsidP="00D7227C">
            <w:pPr>
              <w:spacing w:before="120" w:after="120"/>
              <w:rPr>
                <w:rFonts w:ascii="Arial" w:hAnsi="Arial" w:cs="Arial"/>
                <w:sz w:val="24"/>
                <w:szCs w:val="24"/>
                <w:lang w:val="en-US"/>
              </w:rPr>
            </w:pPr>
          </w:p>
          <w:p w14:paraId="36DCAD89" w14:textId="77777777" w:rsidR="004603A6" w:rsidRDefault="004603A6" w:rsidP="00D7227C">
            <w:pPr>
              <w:spacing w:before="120" w:after="120"/>
              <w:rPr>
                <w:rFonts w:ascii="Arial" w:hAnsi="Arial" w:cs="Arial"/>
                <w:sz w:val="24"/>
                <w:szCs w:val="24"/>
                <w:lang w:val="en-US"/>
              </w:rPr>
            </w:pPr>
          </w:p>
          <w:p w14:paraId="4AFA2015" w14:textId="77777777" w:rsidR="004603A6" w:rsidRDefault="004603A6" w:rsidP="00D7227C">
            <w:pPr>
              <w:spacing w:before="120" w:after="120"/>
              <w:rPr>
                <w:rFonts w:ascii="Arial" w:hAnsi="Arial" w:cs="Arial"/>
                <w:sz w:val="24"/>
                <w:szCs w:val="24"/>
                <w:lang w:val="en-US"/>
              </w:rPr>
            </w:pPr>
          </w:p>
          <w:p w14:paraId="3A975010" w14:textId="77777777" w:rsidR="00C36EA3" w:rsidRDefault="00C36EA3" w:rsidP="00D7227C">
            <w:pPr>
              <w:spacing w:before="120" w:after="120"/>
              <w:rPr>
                <w:rFonts w:ascii="Arial" w:hAnsi="Arial" w:cs="Arial"/>
                <w:sz w:val="24"/>
                <w:szCs w:val="24"/>
                <w:lang w:val="en-US"/>
              </w:rPr>
            </w:pPr>
          </w:p>
          <w:p w14:paraId="59E758F1" w14:textId="77777777" w:rsidR="004603A6" w:rsidRPr="00F82A4C" w:rsidRDefault="00C36EA3" w:rsidP="00D7227C">
            <w:pPr>
              <w:spacing w:before="120" w:after="120"/>
              <w:rPr>
                <w:rFonts w:ascii="Arial" w:hAnsi="Arial" w:cs="Arial"/>
                <w:sz w:val="24"/>
                <w:szCs w:val="24"/>
                <w:lang w:val="en-US"/>
              </w:rPr>
            </w:pPr>
            <w:r>
              <w:rPr>
                <w:rFonts w:ascii="Arial" w:hAnsi="Arial" w:cs="Arial"/>
                <w:sz w:val="24"/>
                <w:szCs w:val="24"/>
                <w:lang w:val="en-US"/>
              </w:rPr>
              <w:t>Possible</w:t>
            </w:r>
          </w:p>
        </w:tc>
        <w:tc>
          <w:tcPr>
            <w:tcW w:w="1376" w:type="dxa"/>
          </w:tcPr>
          <w:p w14:paraId="1B4BFB4E" w14:textId="77777777" w:rsidR="00857B3B" w:rsidRDefault="00857B3B" w:rsidP="00D7227C">
            <w:pPr>
              <w:spacing w:before="120" w:after="120"/>
              <w:rPr>
                <w:rFonts w:ascii="Arial" w:hAnsi="Arial" w:cs="Arial"/>
                <w:sz w:val="24"/>
                <w:szCs w:val="24"/>
                <w:lang w:val="en-US"/>
              </w:rPr>
            </w:pPr>
            <w:r w:rsidRPr="00F82A4C">
              <w:rPr>
                <w:rFonts w:ascii="Arial" w:hAnsi="Arial" w:cs="Arial"/>
                <w:sz w:val="24"/>
                <w:szCs w:val="24"/>
                <w:lang w:val="en-US"/>
              </w:rPr>
              <w:t>Minimal, significant or severe</w:t>
            </w:r>
          </w:p>
          <w:p w14:paraId="4CF4AC70" w14:textId="77777777" w:rsidR="004603A6" w:rsidRDefault="004603A6" w:rsidP="00D7227C">
            <w:pPr>
              <w:spacing w:before="120" w:after="120"/>
              <w:rPr>
                <w:rFonts w:ascii="Arial" w:hAnsi="Arial" w:cs="Arial"/>
                <w:sz w:val="24"/>
                <w:szCs w:val="24"/>
                <w:lang w:val="en-US"/>
              </w:rPr>
            </w:pPr>
          </w:p>
          <w:p w14:paraId="61881B01" w14:textId="77777777" w:rsidR="004603A6" w:rsidRDefault="004603A6" w:rsidP="00D7227C">
            <w:pPr>
              <w:spacing w:before="120" w:after="120"/>
              <w:rPr>
                <w:rFonts w:ascii="Arial" w:hAnsi="Arial" w:cs="Arial"/>
                <w:sz w:val="24"/>
                <w:szCs w:val="24"/>
                <w:lang w:val="en-US"/>
              </w:rPr>
            </w:pPr>
            <w:r>
              <w:rPr>
                <w:rFonts w:ascii="Arial" w:hAnsi="Arial" w:cs="Arial"/>
                <w:sz w:val="24"/>
                <w:szCs w:val="24"/>
                <w:lang w:val="en-US"/>
              </w:rPr>
              <w:t>Significant</w:t>
            </w:r>
          </w:p>
          <w:p w14:paraId="3D80D8CB" w14:textId="77777777" w:rsidR="00773CEF" w:rsidRDefault="00773CEF" w:rsidP="00D7227C">
            <w:pPr>
              <w:spacing w:before="120" w:after="120"/>
              <w:rPr>
                <w:rFonts w:ascii="Arial" w:hAnsi="Arial" w:cs="Arial"/>
                <w:sz w:val="24"/>
                <w:szCs w:val="24"/>
                <w:lang w:val="en-US"/>
              </w:rPr>
            </w:pPr>
          </w:p>
          <w:p w14:paraId="1309BF03" w14:textId="77777777" w:rsidR="00773CEF" w:rsidRDefault="00773CEF" w:rsidP="00D7227C">
            <w:pPr>
              <w:spacing w:before="120" w:after="120"/>
              <w:rPr>
                <w:rFonts w:ascii="Arial" w:hAnsi="Arial" w:cs="Arial"/>
                <w:sz w:val="24"/>
                <w:szCs w:val="24"/>
                <w:lang w:val="en-US"/>
              </w:rPr>
            </w:pPr>
          </w:p>
          <w:p w14:paraId="77F192B4" w14:textId="77777777" w:rsidR="00773CEF" w:rsidRDefault="00773CEF" w:rsidP="00D7227C">
            <w:pPr>
              <w:spacing w:before="120" w:after="120"/>
              <w:rPr>
                <w:rFonts w:ascii="Arial" w:hAnsi="Arial" w:cs="Arial"/>
                <w:sz w:val="24"/>
                <w:szCs w:val="24"/>
                <w:lang w:val="en-US"/>
              </w:rPr>
            </w:pPr>
          </w:p>
          <w:p w14:paraId="09960193" w14:textId="77777777" w:rsidR="00773CEF" w:rsidRDefault="00773CEF" w:rsidP="00D7227C">
            <w:pPr>
              <w:spacing w:before="120" w:after="120"/>
              <w:rPr>
                <w:rFonts w:ascii="Arial" w:hAnsi="Arial" w:cs="Arial"/>
                <w:sz w:val="24"/>
                <w:szCs w:val="24"/>
                <w:lang w:val="en-US"/>
              </w:rPr>
            </w:pPr>
          </w:p>
          <w:p w14:paraId="5AC71362" w14:textId="77777777" w:rsidR="00773CEF" w:rsidRDefault="00773CEF" w:rsidP="00D7227C">
            <w:pPr>
              <w:spacing w:before="120" w:after="120"/>
              <w:rPr>
                <w:rFonts w:ascii="Arial" w:hAnsi="Arial" w:cs="Arial"/>
                <w:sz w:val="24"/>
                <w:szCs w:val="24"/>
                <w:lang w:val="en-US"/>
              </w:rPr>
            </w:pPr>
          </w:p>
          <w:p w14:paraId="223F6C2C" w14:textId="77777777" w:rsidR="00773CEF" w:rsidRDefault="00773CEF" w:rsidP="00D7227C">
            <w:pPr>
              <w:spacing w:before="120" w:after="120"/>
              <w:rPr>
                <w:rFonts w:ascii="Arial" w:hAnsi="Arial" w:cs="Arial"/>
                <w:sz w:val="24"/>
                <w:szCs w:val="24"/>
                <w:lang w:val="en-US"/>
              </w:rPr>
            </w:pPr>
          </w:p>
          <w:p w14:paraId="1B48AED5" w14:textId="77777777" w:rsidR="00C36EA3" w:rsidRDefault="00C36EA3" w:rsidP="00D7227C">
            <w:pPr>
              <w:spacing w:before="120" w:after="120"/>
              <w:rPr>
                <w:rFonts w:ascii="Arial" w:hAnsi="Arial" w:cs="Arial"/>
                <w:sz w:val="24"/>
                <w:szCs w:val="24"/>
                <w:lang w:val="en-US"/>
              </w:rPr>
            </w:pPr>
          </w:p>
          <w:p w14:paraId="4E67DA40" w14:textId="77777777" w:rsidR="00773CEF" w:rsidRDefault="00773CEF" w:rsidP="00D7227C">
            <w:pPr>
              <w:spacing w:before="120" w:after="120"/>
              <w:rPr>
                <w:rFonts w:ascii="Arial" w:hAnsi="Arial" w:cs="Arial"/>
                <w:sz w:val="24"/>
                <w:szCs w:val="24"/>
                <w:lang w:val="en-US"/>
              </w:rPr>
            </w:pPr>
            <w:r>
              <w:rPr>
                <w:rFonts w:ascii="Arial" w:hAnsi="Arial" w:cs="Arial"/>
                <w:sz w:val="24"/>
                <w:szCs w:val="24"/>
                <w:lang w:val="en-US"/>
              </w:rPr>
              <w:t>Significant</w:t>
            </w:r>
          </w:p>
          <w:p w14:paraId="012C9DEC" w14:textId="77777777" w:rsidR="00773CEF" w:rsidRDefault="00773CEF" w:rsidP="00D7227C">
            <w:pPr>
              <w:spacing w:before="120" w:after="120"/>
              <w:rPr>
                <w:rFonts w:ascii="Arial" w:hAnsi="Arial" w:cs="Arial"/>
                <w:sz w:val="24"/>
                <w:szCs w:val="24"/>
                <w:lang w:val="en-US"/>
              </w:rPr>
            </w:pPr>
          </w:p>
          <w:p w14:paraId="27B323F4" w14:textId="77777777" w:rsidR="00773CEF" w:rsidRDefault="00773CEF" w:rsidP="00D7227C">
            <w:pPr>
              <w:spacing w:before="120" w:after="120"/>
              <w:rPr>
                <w:rFonts w:ascii="Arial" w:hAnsi="Arial" w:cs="Arial"/>
                <w:sz w:val="24"/>
                <w:szCs w:val="24"/>
                <w:lang w:val="en-US"/>
              </w:rPr>
            </w:pPr>
          </w:p>
          <w:p w14:paraId="1E770A7B" w14:textId="77777777" w:rsidR="00773CEF" w:rsidRDefault="00773CEF" w:rsidP="00D7227C">
            <w:pPr>
              <w:spacing w:before="120" w:after="120"/>
              <w:rPr>
                <w:rFonts w:ascii="Arial" w:hAnsi="Arial" w:cs="Arial"/>
                <w:sz w:val="24"/>
                <w:szCs w:val="24"/>
                <w:lang w:val="en-US"/>
              </w:rPr>
            </w:pPr>
          </w:p>
          <w:p w14:paraId="57D9D08F" w14:textId="77777777" w:rsidR="00773CEF" w:rsidRPr="00F82A4C" w:rsidRDefault="00773CEF" w:rsidP="00D7227C">
            <w:pPr>
              <w:spacing w:before="120" w:after="120"/>
              <w:rPr>
                <w:rFonts w:ascii="Arial" w:hAnsi="Arial" w:cs="Arial"/>
                <w:sz w:val="24"/>
                <w:szCs w:val="24"/>
                <w:lang w:val="en-US"/>
              </w:rPr>
            </w:pPr>
          </w:p>
        </w:tc>
        <w:tc>
          <w:tcPr>
            <w:tcW w:w="1260" w:type="dxa"/>
          </w:tcPr>
          <w:p w14:paraId="5A22E529" w14:textId="77777777" w:rsidR="00857B3B" w:rsidRDefault="00857B3B" w:rsidP="00D7227C">
            <w:pPr>
              <w:spacing w:before="120" w:after="120"/>
              <w:rPr>
                <w:rFonts w:ascii="Arial" w:hAnsi="Arial" w:cs="Arial"/>
                <w:sz w:val="24"/>
                <w:szCs w:val="24"/>
                <w:lang w:val="en-US"/>
              </w:rPr>
            </w:pPr>
            <w:r w:rsidRPr="00F82A4C">
              <w:rPr>
                <w:rFonts w:ascii="Arial" w:hAnsi="Arial" w:cs="Arial"/>
                <w:sz w:val="24"/>
                <w:szCs w:val="24"/>
                <w:lang w:val="en-US"/>
              </w:rPr>
              <w:t>Low, medium or high</w:t>
            </w:r>
          </w:p>
          <w:p w14:paraId="07BE4AF0" w14:textId="77777777" w:rsidR="004603A6" w:rsidRDefault="004603A6" w:rsidP="00D7227C">
            <w:pPr>
              <w:spacing w:before="120" w:after="120"/>
              <w:rPr>
                <w:rFonts w:ascii="Arial" w:hAnsi="Arial" w:cs="Arial"/>
                <w:sz w:val="24"/>
                <w:szCs w:val="24"/>
                <w:lang w:val="en-US"/>
              </w:rPr>
            </w:pPr>
          </w:p>
          <w:p w14:paraId="2A4D8206" w14:textId="77777777" w:rsidR="004603A6" w:rsidRDefault="004603A6" w:rsidP="00D7227C">
            <w:pPr>
              <w:spacing w:before="120" w:after="120"/>
              <w:rPr>
                <w:rFonts w:ascii="Arial" w:hAnsi="Arial" w:cs="Arial"/>
                <w:sz w:val="24"/>
                <w:szCs w:val="24"/>
                <w:lang w:val="en-US"/>
              </w:rPr>
            </w:pPr>
            <w:r>
              <w:rPr>
                <w:rFonts w:ascii="Arial" w:hAnsi="Arial" w:cs="Arial"/>
                <w:sz w:val="24"/>
                <w:szCs w:val="24"/>
                <w:lang w:val="en-US"/>
              </w:rPr>
              <w:t>Medium</w:t>
            </w:r>
          </w:p>
          <w:p w14:paraId="7A81F9CA" w14:textId="77777777" w:rsidR="00773CEF" w:rsidRDefault="00773CEF" w:rsidP="00D7227C">
            <w:pPr>
              <w:spacing w:before="120" w:after="120"/>
              <w:rPr>
                <w:rFonts w:ascii="Arial" w:hAnsi="Arial" w:cs="Arial"/>
                <w:sz w:val="24"/>
                <w:szCs w:val="24"/>
                <w:lang w:val="en-US"/>
              </w:rPr>
            </w:pPr>
          </w:p>
          <w:p w14:paraId="6758C3E0" w14:textId="77777777" w:rsidR="00773CEF" w:rsidRDefault="00773CEF" w:rsidP="00D7227C">
            <w:pPr>
              <w:spacing w:before="120" w:after="120"/>
              <w:rPr>
                <w:rFonts w:ascii="Arial" w:hAnsi="Arial" w:cs="Arial"/>
                <w:sz w:val="24"/>
                <w:szCs w:val="24"/>
                <w:lang w:val="en-US"/>
              </w:rPr>
            </w:pPr>
          </w:p>
          <w:p w14:paraId="535F4E34" w14:textId="77777777" w:rsidR="00773CEF" w:rsidRDefault="00773CEF" w:rsidP="00D7227C">
            <w:pPr>
              <w:spacing w:before="120" w:after="120"/>
              <w:rPr>
                <w:rFonts w:ascii="Arial" w:hAnsi="Arial" w:cs="Arial"/>
                <w:sz w:val="24"/>
                <w:szCs w:val="24"/>
                <w:lang w:val="en-US"/>
              </w:rPr>
            </w:pPr>
          </w:p>
          <w:p w14:paraId="0A47F4F7" w14:textId="77777777" w:rsidR="00773CEF" w:rsidRDefault="00773CEF" w:rsidP="00D7227C">
            <w:pPr>
              <w:spacing w:before="120" w:after="120"/>
              <w:rPr>
                <w:rFonts w:ascii="Arial" w:hAnsi="Arial" w:cs="Arial"/>
                <w:sz w:val="24"/>
                <w:szCs w:val="24"/>
                <w:lang w:val="en-US"/>
              </w:rPr>
            </w:pPr>
          </w:p>
          <w:p w14:paraId="058D5391" w14:textId="77777777" w:rsidR="00773CEF" w:rsidRDefault="00773CEF" w:rsidP="00D7227C">
            <w:pPr>
              <w:spacing w:before="120" w:after="120"/>
              <w:rPr>
                <w:rFonts w:ascii="Arial" w:hAnsi="Arial" w:cs="Arial"/>
                <w:sz w:val="24"/>
                <w:szCs w:val="24"/>
                <w:lang w:val="en-US"/>
              </w:rPr>
            </w:pPr>
          </w:p>
          <w:p w14:paraId="19CB9F1F" w14:textId="77777777" w:rsidR="00773CEF" w:rsidRDefault="00773CEF" w:rsidP="00D7227C">
            <w:pPr>
              <w:spacing w:before="120" w:after="120"/>
              <w:rPr>
                <w:rFonts w:ascii="Arial" w:hAnsi="Arial" w:cs="Arial"/>
                <w:sz w:val="24"/>
                <w:szCs w:val="24"/>
                <w:lang w:val="en-US"/>
              </w:rPr>
            </w:pPr>
          </w:p>
          <w:p w14:paraId="397876F4" w14:textId="77777777" w:rsidR="00C36EA3" w:rsidRDefault="00C36EA3" w:rsidP="00D7227C">
            <w:pPr>
              <w:spacing w:before="120" w:after="120"/>
              <w:rPr>
                <w:rFonts w:ascii="Arial" w:hAnsi="Arial" w:cs="Arial"/>
                <w:sz w:val="24"/>
                <w:szCs w:val="24"/>
                <w:lang w:val="en-US"/>
              </w:rPr>
            </w:pPr>
          </w:p>
          <w:p w14:paraId="5D784854" w14:textId="77777777" w:rsidR="00773CEF" w:rsidRPr="00F82A4C" w:rsidRDefault="00773CEF" w:rsidP="00D7227C">
            <w:pPr>
              <w:spacing w:before="120" w:after="120"/>
              <w:rPr>
                <w:rFonts w:ascii="Arial" w:hAnsi="Arial" w:cs="Arial"/>
                <w:sz w:val="24"/>
                <w:szCs w:val="24"/>
                <w:lang w:val="en-US"/>
              </w:rPr>
            </w:pPr>
            <w:r>
              <w:rPr>
                <w:rFonts w:ascii="Arial" w:hAnsi="Arial" w:cs="Arial"/>
                <w:sz w:val="24"/>
                <w:szCs w:val="24"/>
                <w:lang w:val="en-US"/>
              </w:rPr>
              <w:t>Medium</w:t>
            </w:r>
          </w:p>
        </w:tc>
      </w:tr>
    </w:tbl>
    <w:p w14:paraId="250070AB" w14:textId="77777777" w:rsidR="00F27089" w:rsidRPr="00F82A4C" w:rsidRDefault="00F27089" w:rsidP="000959FF">
      <w:pPr>
        <w:pStyle w:val="Heading1"/>
        <w:rPr>
          <w:rFonts w:ascii="Arial" w:hAnsi="Arial" w:cs="Arial"/>
          <w:sz w:val="24"/>
          <w:lang w:eastAsia="en-GB"/>
        </w:rPr>
      </w:pPr>
      <w:r w:rsidRPr="00F82A4C">
        <w:rPr>
          <w:rFonts w:ascii="Arial" w:hAnsi="Arial" w:cs="Arial"/>
          <w:sz w:val="24"/>
          <w:lang w:eastAsia="en-GB"/>
        </w:rPr>
        <w:lastRenderedPageBreak/>
        <w:t>Step 6: Identify measures to reduce risk</w:t>
      </w:r>
    </w:p>
    <w:tbl>
      <w:tblPr>
        <w:tblStyle w:val="TableGrid"/>
        <w:tblW w:w="0" w:type="auto"/>
        <w:tblLook w:val="04A0" w:firstRow="1" w:lastRow="0" w:firstColumn="1" w:lastColumn="0" w:noHBand="0" w:noVBand="1"/>
      </w:tblPr>
      <w:tblGrid>
        <w:gridCol w:w="1686"/>
        <w:gridCol w:w="3883"/>
        <w:gridCol w:w="1481"/>
        <w:gridCol w:w="1421"/>
        <w:gridCol w:w="1297"/>
      </w:tblGrid>
      <w:tr w:rsidR="00F27089" w:rsidRPr="00F82A4C" w14:paraId="1C4F4961" w14:textId="77777777" w:rsidTr="00857B3B">
        <w:tc>
          <w:tcPr>
            <w:tcW w:w="9994" w:type="dxa"/>
            <w:gridSpan w:val="5"/>
          </w:tcPr>
          <w:p w14:paraId="1CEF1D99" w14:textId="77777777" w:rsidR="00F27089" w:rsidRPr="00F82A4C" w:rsidRDefault="00F27089" w:rsidP="000959FF">
            <w:pPr>
              <w:keepNext/>
              <w:spacing w:before="120" w:after="120"/>
              <w:rPr>
                <w:rFonts w:ascii="Arial" w:hAnsi="Arial" w:cs="Arial"/>
                <w:sz w:val="24"/>
                <w:szCs w:val="24"/>
                <w:lang w:val="en-US"/>
              </w:rPr>
            </w:pPr>
            <w:r w:rsidRPr="00F82A4C">
              <w:rPr>
                <w:rFonts w:ascii="Arial" w:hAnsi="Arial" w:cs="Arial"/>
                <w:b/>
                <w:sz w:val="24"/>
                <w:szCs w:val="24"/>
                <w:lang w:val="en-US"/>
              </w:rPr>
              <w:t xml:space="preserve">Identify </w:t>
            </w:r>
            <w:r w:rsidR="000959FF" w:rsidRPr="00F82A4C">
              <w:rPr>
                <w:rFonts w:ascii="Arial" w:hAnsi="Arial" w:cs="Arial"/>
                <w:b/>
                <w:sz w:val="24"/>
                <w:szCs w:val="24"/>
                <w:lang w:val="en-US"/>
              </w:rPr>
              <w:t>additional measures you could take to reduce or eliminate risks identified</w:t>
            </w:r>
            <w:r w:rsidR="00857B3B" w:rsidRPr="00F82A4C">
              <w:rPr>
                <w:rFonts w:ascii="Arial" w:hAnsi="Arial" w:cs="Arial"/>
                <w:b/>
                <w:sz w:val="24"/>
                <w:szCs w:val="24"/>
                <w:lang w:val="en-US"/>
              </w:rPr>
              <w:t xml:space="preserve"> as medium or high risk in step 5</w:t>
            </w:r>
          </w:p>
        </w:tc>
      </w:tr>
      <w:tr w:rsidR="00A63285" w:rsidRPr="00F82A4C" w14:paraId="0769F426" w14:textId="77777777" w:rsidTr="00857B3B">
        <w:tc>
          <w:tcPr>
            <w:tcW w:w="1764" w:type="dxa"/>
            <w:shd w:val="clear" w:color="auto" w:fill="FFFFFF" w:themeFill="background1"/>
          </w:tcPr>
          <w:p w14:paraId="28BEDD11" w14:textId="77777777" w:rsidR="00A63285" w:rsidRPr="00F82A4C" w:rsidRDefault="00857B3B" w:rsidP="0048248F">
            <w:pPr>
              <w:keepNext/>
              <w:spacing w:before="120" w:after="120"/>
              <w:rPr>
                <w:rFonts w:ascii="Arial" w:hAnsi="Arial" w:cs="Arial"/>
                <w:b/>
                <w:sz w:val="24"/>
                <w:szCs w:val="24"/>
                <w:lang w:val="en-US"/>
              </w:rPr>
            </w:pPr>
            <w:r w:rsidRPr="00F82A4C">
              <w:rPr>
                <w:rFonts w:ascii="Arial" w:hAnsi="Arial" w:cs="Arial"/>
                <w:b/>
                <w:sz w:val="24"/>
                <w:szCs w:val="24"/>
                <w:lang w:val="en-US"/>
              </w:rPr>
              <w:t>Risk</w:t>
            </w:r>
            <w:r w:rsidR="0048248F" w:rsidRPr="00F82A4C">
              <w:rPr>
                <w:rFonts w:ascii="Arial" w:hAnsi="Arial" w:cs="Arial"/>
                <w:b/>
                <w:sz w:val="24"/>
                <w:szCs w:val="24"/>
                <w:lang w:val="en-US"/>
              </w:rPr>
              <w:t xml:space="preserve"> </w:t>
            </w:r>
          </w:p>
        </w:tc>
        <w:tc>
          <w:tcPr>
            <w:tcW w:w="4060" w:type="dxa"/>
            <w:shd w:val="clear" w:color="auto" w:fill="FFFFFF" w:themeFill="background1"/>
          </w:tcPr>
          <w:p w14:paraId="3D338BF3" w14:textId="77777777" w:rsidR="00A63285" w:rsidRPr="00F82A4C" w:rsidRDefault="00A63285" w:rsidP="00A63285">
            <w:pPr>
              <w:keepNext/>
              <w:spacing w:before="120" w:after="120"/>
              <w:rPr>
                <w:rFonts w:ascii="Arial" w:hAnsi="Arial" w:cs="Arial"/>
                <w:b/>
                <w:sz w:val="24"/>
                <w:szCs w:val="24"/>
                <w:lang w:val="en-US"/>
              </w:rPr>
            </w:pPr>
            <w:r w:rsidRPr="00F82A4C">
              <w:rPr>
                <w:rFonts w:ascii="Arial" w:hAnsi="Arial" w:cs="Arial"/>
                <w:b/>
                <w:sz w:val="24"/>
                <w:szCs w:val="24"/>
                <w:lang w:val="en-US"/>
              </w:rPr>
              <w:t>Options to reduce or eliminate risk</w:t>
            </w:r>
          </w:p>
        </w:tc>
        <w:tc>
          <w:tcPr>
            <w:tcW w:w="1493" w:type="dxa"/>
            <w:shd w:val="clear" w:color="auto" w:fill="FFFFFF" w:themeFill="background1"/>
          </w:tcPr>
          <w:p w14:paraId="7D8CBAA5" w14:textId="77777777" w:rsidR="00A63285" w:rsidRPr="00F82A4C" w:rsidRDefault="00A63285" w:rsidP="00A63285">
            <w:pPr>
              <w:keepNext/>
              <w:spacing w:before="120" w:after="120"/>
              <w:rPr>
                <w:rFonts w:ascii="Arial" w:hAnsi="Arial" w:cs="Arial"/>
                <w:b/>
                <w:sz w:val="24"/>
                <w:szCs w:val="24"/>
                <w:lang w:val="en-US"/>
              </w:rPr>
            </w:pPr>
            <w:r w:rsidRPr="00F82A4C">
              <w:rPr>
                <w:rFonts w:ascii="Arial" w:hAnsi="Arial" w:cs="Arial"/>
                <w:b/>
                <w:sz w:val="24"/>
                <w:szCs w:val="24"/>
                <w:lang w:val="en-US"/>
              </w:rPr>
              <w:t>Effect on risk</w:t>
            </w:r>
          </w:p>
        </w:tc>
        <w:tc>
          <w:tcPr>
            <w:tcW w:w="1438" w:type="dxa"/>
            <w:shd w:val="clear" w:color="auto" w:fill="FFFFFF" w:themeFill="background1"/>
          </w:tcPr>
          <w:p w14:paraId="1AE15630" w14:textId="77777777" w:rsidR="00A63285" w:rsidRPr="00F82A4C" w:rsidRDefault="00857B3B" w:rsidP="00A63285">
            <w:pPr>
              <w:keepNext/>
              <w:spacing w:before="120" w:after="120"/>
              <w:rPr>
                <w:rFonts w:ascii="Arial" w:hAnsi="Arial" w:cs="Arial"/>
                <w:b/>
                <w:sz w:val="24"/>
                <w:szCs w:val="24"/>
                <w:lang w:val="en-US"/>
              </w:rPr>
            </w:pPr>
            <w:r w:rsidRPr="00F82A4C">
              <w:rPr>
                <w:rFonts w:ascii="Arial" w:hAnsi="Arial" w:cs="Arial"/>
                <w:b/>
                <w:sz w:val="24"/>
                <w:szCs w:val="24"/>
                <w:lang w:val="en-US"/>
              </w:rPr>
              <w:t>Residual</w:t>
            </w:r>
            <w:r w:rsidR="00A63285" w:rsidRPr="00F82A4C">
              <w:rPr>
                <w:rFonts w:ascii="Arial" w:hAnsi="Arial" w:cs="Arial"/>
                <w:b/>
                <w:sz w:val="24"/>
                <w:szCs w:val="24"/>
                <w:lang w:val="en-US"/>
              </w:rPr>
              <w:t xml:space="preserve"> risk</w:t>
            </w:r>
          </w:p>
        </w:tc>
        <w:tc>
          <w:tcPr>
            <w:tcW w:w="1239" w:type="dxa"/>
            <w:shd w:val="clear" w:color="auto" w:fill="FFFFFF" w:themeFill="background1"/>
          </w:tcPr>
          <w:p w14:paraId="51B427DC" w14:textId="77777777" w:rsidR="00A63285" w:rsidRPr="00F82A4C" w:rsidRDefault="006B061A" w:rsidP="00A63285">
            <w:pPr>
              <w:keepNext/>
              <w:spacing w:before="120" w:after="120"/>
              <w:rPr>
                <w:rFonts w:ascii="Arial" w:hAnsi="Arial" w:cs="Arial"/>
                <w:b/>
                <w:sz w:val="24"/>
                <w:szCs w:val="24"/>
                <w:lang w:val="en-US"/>
              </w:rPr>
            </w:pPr>
            <w:r w:rsidRPr="00F82A4C">
              <w:rPr>
                <w:rFonts w:ascii="Arial" w:hAnsi="Arial" w:cs="Arial"/>
                <w:b/>
                <w:sz w:val="24"/>
                <w:szCs w:val="24"/>
                <w:lang w:val="en-US"/>
              </w:rPr>
              <w:t>Measure approved</w:t>
            </w:r>
          </w:p>
        </w:tc>
      </w:tr>
      <w:tr w:rsidR="00A63285" w:rsidRPr="00F82A4C" w14:paraId="76582F1C" w14:textId="77777777" w:rsidTr="00857B3B">
        <w:trPr>
          <w:trHeight w:val="10772"/>
        </w:trPr>
        <w:tc>
          <w:tcPr>
            <w:tcW w:w="1764" w:type="dxa"/>
          </w:tcPr>
          <w:p w14:paraId="06C80563" w14:textId="77777777" w:rsidR="00A63285" w:rsidRDefault="00A63285" w:rsidP="00A63285">
            <w:pPr>
              <w:spacing w:before="120" w:after="120"/>
              <w:rPr>
                <w:rFonts w:ascii="Arial" w:hAnsi="Arial" w:cs="Arial"/>
                <w:sz w:val="24"/>
                <w:szCs w:val="24"/>
                <w:lang w:val="en-US"/>
              </w:rPr>
            </w:pPr>
          </w:p>
          <w:p w14:paraId="4283678E" w14:textId="77777777" w:rsidR="00C36EA3" w:rsidRDefault="00C36EA3" w:rsidP="00A63285">
            <w:pPr>
              <w:spacing w:before="120" w:after="120"/>
              <w:rPr>
                <w:rFonts w:ascii="Arial" w:hAnsi="Arial" w:cs="Arial"/>
                <w:sz w:val="24"/>
                <w:szCs w:val="24"/>
                <w:lang w:val="en-US"/>
              </w:rPr>
            </w:pPr>
          </w:p>
          <w:p w14:paraId="46287C17" w14:textId="77777777" w:rsidR="00C36EA3" w:rsidRDefault="00C36EA3" w:rsidP="00A63285">
            <w:pPr>
              <w:spacing w:before="120" w:after="120"/>
              <w:rPr>
                <w:rFonts w:ascii="Arial" w:hAnsi="Arial" w:cs="Arial"/>
                <w:sz w:val="24"/>
                <w:szCs w:val="24"/>
                <w:lang w:val="en-US"/>
              </w:rPr>
            </w:pPr>
          </w:p>
          <w:p w14:paraId="1A2D5F77" w14:textId="77777777" w:rsidR="00C36EA3" w:rsidRDefault="00C36EA3" w:rsidP="00A63285">
            <w:pPr>
              <w:spacing w:before="120" w:after="120"/>
              <w:rPr>
                <w:rFonts w:ascii="Arial" w:hAnsi="Arial" w:cs="Arial"/>
                <w:sz w:val="24"/>
                <w:szCs w:val="24"/>
                <w:lang w:val="en-US"/>
              </w:rPr>
            </w:pPr>
            <w:r>
              <w:rPr>
                <w:rFonts w:ascii="Arial" w:hAnsi="Arial" w:cs="Arial"/>
                <w:sz w:val="24"/>
                <w:szCs w:val="24"/>
                <w:lang w:val="en-US"/>
              </w:rPr>
              <w:t>1.</w:t>
            </w:r>
          </w:p>
          <w:p w14:paraId="59B41B4A" w14:textId="77777777" w:rsidR="00C36EA3" w:rsidRDefault="00C36EA3" w:rsidP="00A63285">
            <w:pPr>
              <w:spacing w:before="120" w:after="120"/>
              <w:rPr>
                <w:rFonts w:ascii="Arial" w:hAnsi="Arial" w:cs="Arial"/>
                <w:sz w:val="24"/>
                <w:szCs w:val="24"/>
                <w:lang w:val="en-US"/>
              </w:rPr>
            </w:pPr>
          </w:p>
          <w:p w14:paraId="6D87D586" w14:textId="77777777" w:rsidR="00C36EA3" w:rsidRDefault="00C36EA3" w:rsidP="00A63285">
            <w:pPr>
              <w:spacing w:before="120" w:after="120"/>
              <w:rPr>
                <w:rFonts w:ascii="Arial" w:hAnsi="Arial" w:cs="Arial"/>
                <w:sz w:val="24"/>
                <w:szCs w:val="24"/>
                <w:lang w:val="en-US"/>
              </w:rPr>
            </w:pPr>
          </w:p>
          <w:p w14:paraId="0F176840" w14:textId="77777777" w:rsidR="00C36EA3" w:rsidRDefault="00C36EA3" w:rsidP="00A63285">
            <w:pPr>
              <w:spacing w:before="120" w:after="120"/>
              <w:rPr>
                <w:rFonts w:ascii="Arial" w:hAnsi="Arial" w:cs="Arial"/>
                <w:sz w:val="24"/>
                <w:szCs w:val="24"/>
                <w:lang w:val="en-US"/>
              </w:rPr>
            </w:pPr>
          </w:p>
          <w:p w14:paraId="10070864" w14:textId="77777777" w:rsidR="00C36EA3" w:rsidRDefault="00C36EA3" w:rsidP="00A63285">
            <w:pPr>
              <w:spacing w:before="120" w:after="120"/>
              <w:rPr>
                <w:rFonts w:ascii="Arial" w:hAnsi="Arial" w:cs="Arial"/>
                <w:sz w:val="24"/>
                <w:szCs w:val="24"/>
                <w:lang w:val="en-US"/>
              </w:rPr>
            </w:pPr>
          </w:p>
          <w:p w14:paraId="78D98D16" w14:textId="005A1810" w:rsidR="00C36EA3" w:rsidRDefault="00C36EA3" w:rsidP="00A63285">
            <w:pPr>
              <w:spacing w:before="120" w:after="120"/>
              <w:rPr>
                <w:rFonts w:ascii="Arial" w:hAnsi="Arial" w:cs="Arial"/>
                <w:sz w:val="24"/>
                <w:szCs w:val="24"/>
                <w:lang w:val="en-US"/>
              </w:rPr>
            </w:pPr>
          </w:p>
          <w:p w14:paraId="1B59D004" w14:textId="5F8DF7C1" w:rsidR="000F427A" w:rsidRDefault="000F427A" w:rsidP="00A63285">
            <w:pPr>
              <w:spacing w:before="120" w:after="120"/>
              <w:rPr>
                <w:rFonts w:ascii="Arial" w:hAnsi="Arial" w:cs="Arial"/>
                <w:sz w:val="24"/>
                <w:szCs w:val="24"/>
                <w:lang w:val="en-US"/>
              </w:rPr>
            </w:pPr>
          </w:p>
          <w:p w14:paraId="64668838" w14:textId="4C84B5C4" w:rsidR="000F427A" w:rsidRDefault="000F427A" w:rsidP="00A63285">
            <w:pPr>
              <w:spacing w:before="120" w:after="120"/>
              <w:rPr>
                <w:rFonts w:ascii="Arial" w:hAnsi="Arial" w:cs="Arial"/>
                <w:sz w:val="24"/>
                <w:szCs w:val="24"/>
                <w:lang w:val="en-US"/>
              </w:rPr>
            </w:pPr>
          </w:p>
          <w:p w14:paraId="1A3E0FD9" w14:textId="59F2C408" w:rsidR="000F427A" w:rsidRDefault="000F427A" w:rsidP="00A63285">
            <w:pPr>
              <w:spacing w:before="120" w:after="120"/>
              <w:rPr>
                <w:rFonts w:ascii="Arial" w:hAnsi="Arial" w:cs="Arial"/>
                <w:sz w:val="24"/>
                <w:szCs w:val="24"/>
                <w:lang w:val="en-US"/>
              </w:rPr>
            </w:pPr>
          </w:p>
          <w:p w14:paraId="51575CB1" w14:textId="77777777" w:rsidR="000F427A" w:rsidRDefault="000F427A" w:rsidP="00A63285">
            <w:pPr>
              <w:spacing w:before="120" w:after="120"/>
              <w:rPr>
                <w:rFonts w:ascii="Arial" w:hAnsi="Arial" w:cs="Arial"/>
                <w:sz w:val="24"/>
                <w:szCs w:val="24"/>
                <w:lang w:val="en-US"/>
              </w:rPr>
            </w:pPr>
          </w:p>
          <w:p w14:paraId="4D067E00" w14:textId="77777777" w:rsidR="00C36EA3" w:rsidRDefault="00C36EA3" w:rsidP="00A63285">
            <w:pPr>
              <w:spacing w:before="120" w:after="120"/>
              <w:rPr>
                <w:rFonts w:ascii="Arial" w:hAnsi="Arial" w:cs="Arial"/>
                <w:sz w:val="24"/>
                <w:szCs w:val="24"/>
                <w:lang w:val="en-US"/>
              </w:rPr>
            </w:pPr>
          </w:p>
          <w:p w14:paraId="0D1CAD54" w14:textId="77777777" w:rsidR="00C36EA3" w:rsidRDefault="00C36EA3" w:rsidP="00A63285">
            <w:pPr>
              <w:spacing w:before="120" w:after="120"/>
              <w:rPr>
                <w:rFonts w:ascii="Arial" w:hAnsi="Arial" w:cs="Arial"/>
                <w:sz w:val="24"/>
                <w:szCs w:val="24"/>
                <w:lang w:val="en-US"/>
              </w:rPr>
            </w:pPr>
          </w:p>
          <w:p w14:paraId="20323580" w14:textId="77777777" w:rsidR="00C36EA3" w:rsidRDefault="00C36EA3" w:rsidP="00A63285">
            <w:pPr>
              <w:spacing w:before="120" w:after="120"/>
              <w:rPr>
                <w:rFonts w:ascii="Arial" w:hAnsi="Arial" w:cs="Arial"/>
                <w:sz w:val="24"/>
                <w:szCs w:val="24"/>
                <w:lang w:val="en-US"/>
              </w:rPr>
            </w:pPr>
          </w:p>
          <w:p w14:paraId="413B3C01" w14:textId="77777777" w:rsidR="00C36EA3" w:rsidRPr="00F82A4C" w:rsidRDefault="00C36EA3" w:rsidP="00A63285">
            <w:pPr>
              <w:spacing w:before="120" w:after="120"/>
              <w:rPr>
                <w:rFonts w:ascii="Arial" w:hAnsi="Arial" w:cs="Arial"/>
                <w:sz w:val="24"/>
                <w:szCs w:val="24"/>
                <w:lang w:val="en-US"/>
              </w:rPr>
            </w:pPr>
            <w:r>
              <w:rPr>
                <w:rFonts w:ascii="Arial" w:hAnsi="Arial" w:cs="Arial"/>
                <w:sz w:val="24"/>
                <w:szCs w:val="24"/>
                <w:lang w:val="en-US"/>
              </w:rPr>
              <w:t>2.</w:t>
            </w:r>
          </w:p>
        </w:tc>
        <w:tc>
          <w:tcPr>
            <w:tcW w:w="4060" w:type="dxa"/>
          </w:tcPr>
          <w:p w14:paraId="1879B74D" w14:textId="77777777" w:rsidR="00A63285" w:rsidRDefault="00A63285" w:rsidP="00A63285">
            <w:pPr>
              <w:spacing w:before="120" w:after="120"/>
              <w:rPr>
                <w:rFonts w:ascii="Arial" w:hAnsi="Arial" w:cs="Arial"/>
                <w:sz w:val="24"/>
                <w:szCs w:val="24"/>
                <w:lang w:val="en-US"/>
              </w:rPr>
            </w:pPr>
          </w:p>
          <w:p w14:paraId="1079BCA6" w14:textId="77777777" w:rsidR="00C36EA3" w:rsidRDefault="00C36EA3" w:rsidP="00A63285">
            <w:pPr>
              <w:spacing w:before="120" w:after="120"/>
              <w:rPr>
                <w:rFonts w:ascii="Arial" w:hAnsi="Arial" w:cs="Arial"/>
                <w:sz w:val="24"/>
                <w:szCs w:val="24"/>
                <w:lang w:val="en-US"/>
              </w:rPr>
            </w:pPr>
          </w:p>
          <w:p w14:paraId="2946DE35" w14:textId="77777777" w:rsidR="00C36EA3" w:rsidRDefault="00C36EA3" w:rsidP="00A63285">
            <w:pPr>
              <w:spacing w:before="120" w:after="120"/>
              <w:rPr>
                <w:rFonts w:ascii="Arial" w:hAnsi="Arial" w:cs="Arial"/>
                <w:sz w:val="24"/>
                <w:szCs w:val="24"/>
                <w:lang w:val="en-US"/>
              </w:rPr>
            </w:pPr>
          </w:p>
          <w:p w14:paraId="1EC7700C" w14:textId="77777777" w:rsidR="00C36EA3" w:rsidRDefault="00C36EA3" w:rsidP="00A63285">
            <w:pPr>
              <w:spacing w:before="120" w:after="120"/>
              <w:rPr>
                <w:rFonts w:ascii="Arial" w:hAnsi="Arial" w:cs="Arial"/>
                <w:sz w:val="24"/>
                <w:szCs w:val="24"/>
                <w:lang w:val="en-US"/>
              </w:rPr>
            </w:pPr>
            <w:r>
              <w:rPr>
                <w:rFonts w:ascii="Arial" w:hAnsi="Arial" w:cs="Arial"/>
                <w:sz w:val="24"/>
                <w:szCs w:val="24"/>
                <w:lang w:val="en-US"/>
              </w:rPr>
              <w:t>The evaluation of the quotations must be robust and it does include a section which seeks to assess the competency of the provider. Cost is not the single determining factor in awarding the contract and it will also include an evaluation of their competency. This will be kept under review throughout the contract</w:t>
            </w:r>
            <w:r w:rsidR="000960D1">
              <w:rPr>
                <w:rFonts w:ascii="Arial" w:hAnsi="Arial" w:cs="Arial"/>
                <w:sz w:val="24"/>
                <w:szCs w:val="24"/>
                <w:lang w:val="en-US"/>
              </w:rPr>
              <w:t xml:space="preserve"> and a full review into the service undertaken after 12-18months when a further decision will be made on continuation with an external provider or whether the function should be brought back in house</w:t>
            </w:r>
            <w:r>
              <w:rPr>
                <w:rFonts w:ascii="Arial" w:hAnsi="Arial" w:cs="Arial"/>
                <w:sz w:val="24"/>
                <w:szCs w:val="24"/>
                <w:lang w:val="en-US"/>
              </w:rPr>
              <w:t>.</w:t>
            </w:r>
          </w:p>
          <w:p w14:paraId="64223933" w14:textId="77777777" w:rsidR="00C36EA3" w:rsidRDefault="00C36EA3" w:rsidP="00A63285">
            <w:pPr>
              <w:spacing w:before="120" w:after="120"/>
              <w:rPr>
                <w:rFonts w:ascii="Arial" w:hAnsi="Arial" w:cs="Arial"/>
                <w:sz w:val="24"/>
                <w:szCs w:val="24"/>
                <w:lang w:val="en-US"/>
              </w:rPr>
            </w:pPr>
          </w:p>
          <w:p w14:paraId="0FF94640" w14:textId="77777777" w:rsidR="00C36EA3" w:rsidRPr="00F82A4C" w:rsidRDefault="00C36EA3" w:rsidP="00A63285">
            <w:pPr>
              <w:spacing w:before="120" w:after="120"/>
              <w:rPr>
                <w:rFonts w:ascii="Arial" w:hAnsi="Arial" w:cs="Arial"/>
                <w:sz w:val="24"/>
                <w:szCs w:val="24"/>
                <w:lang w:val="en-US"/>
              </w:rPr>
            </w:pPr>
            <w:r>
              <w:rPr>
                <w:rFonts w:ascii="Arial" w:hAnsi="Arial" w:cs="Arial"/>
                <w:sz w:val="24"/>
                <w:szCs w:val="24"/>
                <w:lang w:val="en-US"/>
              </w:rPr>
              <w:t xml:space="preserve">The evaluation of the quotations includes a criteria to describe the arrangements for ensuring access to a complaints file is done via secure arrangements and in compliance with </w:t>
            </w:r>
            <w:r w:rsidRPr="00C36EA3">
              <w:rPr>
                <w:rFonts w:ascii="Arial" w:hAnsi="Arial" w:cs="Arial"/>
                <w:sz w:val="24"/>
                <w:szCs w:val="24"/>
                <w:lang w:val="en-US"/>
              </w:rPr>
              <w:t>the legal obligations of the Data Protection Act 2018 (the ‘2018 Act’) and the EU General Data Protection Regulation (‘GDPR’)</w:t>
            </w:r>
            <w:r>
              <w:rPr>
                <w:rFonts w:ascii="Arial" w:hAnsi="Arial" w:cs="Arial"/>
                <w:sz w:val="24"/>
                <w:szCs w:val="24"/>
                <w:lang w:val="en-US"/>
              </w:rPr>
              <w:t>. This will be kept under review throughout the contract.</w:t>
            </w:r>
          </w:p>
        </w:tc>
        <w:tc>
          <w:tcPr>
            <w:tcW w:w="1493" w:type="dxa"/>
          </w:tcPr>
          <w:p w14:paraId="6908CE3A" w14:textId="77777777" w:rsidR="00A63285" w:rsidRDefault="00A63285" w:rsidP="00A63285">
            <w:pPr>
              <w:spacing w:before="120" w:after="120"/>
              <w:rPr>
                <w:rFonts w:ascii="Arial" w:hAnsi="Arial" w:cs="Arial"/>
                <w:sz w:val="24"/>
                <w:szCs w:val="24"/>
                <w:lang w:val="en-US"/>
              </w:rPr>
            </w:pPr>
            <w:r w:rsidRPr="00F82A4C">
              <w:rPr>
                <w:rFonts w:ascii="Arial" w:hAnsi="Arial" w:cs="Arial"/>
                <w:sz w:val="24"/>
                <w:szCs w:val="24"/>
                <w:lang w:val="en-US"/>
              </w:rPr>
              <w:t>Eliminated reduced accepted</w:t>
            </w:r>
          </w:p>
          <w:p w14:paraId="11DC8421" w14:textId="77777777" w:rsidR="00C36EA3" w:rsidRDefault="00C36EA3" w:rsidP="00A63285">
            <w:pPr>
              <w:spacing w:before="120" w:after="120"/>
              <w:rPr>
                <w:rFonts w:ascii="Arial" w:hAnsi="Arial" w:cs="Arial"/>
                <w:sz w:val="24"/>
                <w:szCs w:val="24"/>
                <w:lang w:val="en-US"/>
              </w:rPr>
            </w:pPr>
          </w:p>
          <w:p w14:paraId="53C59F88" w14:textId="77777777" w:rsidR="00C36EA3" w:rsidRDefault="00C36EA3" w:rsidP="00A63285">
            <w:pPr>
              <w:spacing w:before="120" w:after="120"/>
              <w:rPr>
                <w:rFonts w:ascii="Arial" w:hAnsi="Arial" w:cs="Arial"/>
                <w:sz w:val="24"/>
                <w:szCs w:val="24"/>
                <w:lang w:val="en-US"/>
              </w:rPr>
            </w:pPr>
            <w:r>
              <w:rPr>
                <w:rFonts w:ascii="Arial" w:hAnsi="Arial" w:cs="Arial"/>
                <w:sz w:val="24"/>
                <w:szCs w:val="24"/>
                <w:lang w:val="en-US"/>
              </w:rPr>
              <w:t>Reduced</w:t>
            </w:r>
          </w:p>
          <w:p w14:paraId="5F86116D" w14:textId="77777777" w:rsidR="00C36EA3" w:rsidRDefault="00C36EA3" w:rsidP="00A63285">
            <w:pPr>
              <w:spacing w:before="120" w:after="120"/>
              <w:rPr>
                <w:rFonts w:ascii="Arial" w:hAnsi="Arial" w:cs="Arial"/>
                <w:sz w:val="24"/>
                <w:szCs w:val="24"/>
                <w:lang w:val="en-US"/>
              </w:rPr>
            </w:pPr>
          </w:p>
          <w:p w14:paraId="35576774" w14:textId="77777777" w:rsidR="00C36EA3" w:rsidRDefault="00C36EA3" w:rsidP="00A63285">
            <w:pPr>
              <w:spacing w:before="120" w:after="120"/>
              <w:rPr>
                <w:rFonts w:ascii="Arial" w:hAnsi="Arial" w:cs="Arial"/>
                <w:sz w:val="24"/>
                <w:szCs w:val="24"/>
                <w:lang w:val="en-US"/>
              </w:rPr>
            </w:pPr>
          </w:p>
          <w:p w14:paraId="75289358" w14:textId="77777777" w:rsidR="00C36EA3" w:rsidRDefault="00C36EA3" w:rsidP="00A63285">
            <w:pPr>
              <w:spacing w:before="120" w:after="120"/>
              <w:rPr>
                <w:rFonts w:ascii="Arial" w:hAnsi="Arial" w:cs="Arial"/>
                <w:sz w:val="24"/>
                <w:szCs w:val="24"/>
                <w:lang w:val="en-US"/>
              </w:rPr>
            </w:pPr>
          </w:p>
          <w:p w14:paraId="30A99EBD" w14:textId="77777777" w:rsidR="00C36EA3" w:rsidRDefault="00C36EA3" w:rsidP="00A63285">
            <w:pPr>
              <w:spacing w:before="120" w:after="120"/>
              <w:rPr>
                <w:rFonts w:ascii="Arial" w:hAnsi="Arial" w:cs="Arial"/>
                <w:sz w:val="24"/>
                <w:szCs w:val="24"/>
                <w:lang w:val="en-US"/>
              </w:rPr>
            </w:pPr>
          </w:p>
          <w:p w14:paraId="763B9797" w14:textId="77777777" w:rsidR="00C36EA3" w:rsidRDefault="00C36EA3" w:rsidP="00A63285">
            <w:pPr>
              <w:spacing w:before="120" w:after="120"/>
              <w:rPr>
                <w:rFonts w:ascii="Arial" w:hAnsi="Arial" w:cs="Arial"/>
                <w:sz w:val="24"/>
                <w:szCs w:val="24"/>
                <w:lang w:val="en-US"/>
              </w:rPr>
            </w:pPr>
          </w:p>
          <w:p w14:paraId="67338160" w14:textId="77777777" w:rsidR="00C36EA3" w:rsidRDefault="00C36EA3" w:rsidP="00A63285">
            <w:pPr>
              <w:spacing w:before="120" w:after="120"/>
              <w:rPr>
                <w:rFonts w:ascii="Arial" w:hAnsi="Arial" w:cs="Arial"/>
                <w:sz w:val="24"/>
                <w:szCs w:val="24"/>
                <w:lang w:val="en-US"/>
              </w:rPr>
            </w:pPr>
          </w:p>
          <w:p w14:paraId="3DF73417" w14:textId="77777777" w:rsidR="00C36EA3" w:rsidRDefault="00C36EA3" w:rsidP="00A63285">
            <w:pPr>
              <w:spacing w:before="120" w:after="120"/>
              <w:rPr>
                <w:rFonts w:ascii="Arial" w:hAnsi="Arial" w:cs="Arial"/>
                <w:sz w:val="24"/>
                <w:szCs w:val="24"/>
                <w:lang w:val="en-US"/>
              </w:rPr>
            </w:pPr>
          </w:p>
          <w:p w14:paraId="4F9625A1" w14:textId="77777777" w:rsidR="000960D1" w:rsidRDefault="000960D1" w:rsidP="00A63285">
            <w:pPr>
              <w:spacing w:before="120" w:after="120"/>
              <w:rPr>
                <w:rFonts w:ascii="Arial" w:hAnsi="Arial" w:cs="Arial"/>
                <w:sz w:val="24"/>
                <w:szCs w:val="24"/>
                <w:lang w:val="en-US"/>
              </w:rPr>
            </w:pPr>
          </w:p>
          <w:p w14:paraId="4E2E7212" w14:textId="77777777" w:rsidR="000960D1" w:rsidRDefault="000960D1" w:rsidP="00A63285">
            <w:pPr>
              <w:spacing w:before="120" w:after="120"/>
              <w:rPr>
                <w:rFonts w:ascii="Arial" w:hAnsi="Arial" w:cs="Arial"/>
                <w:sz w:val="24"/>
                <w:szCs w:val="24"/>
                <w:lang w:val="en-US"/>
              </w:rPr>
            </w:pPr>
          </w:p>
          <w:p w14:paraId="66DAFB8C" w14:textId="77777777" w:rsidR="000960D1" w:rsidRDefault="000960D1" w:rsidP="00A63285">
            <w:pPr>
              <w:spacing w:before="120" w:after="120"/>
              <w:rPr>
                <w:rFonts w:ascii="Arial" w:hAnsi="Arial" w:cs="Arial"/>
                <w:sz w:val="24"/>
                <w:szCs w:val="24"/>
                <w:lang w:val="en-US"/>
              </w:rPr>
            </w:pPr>
          </w:p>
          <w:p w14:paraId="79F10FFC" w14:textId="77777777" w:rsidR="000960D1" w:rsidRDefault="000960D1" w:rsidP="00A63285">
            <w:pPr>
              <w:spacing w:before="120" w:after="120"/>
              <w:rPr>
                <w:rFonts w:ascii="Arial" w:hAnsi="Arial" w:cs="Arial"/>
                <w:sz w:val="24"/>
                <w:szCs w:val="24"/>
                <w:lang w:val="en-US"/>
              </w:rPr>
            </w:pPr>
          </w:p>
          <w:p w14:paraId="2FFF267E" w14:textId="77777777" w:rsidR="00C36EA3" w:rsidRPr="00F82A4C" w:rsidRDefault="00C36EA3" w:rsidP="00A63285">
            <w:pPr>
              <w:spacing w:before="120" w:after="120"/>
              <w:rPr>
                <w:rFonts w:ascii="Arial" w:hAnsi="Arial" w:cs="Arial"/>
                <w:sz w:val="24"/>
                <w:szCs w:val="24"/>
                <w:lang w:val="en-US"/>
              </w:rPr>
            </w:pPr>
            <w:r>
              <w:rPr>
                <w:rFonts w:ascii="Arial" w:hAnsi="Arial" w:cs="Arial"/>
                <w:sz w:val="24"/>
                <w:szCs w:val="24"/>
                <w:lang w:val="en-US"/>
              </w:rPr>
              <w:t>Reduced</w:t>
            </w:r>
          </w:p>
        </w:tc>
        <w:tc>
          <w:tcPr>
            <w:tcW w:w="1438" w:type="dxa"/>
          </w:tcPr>
          <w:p w14:paraId="6A7471A2" w14:textId="77777777" w:rsidR="00A63285" w:rsidRDefault="00A63285" w:rsidP="00A63285">
            <w:pPr>
              <w:spacing w:before="120" w:after="120"/>
              <w:rPr>
                <w:rFonts w:ascii="Arial" w:hAnsi="Arial" w:cs="Arial"/>
                <w:sz w:val="24"/>
                <w:szCs w:val="24"/>
                <w:lang w:val="en-US"/>
              </w:rPr>
            </w:pPr>
            <w:r w:rsidRPr="00F82A4C">
              <w:rPr>
                <w:rFonts w:ascii="Arial" w:hAnsi="Arial" w:cs="Arial"/>
                <w:sz w:val="24"/>
                <w:szCs w:val="24"/>
                <w:lang w:val="en-US"/>
              </w:rPr>
              <w:t>Low medium high</w:t>
            </w:r>
          </w:p>
          <w:p w14:paraId="10384718" w14:textId="77777777" w:rsidR="00C36EA3" w:rsidRDefault="00C36EA3" w:rsidP="00A63285">
            <w:pPr>
              <w:spacing w:before="120" w:after="120"/>
              <w:rPr>
                <w:rFonts w:ascii="Arial" w:hAnsi="Arial" w:cs="Arial"/>
                <w:sz w:val="24"/>
                <w:szCs w:val="24"/>
                <w:lang w:val="en-US"/>
              </w:rPr>
            </w:pPr>
          </w:p>
          <w:p w14:paraId="5A0C2521" w14:textId="77777777" w:rsidR="00C36EA3" w:rsidRDefault="00C36EA3" w:rsidP="00A63285">
            <w:pPr>
              <w:spacing w:before="120" w:after="120"/>
              <w:rPr>
                <w:rFonts w:ascii="Arial" w:hAnsi="Arial" w:cs="Arial"/>
                <w:sz w:val="24"/>
                <w:szCs w:val="24"/>
                <w:lang w:val="en-US"/>
              </w:rPr>
            </w:pPr>
            <w:r>
              <w:rPr>
                <w:rFonts w:ascii="Arial" w:hAnsi="Arial" w:cs="Arial"/>
                <w:sz w:val="24"/>
                <w:szCs w:val="24"/>
                <w:lang w:val="en-US"/>
              </w:rPr>
              <w:t>Low</w:t>
            </w:r>
          </w:p>
          <w:p w14:paraId="1EF952C9" w14:textId="77777777" w:rsidR="00C36EA3" w:rsidRDefault="00C36EA3" w:rsidP="00A63285">
            <w:pPr>
              <w:spacing w:before="120" w:after="120"/>
              <w:rPr>
                <w:rFonts w:ascii="Arial" w:hAnsi="Arial" w:cs="Arial"/>
                <w:sz w:val="24"/>
                <w:szCs w:val="24"/>
                <w:lang w:val="en-US"/>
              </w:rPr>
            </w:pPr>
          </w:p>
          <w:p w14:paraId="5DE99CCB" w14:textId="77777777" w:rsidR="00C36EA3" w:rsidRDefault="00C36EA3" w:rsidP="00A63285">
            <w:pPr>
              <w:spacing w:before="120" w:after="120"/>
              <w:rPr>
                <w:rFonts w:ascii="Arial" w:hAnsi="Arial" w:cs="Arial"/>
                <w:sz w:val="24"/>
                <w:szCs w:val="24"/>
                <w:lang w:val="en-US"/>
              </w:rPr>
            </w:pPr>
          </w:p>
          <w:p w14:paraId="6631054A" w14:textId="77777777" w:rsidR="00C36EA3" w:rsidRDefault="00C36EA3" w:rsidP="00A63285">
            <w:pPr>
              <w:spacing w:before="120" w:after="120"/>
              <w:rPr>
                <w:rFonts w:ascii="Arial" w:hAnsi="Arial" w:cs="Arial"/>
                <w:sz w:val="24"/>
                <w:szCs w:val="24"/>
                <w:lang w:val="en-US"/>
              </w:rPr>
            </w:pPr>
          </w:p>
          <w:p w14:paraId="01A4D728" w14:textId="77777777" w:rsidR="00C36EA3" w:rsidRDefault="00C36EA3" w:rsidP="00A63285">
            <w:pPr>
              <w:spacing w:before="120" w:after="120"/>
              <w:rPr>
                <w:rFonts w:ascii="Arial" w:hAnsi="Arial" w:cs="Arial"/>
                <w:sz w:val="24"/>
                <w:szCs w:val="24"/>
                <w:lang w:val="en-US"/>
              </w:rPr>
            </w:pPr>
          </w:p>
          <w:p w14:paraId="2BDEC2E5" w14:textId="77777777" w:rsidR="000960D1" w:rsidRDefault="000960D1" w:rsidP="00A63285">
            <w:pPr>
              <w:spacing w:before="120" w:after="120"/>
              <w:rPr>
                <w:rFonts w:ascii="Arial" w:hAnsi="Arial" w:cs="Arial"/>
                <w:sz w:val="24"/>
                <w:szCs w:val="24"/>
                <w:lang w:val="en-US"/>
              </w:rPr>
            </w:pPr>
          </w:p>
          <w:p w14:paraId="1BE788DC" w14:textId="77777777" w:rsidR="000960D1" w:rsidRDefault="000960D1" w:rsidP="00A63285">
            <w:pPr>
              <w:spacing w:before="120" w:after="120"/>
              <w:rPr>
                <w:rFonts w:ascii="Arial" w:hAnsi="Arial" w:cs="Arial"/>
                <w:sz w:val="24"/>
                <w:szCs w:val="24"/>
                <w:lang w:val="en-US"/>
              </w:rPr>
            </w:pPr>
          </w:p>
          <w:p w14:paraId="1C7A31B5" w14:textId="77777777" w:rsidR="000960D1" w:rsidRDefault="000960D1" w:rsidP="00A63285">
            <w:pPr>
              <w:spacing w:before="120" w:after="120"/>
              <w:rPr>
                <w:rFonts w:ascii="Arial" w:hAnsi="Arial" w:cs="Arial"/>
                <w:sz w:val="24"/>
                <w:szCs w:val="24"/>
                <w:lang w:val="en-US"/>
              </w:rPr>
            </w:pPr>
          </w:p>
          <w:p w14:paraId="16D1BD6B" w14:textId="77777777" w:rsidR="000960D1" w:rsidRDefault="000960D1" w:rsidP="00A63285">
            <w:pPr>
              <w:spacing w:before="120" w:after="120"/>
              <w:rPr>
                <w:rFonts w:ascii="Arial" w:hAnsi="Arial" w:cs="Arial"/>
                <w:sz w:val="24"/>
                <w:szCs w:val="24"/>
                <w:lang w:val="en-US"/>
              </w:rPr>
            </w:pPr>
          </w:p>
          <w:p w14:paraId="075C66BD" w14:textId="77777777" w:rsidR="00C36EA3" w:rsidRDefault="00C36EA3" w:rsidP="00A63285">
            <w:pPr>
              <w:spacing w:before="120" w:after="120"/>
              <w:rPr>
                <w:rFonts w:ascii="Arial" w:hAnsi="Arial" w:cs="Arial"/>
                <w:sz w:val="24"/>
                <w:szCs w:val="24"/>
                <w:lang w:val="en-US"/>
              </w:rPr>
            </w:pPr>
          </w:p>
          <w:p w14:paraId="7EDE069C" w14:textId="77777777" w:rsidR="00C36EA3" w:rsidRDefault="00C36EA3" w:rsidP="00A63285">
            <w:pPr>
              <w:spacing w:before="120" w:after="120"/>
              <w:rPr>
                <w:rFonts w:ascii="Arial" w:hAnsi="Arial" w:cs="Arial"/>
                <w:sz w:val="24"/>
                <w:szCs w:val="24"/>
                <w:lang w:val="en-US"/>
              </w:rPr>
            </w:pPr>
          </w:p>
          <w:p w14:paraId="26B07BBB" w14:textId="77777777" w:rsidR="00C36EA3" w:rsidRDefault="00C36EA3" w:rsidP="00A63285">
            <w:pPr>
              <w:spacing w:before="120" w:after="120"/>
              <w:rPr>
                <w:rFonts w:ascii="Arial" w:hAnsi="Arial" w:cs="Arial"/>
                <w:sz w:val="24"/>
                <w:szCs w:val="24"/>
                <w:lang w:val="en-US"/>
              </w:rPr>
            </w:pPr>
          </w:p>
          <w:p w14:paraId="5B878A20" w14:textId="77777777" w:rsidR="00C36EA3" w:rsidRPr="00F82A4C" w:rsidRDefault="00C36EA3" w:rsidP="00A63285">
            <w:pPr>
              <w:spacing w:before="120" w:after="120"/>
              <w:rPr>
                <w:rFonts w:ascii="Arial" w:hAnsi="Arial" w:cs="Arial"/>
                <w:sz w:val="24"/>
                <w:szCs w:val="24"/>
                <w:lang w:val="en-US"/>
              </w:rPr>
            </w:pPr>
            <w:r>
              <w:rPr>
                <w:rFonts w:ascii="Arial" w:hAnsi="Arial" w:cs="Arial"/>
                <w:sz w:val="24"/>
                <w:szCs w:val="24"/>
                <w:lang w:val="en-US"/>
              </w:rPr>
              <w:t>Low</w:t>
            </w:r>
          </w:p>
        </w:tc>
        <w:tc>
          <w:tcPr>
            <w:tcW w:w="1239" w:type="dxa"/>
          </w:tcPr>
          <w:p w14:paraId="79CADB9E" w14:textId="77777777" w:rsidR="00A63285" w:rsidRPr="00F82A4C" w:rsidRDefault="00A63285" w:rsidP="00A63285">
            <w:pPr>
              <w:spacing w:before="120" w:after="120"/>
              <w:rPr>
                <w:rFonts w:ascii="Arial" w:hAnsi="Arial" w:cs="Arial"/>
                <w:sz w:val="24"/>
                <w:szCs w:val="24"/>
                <w:lang w:val="en-US"/>
              </w:rPr>
            </w:pPr>
            <w:r w:rsidRPr="00F82A4C">
              <w:rPr>
                <w:rFonts w:ascii="Arial" w:hAnsi="Arial" w:cs="Arial"/>
                <w:sz w:val="24"/>
                <w:szCs w:val="24"/>
                <w:lang w:val="en-US"/>
              </w:rPr>
              <w:t>Yes/no</w:t>
            </w:r>
          </w:p>
        </w:tc>
      </w:tr>
    </w:tbl>
    <w:p w14:paraId="301448F9" w14:textId="77777777" w:rsidR="00D7227C" w:rsidRPr="00F82A4C" w:rsidRDefault="00D7227C" w:rsidP="00D7227C">
      <w:pPr>
        <w:spacing w:line="240" w:lineRule="auto"/>
        <w:rPr>
          <w:rFonts w:ascii="Arial" w:hAnsi="Arial" w:cs="Arial"/>
          <w:sz w:val="24"/>
          <w:szCs w:val="24"/>
          <w:lang w:val="en-US"/>
        </w:rPr>
      </w:pPr>
    </w:p>
    <w:p w14:paraId="15403F6B" w14:textId="77777777" w:rsidR="00A63285" w:rsidRPr="00F82A4C" w:rsidRDefault="00A63285" w:rsidP="000959FF">
      <w:pPr>
        <w:pStyle w:val="Heading1"/>
        <w:rPr>
          <w:rFonts w:ascii="Arial" w:hAnsi="Arial" w:cs="Arial"/>
          <w:sz w:val="24"/>
          <w:lang w:eastAsia="en-GB"/>
        </w:rPr>
      </w:pPr>
      <w:r w:rsidRPr="00F82A4C">
        <w:rPr>
          <w:rFonts w:ascii="Arial" w:hAnsi="Arial" w:cs="Arial"/>
          <w:sz w:val="24"/>
          <w:lang w:eastAsia="en-GB"/>
        </w:rPr>
        <w:lastRenderedPageBreak/>
        <w:t>Step 7: Sign off and record outcomes</w:t>
      </w:r>
    </w:p>
    <w:tbl>
      <w:tblPr>
        <w:tblStyle w:val="TableGrid"/>
        <w:tblW w:w="0" w:type="auto"/>
        <w:tblLook w:val="04A0" w:firstRow="1" w:lastRow="0" w:firstColumn="1" w:lastColumn="0" w:noHBand="0" w:noVBand="1"/>
      </w:tblPr>
      <w:tblGrid>
        <w:gridCol w:w="2884"/>
        <w:gridCol w:w="3320"/>
        <w:gridCol w:w="3564"/>
      </w:tblGrid>
      <w:tr w:rsidR="006B061A" w:rsidRPr="00F82A4C" w14:paraId="642011C2" w14:textId="77777777" w:rsidTr="006B061A">
        <w:tc>
          <w:tcPr>
            <w:tcW w:w="2943" w:type="dxa"/>
          </w:tcPr>
          <w:p w14:paraId="5CCD9FDF" w14:textId="77777777" w:rsidR="006B061A" w:rsidRPr="00F82A4C" w:rsidRDefault="00352679" w:rsidP="00C8036D">
            <w:pPr>
              <w:keepNext/>
              <w:spacing w:before="120" w:after="120"/>
              <w:rPr>
                <w:rFonts w:ascii="Arial" w:hAnsi="Arial" w:cs="Arial"/>
                <w:b/>
                <w:sz w:val="24"/>
                <w:szCs w:val="24"/>
                <w:lang w:val="en-US"/>
              </w:rPr>
            </w:pPr>
            <w:r w:rsidRPr="00F82A4C">
              <w:rPr>
                <w:rFonts w:ascii="Arial" w:hAnsi="Arial" w:cs="Arial"/>
                <w:b/>
                <w:sz w:val="24"/>
                <w:szCs w:val="24"/>
                <w:lang w:val="en-US"/>
              </w:rPr>
              <w:t>Item</w:t>
            </w:r>
            <w:r w:rsidR="006B061A" w:rsidRPr="00F82A4C">
              <w:rPr>
                <w:rFonts w:ascii="Arial" w:hAnsi="Arial" w:cs="Arial"/>
                <w:b/>
                <w:sz w:val="24"/>
                <w:szCs w:val="24"/>
                <w:lang w:val="en-US"/>
              </w:rPr>
              <w:t xml:space="preserve"> </w:t>
            </w:r>
          </w:p>
        </w:tc>
        <w:tc>
          <w:tcPr>
            <w:tcW w:w="3402" w:type="dxa"/>
          </w:tcPr>
          <w:p w14:paraId="577B0A19" w14:textId="77777777" w:rsidR="006B061A" w:rsidRPr="00F82A4C" w:rsidRDefault="006B061A" w:rsidP="00C8036D">
            <w:pPr>
              <w:keepNext/>
              <w:spacing w:before="120" w:after="120"/>
              <w:rPr>
                <w:rFonts w:ascii="Arial" w:hAnsi="Arial" w:cs="Arial"/>
                <w:b/>
                <w:sz w:val="24"/>
                <w:szCs w:val="24"/>
                <w:lang w:val="en-US"/>
              </w:rPr>
            </w:pPr>
            <w:r w:rsidRPr="00F82A4C">
              <w:rPr>
                <w:rFonts w:ascii="Arial" w:hAnsi="Arial" w:cs="Arial"/>
                <w:b/>
                <w:sz w:val="24"/>
                <w:szCs w:val="24"/>
                <w:lang w:val="en-US"/>
              </w:rPr>
              <w:t>Name/date</w:t>
            </w:r>
          </w:p>
        </w:tc>
        <w:tc>
          <w:tcPr>
            <w:tcW w:w="3649" w:type="dxa"/>
          </w:tcPr>
          <w:p w14:paraId="263F43FD" w14:textId="77777777" w:rsidR="006B061A" w:rsidRPr="00F82A4C" w:rsidRDefault="006B061A" w:rsidP="00C8036D">
            <w:pPr>
              <w:keepNext/>
              <w:spacing w:before="120" w:after="120"/>
              <w:rPr>
                <w:rFonts w:ascii="Arial" w:hAnsi="Arial" w:cs="Arial"/>
                <w:b/>
                <w:sz w:val="24"/>
                <w:szCs w:val="24"/>
                <w:lang w:val="en-US"/>
              </w:rPr>
            </w:pPr>
            <w:r w:rsidRPr="00F82A4C">
              <w:rPr>
                <w:rFonts w:ascii="Arial" w:hAnsi="Arial" w:cs="Arial"/>
                <w:b/>
                <w:sz w:val="24"/>
                <w:szCs w:val="24"/>
                <w:lang w:val="en-US"/>
              </w:rPr>
              <w:t>Notes</w:t>
            </w:r>
          </w:p>
        </w:tc>
      </w:tr>
      <w:tr w:rsidR="006B061A" w:rsidRPr="00F82A4C" w14:paraId="65E8712B" w14:textId="77777777" w:rsidTr="006B061A">
        <w:tc>
          <w:tcPr>
            <w:tcW w:w="2943" w:type="dxa"/>
          </w:tcPr>
          <w:p w14:paraId="3D5618F1" w14:textId="77777777" w:rsidR="006B061A" w:rsidRPr="00F82A4C" w:rsidRDefault="006B061A" w:rsidP="00352679">
            <w:pPr>
              <w:spacing w:before="120" w:after="120"/>
              <w:rPr>
                <w:rFonts w:ascii="Arial" w:hAnsi="Arial" w:cs="Arial"/>
                <w:sz w:val="24"/>
                <w:szCs w:val="24"/>
                <w:lang w:val="en-US"/>
              </w:rPr>
            </w:pPr>
            <w:r w:rsidRPr="00F82A4C">
              <w:rPr>
                <w:rFonts w:ascii="Arial" w:hAnsi="Arial" w:cs="Arial"/>
                <w:sz w:val="24"/>
                <w:szCs w:val="24"/>
                <w:lang w:val="en-US"/>
              </w:rPr>
              <w:t>Measures approved by:</w:t>
            </w:r>
          </w:p>
        </w:tc>
        <w:tc>
          <w:tcPr>
            <w:tcW w:w="3402" w:type="dxa"/>
          </w:tcPr>
          <w:p w14:paraId="2B07AABF" w14:textId="77777777" w:rsidR="006B061A" w:rsidRPr="00F82A4C" w:rsidRDefault="006B061A" w:rsidP="00A63285">
            <w:pPr>
              <w:spacing w:before="120" w:after="120"/>
              <w:rPr>
                <w:rFonts w:ascii="Arial" w:hAnsi="Arial" w:cs="Arial"/>
                <w:sz w:val="24"/>
                <w:szCs w:val="24"/>
                <w:lang w:val="en-US"/>
              </w:rPr>
            </w:pPr>
          </w:p>
        </w:tc>
        <w:tc>
          <w:tcPr>
            <w:tcW w:w="3649" w:type="dxa"/>
          </w:tcPr>
          <w:p w14:paraId="602E2904" w14:textId="77777777" w:rsidR="006B061A" w:rsidRPr="00F82A4C" w:rsidRDefault="006B061A" w:rsidP="00BA7CB2">
            <w:pPr>
              <w:spacing w:before="120" w:after="120"/>
              <w:rPr>
                <w:rFonts w:ascii="Arial" w:hAnsi="Arial" w:cs="Arial"/>
                <w:sz w:val="24"/>
                <w:szCs w:val="24"/>
                <w:lang w:val="en-US"/>
              </w:rPr>
            </w:pPr>
            <w:r w:rsidRPr="00F82A4C">
              <w:rPr>
                <w:rFonts w:ascii="Arial" w:hAnsi="Arial" w:cs="Arial"/>
                <w:sz w:val="24"/>
                <w:szCs w:val="24"/>
                <w:lang w:val="en-US"/>
              </w:rPr>
              <w:t>Integrate actions back into project plan, with date and responsibility for completion</w:t>
            </w:r>
          </w:p>
        </w:tc>
      </w:tr>
      <w:tr w:rsidR="006B061A" w:rsidRPr="00F82A4C" w14:paraId="1E01DF70" w14:textId="77777777" w:rsidTr="006B061A">
        <w:tc>
          <w:tcPr>
            <w:tcW w:w="2943" w:type="dxa"/>
          </w:tcPr>
          <w:p w14:paraId="214A5BFC" w14:textId="77777777" w:rsidR="006B061A" w:rsidRPr="00F82A4C" w:rsidRDefault="006B061A" w:rsidP="006B061A">
            <w:pPr>
              <w:spacing w:before="120" w:after="120"/>
              <w:rPr>
                <w:rFonts w:ascii="Arial" w:hAnsi="Arial" w:cs="Arial"/>
                <w:sz w:val="24"/>
                <w:szCs w:val="24"/>
                <w:lang w:val="en-US"/>
              </w:rPr>
            </w:pPr>
            <w:r w:rsidRPr="00F82A4C">
              <w:rPr>
                <w:rFonts w:ascii="Arial" w:hAnsi="Arial" w:cs="Arial"/>
                <w:sz w:val="24"/>
                <w:szCs w:val="24"/>
                <w:lang w:val="en-US"/>
              </w:rPr>
              <w:t>Residual risks approved by:</w:t>
            </w:r>
          </w:p>
        </w:tc>
        <w:tc>
          <w:tcPr>
            <w:tcW w:w="3402" w:type="dxa"/>
          </w:tcPr>
          <w:p w14:paraId="3CB79276" w14:textId="77777777" w:rsidR="006B061A" w:rsidRPr="00F82A4C" w:rsidRDefault="006B061A" w:rsidP="00A63285">
            <w:pPr>
              <w:spacing w:before="120" w:after="120"/>
              <w:rPr>
                <w:rFonts w:ascii="Arial" w:hAnsi="Arial" w:cs="Arial"/>
                <w:sz w:val="24"/>
                <w:szCs w:val="24"/>
                <w:lang w:val="en-US"/>
              </w:rPr>
            </w:pPr>
          </w:p>
        </w:tc>
        <w:tc>
          <w:tcPr>
            <w:tcW w:w="3649" w:type="dxa"/>
          </w:tcPr>
          <w:p w14:paraId="697A9062" w14:textId="77777777" w:rsidR="006B061A" w:rsidRPr="00F82A4C" w:rsidRDefault="006B061A" w:rsidP="00A63285">
            <w:pPr>
              <w:spacing w:before="120" w:after="120"/>
              <w:rPr>
                <w:rFonts w:ascii="Arial" w:hAnsi="Arial" w:cs="Arial"/>
                <w:sz w:val="24"/>
                <w:szCs w:val="24"/>
                <w:lang w:val="en-US"/>
              </w:rPr>
            </w:pPr>
            <w:r w:rsidRPr="00F82A4C">
              <w:rPr>
                <w:rFonts w:ascii="Arial" w:hAnsi="Arial" w:cs="Arial"/>
                <w:sz w:val="24"/>
                <w:szCs w:val="24"/>
                <w:lang w:val="en-US"/>
              </w:rPr>
              <w:t>If accepting any residual high risk, consult the ICO before going ahead</w:t>
            </w:r>
          </w:p>
        </w:tc>
      </w:tr>
      <w:tr w:rsidR="00F57385" w:rsidRPr="00F82A4C" w14:paraId="6F369878" w14:textId="77777777" w:rsidTr="00F57385">
        <w:tc>
          <w:tcPr>
            <w:tcW w:w="2943" w:type="dxa"/>
          </w:tcPr>
          <w:p w14:paraId="48E58B60" w14:textId="77777777" w:rsidR="00F57385" w:rsidRPr="00F82A4C" w:rsidRDefault="00F57385" w:rsidP="00F57385">
            <w:pPr>
              <w:spacing w:before="120" w:after="120"/>
              <w:rPr>
                <w:rFonts w:ascii="Arial" w:hAnsi="Arial" w:cs="Arial"/>
                <w:sz w:val="24"/>
                <w:szCs w:val="24"/>
                <w:lang w:val="en-US"/>
              </w:rPr>
            </w:pPr>
            <w:r w:rsidRPr="00F82A4C">
              <w:rPr>
                <w:rFonts w:ascii="Arial" w:hAnsi="Arial" w:cs="Arial"/>
                <w:sz w:val="24"/>
                <w:szCs w:val="24"/>
                <w:lang w:val="en-US"/>
              </w:rPr>
              <w:t>DPO advice provided:</w:t>
            </w:r>
          </w:p>
        </w:tc>
        <w:tc>
          <w:tcPr>
            <w:tcW w:w="3402" w:type="dxa"/>
          </w:tcPr>
          <w:p w14:paraId="765FFEC8" w14:textId="77777777" w:rsidR="00F57385" w:rsidRDefault="000F427A" w:rsidP="00A63285">
            <w:pPr>
              <w:spacing w:before="120" w:after="120"/>
              <w:rPr>
                <w:rFonts w:ascii="Arial" w:hAnsi="Arial" w:cs="Arial"/>
                <w:sz w:val="24"/>
                <w:szCs w:val="24"/>
                <w:lang w:val="en-US"/>
              </w:rPr>
            </w:pPr>
            <w:r>
              <w:rPr>
                <w:rFonts w:ascii="Arial" w:hAnsi="Arial" w:cs="Arial"/>
                <w:sz w:val="24"/>
                <w:szCs w:val="24"/>
                <w:lang w:val="en-US"/>
              </w:rPr>
              <w:t>XXXXXX</w:t>
            </w:r>
            <w:r w:rsidR="00900114">
              <w:rPr>
                <w:rFonts w:ascii="Arial" w:hAnsi="Arial" w:cs="Arial"/>
                <w:sz w:val="24"/>
                <w:szCs w:val="24"/>
                <w:lang w:val="en-US"/>
              </w:rPr>
              <w:t xml:space="preserve"> Gwent OPCC, 17/01/2020</w:t>
            </w:r>
          </w:p>
          <w:p w14:paraId="2D9802FF" w14:textId="77777777" w:rsidR="00096E3B" w:rsidRDefault="00096E3B" w:rsidP="00A63285">
            <w:pPr>
              <w:spacing w:before="120" w:after="120"/>
              <w:rPr>
                <w:rFonts w:ascii="Arial" w:hAnsi="Arial" w:cs="Arial"/>
                <w:sz w:val="24"/>
                <w:szCs w:val="24"/>
                <w:lang w:val="en-US"/>
              </w:rPr>
            </w:pPr>
          </w:p>
          <w:p w14:paraId="3BB7BCC4" w14:textId="3F8B2528" w:rsidR="00096E3B" w:rsidRPr="00202934" w:rsidRDefault="00096E3B" w:rsidP="00096E3B">
            <w:pPr>
              <w:keepNext/>
              <w:spacing w:before="120" w:after="120"/>
              <w:rPr>
                <w:rFonts w:ascii="Arial" w:hAnsi="Arial" w:cs="Arial"/>
                <w:b/>
                <w:bCs/>
                <w:i/>
                <w:iCs/>
                <w:sz w:val="24"/>
                <w:szCs w:val="24"/>
                <w:lang w:val="en-US"/>
              </w:rPr>
            </w:pPr>
            <w:r w:rsidRPr="00202934">
              <w:rPr>
                <w:rFonts w:ascii="Arial" w:hAnsi="Arial" w:cs="Arial"/>
                <w:b/>
                <w:bCs/>
                <w:i/>
                <w:iCs/>
                <w:sz w:val="24"/>
                <w:szCs w:val="24"/>
                <w:lang w:val="en-US"/>
              </w:rPr>
              <w:t xml:space="preserve">Redacted under Section </w:t>
            </w:r>
            <w:r>
              <w:rPr>
                <w:rFonts w:ascii="Arial" w:hAnsi="Arial" w:cs="Arial"/>
                <w:b/>
                <w:bCs/>
                <w:i/>
                <w:iCs/>
                <w:sz w:val="24"/>
                <w:szCs w:val="24"/>
                <w:lang w:val="en-US"/>
              </w:rPr>
              <w:t>40(2)</w:t>
            </w:r>
            <w:r w:rsidRPr="00202934">
              <w:rPr>
                <w:rFonts w:ascii="Arial" w:hAnsi="Arial" w:cs="Arial"/>
                <w:b/>
                <w:bCs/>
                <w:i/>
                <w:iCs/>
                <w:sz w:val="24"/>
                <w:szCs w:val="24"/>
                <w:lang w:val="en-US"/>
              </w:rPr>
              <w:t xml:space="preserve"> of the FOIA.</w:t>
            </w:r>
          </w:p>
          <w:p w14:paraId="2920CADA" w14:textId="5BBE4633" w:rsidR="00096E3B" w:rsidRPr="00F82A4C" w:rsidRDefault="00096E3B" w:rsidP="00A63285">
            <w:pPr>
              <w:spacing w:before="120" w:after="120"/>
              <w:rPr>
                <w:rFonts w:ascii="Arial" w:hAnsi="Arial" w:cs="Arial"/>
                <w:sz w:val="24"/>
                <w:szCs w:val="24"/>
                <w:lang w:val="en-US"/>
              </w:rPr>
            </w:pPr>
          </w:p>
        </w:tc>
        <w:tc>
          <w:tcPr>
            <w:tcW w:w="3649" w:type="dxa"/>
          </w:tcPr>
          <w:p w14:paraId="6A12D307" w14:textId="77777777" w:rsidR="00F57385" w:rsidRPr="00F82A4C" w:rsidRDefault="00F57385" w:rsidP="00F57385">
            <w:pPr>
              <w:spacing w:before="120" w:after="120"/>
              <w:rPr>
                <w:rFonts w:ascii="Arial" w:hAnsi="Arial" w:cs="Arial"/>
                <w:sz w:val="24"/>
                <w:szCs w:val="24"/>
                <w:lang w:val="en-US"/>
              </w:rPr>
            </w:pPr>
            <w:r w:rsidRPr="00F82A4C">
              <w:rPr>
                <w:rFonts w:ascii="Arial" w:hAnsi="Arial" w:cs="Arial"/>
                <w:sz w:val="24"/>
                <w:szCs w:val="24"/>
                <w:lang w:val="en-US"/>
              </w:rPr>
              <w:t>DPO should advise on compliance, step 6 measures and whether processing can proceed</w:t>
            </w:r>
          </w:p>
        </w:tc>
      </w:tr>
      <w:tr w:rsidR="00F57385" w:rsidRPr="00F82A4C" w14:paraId="14DE20CA" w14:textId="77777777" w:rsidTr="004B7418">
        <w:trPr>
          <w:trHeight w:val="2268"/>
        </w:trPr>
        <w:tc>
          <w:tcPr>
            <w:tcW w:w="9994" w:type="dxa"/>
            <w:gridSpan w:val="3"/>
          </w:tcPr>
          <w:p w14:paraId="47C75024" w14:textId="77777777" w:rsidR="00F57385" w:rsidRDefault="00F57385" w:rsidP="00A63285">
            <w:pPr>
              <w:spacing w:before="120" w:after="120"/>
              <w:rPr>
                <w:rFonts w:ascii="Arial" w:hAnsi="Arial" w:cs="Arial"/>
                <w:sz w:val="24"/>
                <w:szCs w:val="24"/>
                <w:lang w:val="en-US"/>
              </w:rPr>
            </w:pPr>
            <w:r w:rsidRPr="00F82A4C">
              <w:rPr>
                <w:rFonts w:ascii="Arial" w:hAnsi="Arial" w:cs="Arial"/>
                <w:sz w:val="24"/>
                <w:szCs w:val="24"/>
                <w:lang w:val="en-US"/>
              </w:rPr>
              <w:t>Summary of DPO advice:</w:t>
            </w:r>
          </w:p>
          <w:p w14:paraId="1C842723" w14:textId="0DF265E5" w:rsidR="00900114" w:rsidRPr="00F82A4C" w:rsidRDefault="00900114" w:rsidP="00A63285">
            <w:pPr>
              <w:spacing w:before="120" w:after="120"/>
              <w:rPr>
                <w:rFonts w:ascii="Arial" w:hAnsi="Arial" w:cs="Arial"/>
                <w:sz w:val="24"/>
                <w:szCs w:val="24"/>
                <w:lang w:val="en-US"/>
              </w:rPr>
            </w:pPr>
            <w:r>
              <w:rPr>
                <w:rFonts w:ascii="Arial" w:hAnsi="Arial" w:cs="Arial"/>
                <w:sz w:val="24"/>
                <w:szCs w:val="24"/>
                <w:lang w:val="en-US"/>
              </w:rPr>
              <w:t>The DPO’s (Gwent and North Wales) have advised on areas where further detail could be included in the document, all of which were taken on board.  Processing can proceed.</w:t>
            </w:r>
          </w:p>
        </w:tc>
      </w:tr>
      <w:tr w:rsidR="00F57385" w:rsidRPr="00F82A4C" w14:paraId="1C313C6B" w14:textId="77777777" w:rsidTr="00F57385">
        <w:tc>
          <w:tcPr>
            <w:tcW w:w="2943" w:type="dxa"/>
          </w:tcPr>
          <w:p w14:paraId="289CAC44" w14:textId="77777777" w:rsidR="00F57385" w:rsidRPr="00F82A4C" w:rsidRDefault="00F57385" w:rsidP="00F57385">
            <w:pPr>
              <w:spacing w:before="120" w:after="120"/>
              <w:rPr>
                <w:rFonts w:ascii="Arial" w:hAnsi="Arial" w:cs="Arial"/>
                <w:sz w:val="24"/>
                <w:szCs w:val="24"/>
                <w:lang w:val="en-US"/>
              </w:rPr>
            </w:pPr>
            <w:r w:rsidRPr="00F82A4C">
              <w:rPr>
                <w:rFonts w:ascii="Arial" w:hAnsi="Arial" w:cs="Arial"/>
                <w:sz w:val="24"/>
                <w:szCs w:val="24"/>
                <w:lang w:val="en-US"/>
              </w:rPr>
              <w:t>DPO advice accepted or overruled by:</w:t>
            </w:r>
          </w:p>
        </w:tc>
        <w:tc>
          <w:tcPr>
            <w:tcW w:w="3402" w:type="dxa"/>
          </w:tcPr>
          <w:p w14:paraId="1D89801A" w14:textId="77777777" w:rsidR="00F57385" w:rsidRPr="00F82A4C" w:rsidRDefault="00F57385" w:rsidP="00F57385">
            <w:pPr>
              <w:spacing w:before="120" w:after="120"/>
              <w:rPr>
                <w:rFonts w:ascii="Arial" w:hAnsi="Arial" w:cs="Arial"/>
                <w:sz w:val="24"/>
                <w:szCs w:val="24"/>
                <w:lang w:val="en-US"/>
              </w:rPr>
            </w:pPr>
          </w:p>
        </w:tc>
        <w:tc>
          <w:tcPr>
            <w:tcW w:w="3649" w:type="dxa"/>
          </w:tcPr>
          <w:p w14:paraId="3F041F4A" w14:textId="77777777" w:rsidR="00F57385" w:rsidRPr="00F82A4C" w:rsidRDefault="00F57385" w:rsidP="00F57385">
            <w:pPr>
              <w:spacing w:before="120" w:after="120"/>
              <w:rPr>
                <w:rFonts w:ascii="Arial" w:hAnsi="Arial" w:cs="Arial"/>
                <w:sz w:val="24"/>
                <w:szCs w:val="24"/>
                <w:lang w:val="en-US"/>
              </w:rPr>
            </w:pPr>
            <w:r w:rsidRPr="00F82A4C">
              <w:rPr>
                <w:rFonts w:ascii="Arial" w:hAnsi="Arial" w:cs="Arial"/>
                <w:sz w:val="24"/>
                <w:szCs w:val="24"/>
                <w:lang w:val="en-US"/>
              </w:rPr>
              <w:t>If overruled, you must explain your reasons</w:t>
            </w:r>
          </w:p>
        </w:tc>
      </w:tr>
      <w:tr w:rsidR="00F57385" w:rsidRPr="00F82A4C" w14:paraId="7794B971" w14:textId="77777777" w:rsidTr="00096E3B">
        <w:trPr>
          <w:trHeight w:val="1161"/>
        </w:trPr>
        <w:tc>
          <w:tcPr>
            <w:tcW w:w="9994" w:type="dxa"/>
            <w:gridSpan w:val="3"/>
          </w:tcPr>
          <w:p w14:paraId="27E782E1" w14:textId="77777777" w:rsidR="00F57385" w:rsidRPr="00F82A4C" w:rsidRDefault="00F57385" w:rsidP="00A63285">
            <w:pPr>
              <w:spacing w:before="120" w:after="120"/>
              <w:rPr>
                <w:rFonts w:ascii="Arial" w:hAnsi="Arial" w:cs="Arial"/>
                <w:sz w:val="24"/>
                <w:szCs w:val="24"/>
                <w:lang w:val="en-US"/>
              </w:rPr>
            </w:pPr>
            <w:r w:rsidRPr="00F82A4C">
              <w:rPr>
                <w:rFonts w:ascii="Arial" w:hAnsi="Arial" w:cs="Arial"/>
                <w:sz w:val="24"/>
                <w:szCs w:val="24"/>
                <w:lang w:val="en-US"/>
              </w:rPr>
              <w:t>Comments:</w:t>
            </w:r>
          </w:p>
        </w:tc>
      </w:tr>
      <w:tr w:rsidR="00F57385" w:rsidRPr="00F82A4C" w14:paraId="772B773A" w14:textId="77777777" w:rsidTr="00F57385">
        <w:tc>
          <w:tcPr>
            <w:tcW w:w="2943" w:type="dxa"/>
          </w:tcPr>
          <w:p w14:paraId="1F9B1DBD" w14:textId="77777777" w:rsidR="00F57385" w:rsidRPr="00F82A4C" w:rsidRDefault="00F57385" w:rsidP="00C8036D">
            <w:pPr>
              <w:spacing w:before="120" w:after="120"/>
              <w:rPr>
                <w:rFonts w:ascii="Arial" w:hAnsi="Arial" w:cs="Arial"/>
                <w:sz w:val="24"/>
                <w:szCs w:val="24"/>
                <w:lang w:val="en-US"/>
              </w:rPr>
            </w:pPr>
            <w:r w:rsidRPr="00F82A4C">
              <w:rPr>
                <w:rFonts w:ascii="Arial" w:hAnsi="Arial" w:cs="Arial"/>
                <w:sz w:val="24"/>
                <w:szCs w:val="24"/>
                <w:lang w:val="en-US"/>
              </w:rPr>
              <w:t>Consultation responses reviewed by:</w:t>
            </w:r>
          </w:p>
        </w:tc>
        <w:tc>
          <w:tcPr>
            <w:tcW w:w="3402" w:type="dxa"/>
          </w:tcPr>
          <w:p w14:paraId="1CD08E8A" w14:textId="77777777" w:rsidR="00F57385" w:rsidRPr="00F82A4C" w:rsidRDefault="00F57385" w:rsidP="00A63285">
            <w:pPr>
              <w:spacing w:before="120" w:after="120"/>
              <w:rPr>
                <w:rFonts w:ascii="Arial" w:hAnsi="Arial" w:cs="Arial"/>
                <w:sz w:val="24"/>
                <w:szCs w:val="24"/>
                <w:lang w:val="en-US"/>
              </w:rPr>
            </w:pPr>
          </w:p>
        </w:tc>
        <w:tc>
          <w:tcPr>
            <w:tcW w:w="3649" w:type="dxa"/>
          </w:tcPr>
          <w:p w14:paraId="07F9046D" w14:textId="77777777" w:rsidR="00F57385" w:rsidRPr="00F82A4C" w:rsidRDefault="00F57385" w:rsidP="00F57385">
            <w:pPr>
              <w:spacing w:before="120" w:after="120"/>
              <w:rPr>
                <w:rFonts w:ascii="Arial" w:hAnsi="Arial" w:cs="Arial"/>
                <w:sz w:val="24"/>
                <w:szCs w:val="24"/>
                <w:lang w:val="en-US"/>
              </w:rPr>
            </w:pPr>
            <w:r w:rsidRPr="00F82A4C">
              <w:rPr>
                <w:rFonts w:ascii="Arial" w:hAnsi="Arial" w:cs="Arial"/>
                <w:sz w:val="24"/>
                <w:szCs w:val="24"/>
                <w:lang w:val="en-US"/>
              </w:rPr>
              <w:t>If your decision departs from individuals’ views, you must explain your reasons</w:t>
            </w:r>
          </w:p>
        </w:tc>
      </w:tr>
      <w:tr w:rsidR="00F57385" w:rsidRPr="00F82A4C" w14:paraId="19098453" w14:textId="77777777" w:rsidTr="00096E3B">
        <w:trPr>
          <w:trHeight w:val="1038"/>
        </w:trPr>
        <w:tc>
          <w:tcPr>
            <w:tcW w:w="9994" w:type="dxa"/>
            <w:gridSpan w:val="3"/>
          </w:tcPr>
          <w:p w14:paraId="5989DDA9" w14:textId="77777777" w:rsidR="00F57385" w:rsidRPr="00F82A4C" w:rsidRDefault="00F57385" w:rsidP="00F57385">
            <w:pPr>
              <w:spacing w:before="120" w:after="120"/>
              <w:rPr>
                <w:rFonts w:ascii="Arial" w:hAnsi="Arial" w:cs="Arial"/>
                <w:sz w:val="24"/>
                <w:szCs w:val="24"/>
                <w:lang w:val="en-US"/>
              </w:rPr>
            </w:pPr>
            <w:r w:rsidRPr="00F82A4C">
              <w:rPr>
                <w:rFonts w:ascii="Arial" w:hAnsi="Arial" w:cs="Arial"/>
                <w:sz w:val="24"/>
                <w:szCs w:val="24"/>
                <w:lang w:val="en-US"/>
              </w:rPr>
              <w:t>Comments:</w:t>
            </w:r>
          </w:p>
        </w:tc>
      </w:tr>
      <w:tr w:rsidR="00352679" w:rsidRPr="00F82A4C" w14:paraId="433E230E" w14:textId="77777777" w:rsidTr="00352679">
        <w:tc>
          <w:tcPr>
            <w:tcW w:w="2943" w:type="dxa"/>
          </w:tcPr>
          <w:p w14:paraId="1D261528" w14:textId="77777777" w:rsidR="00352679" w:rsidRPr="00F82A4C" w:rsidRDefault="00352679" w:rsidP="00352679">
            <w:pPr>
              <w:spacing w:before="120" w:after="120"/>
              <w:rPr>
                <w:rFonts w:ascii="Arial" w:hAnsi="Arial" w:cs="Arial"/>
                <w:sz w:val="24"/>
                <w:szCs w:val="24"/>
                <w:lang w:val="en-US"/>
              </w:rPr>
            </w:pPr>
            <w:r w:rsidRPr="00F82A4C">
              <w:rPr>
                <w:rFonts w:ascii="Arial" w:hAnsi="Arial" w:cs="Arial"/>
                <w:sz w:val="24"/>
                <w:szCs w:val="24"/>
                <w:lang w:val="en-US"/>
              </w:rPr>
              <w:t>This DPIA will kept under review by:</w:t>
            </w:r>
          </w:p>
        </w:tc>
        <w:tc>
          <w:tcPr>
            <w:tcW w:w="3402" w:type="dxa"/>
          </w:tcPr>
          <w:p w14:paraId="5906716D" w14:textId="77777777" w:rsidR="00352679" w:rsidRPr="00F82A4C" w:rsidRDefault="00352679" w:rsidP="00A63285">
            <w:pPr>
              <w:spacing w:before="120" w:after="120"/>
              <w:rPr>
                <w:rFonts w:ascii="Arial" w:hAnsi="Arial" w:cs="Arial"/>
                <w:sz w:val="24"/>
                <w:szCs w:val="24"/>
                <w:lang w:val="en-US"/>
              </w:rPr>
            </w:pPr>
          </w:p>
        </w:tc>
        <w:tc>
          <w:tcPr>
            <w:tcW w:w="3649" w:type="dxa"/>
          </w:tcPr>
          <w:p w14:paraId="673A50E4" w14:textId="77777777" w:rsidR="00352679" w:rsidRPr="00F82A4C" w:rsidRDefault="00352679" w:rsidP="00352679">
            <w:pPr>
              <w:spacing w:before="120" w:after="120"/>
              <w:rPr>
                <w:rFonts w:ascii="Arial" w:hAnsi="Arial" w:cs="Arial"/>
                <w:sz w:val="24"/>
                <w:szCs w:val="24"/>
                <w:lang w:val="en-US"/>
              </w:rPr>
            </w:pPr>
            <w:r w:rsidRPr="00F82A4C">
              <w:rPr>
                <w:rFonts w:ascii="Arial" w:hAnsi="Arial" w:cs="Arial"/>
                <w:sz w:val="24"/>
                <w:szCs w:val="24"/>
                <w:lang w:val="en-US"/>
              </w:rPr>
              <w:t>The DPO should also review ongoing compliance with DPIA</w:t>
            </w:r>
          </w:p>
        </w:tc>
      </w:tr>
    </w:tbl>
    <w:p w14:paraId="41D39CF6" w14:textId="77777777" w:rsidR="006B061A" w:rsidRPr="00F82A4C" w:rsidRDefault="006B061A" w:rsidP="00BA7CB2">
      <w:pPr>
        <w:spacing w:line="240" w:lineRule="auto"/>
        <w:rPr>
          <w:rFonts w:ascii="Arial" w:hAnsi="Arial" w:cs="Arial"/>
          <w:sz w:val="24"/>
          <w:szCs w:val="24"/>
          <w:lang w:val="en-US"/>
        </w:rPr>
      </w:pPr>
    </w:p>
    <w:sectPr w:rsidR="006B061A" w:rsidRPr="00F82A4C" w:rsidSect="007C19E2">
      <w:headerReference w:type="even" r:id="rId10"/>
      <w:headerReference w:type="default" r:id="rId11"/>
      <w:footerReference w:type="even" r:id="rId12"/>
      <w:footerReference w:type="default" r:id="rId13"/>
      <w:headerReference w:type="first" r:id="rId14"/>
      <w:footerReference w:type="first" r:id="rId15"/>
      <w:pgSz w:w="11906" w:h="16838"/>
      <w:pgMar w:top="1440" w:right="993" w:bottom="1440" w:left="113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B2647" w14:textId="77777777" w:rsidR="00FA1DCB" w:rsidRDefault="00FA1DCB" w:rsidP="0048248F">
      <w:pPr>
        <w:spacing w:line="240" w:lineRule="auto"/>
      </w:pPr>
      <w:r>
        <w:separator/>
      </w:r>
    </w:p>
  </w:endnote>
  <w:endnote w:type="continuationSeparator" w:id="0">
    <w:p w14:paraId="10158624" w14:textId="77777777" w:rsidR="00FA1DCB" w:rsidRDefault="00FA1DCB" w:rsidP="004824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A5C48" w14:textId="77777777" w:rsidR="007C19E2" w:rsidRDefault="007C19E2" w:rsidP="007C19E2">
    <w:pPr>
      <w:pStyle w:val="Footer"/>
      <w:rPr>
        <w:color w:val="000000"/>
        <w:sz w:val="17"/>
      </w:rPr>
    </w:pPr>
    <w:bookmarkStart w:id="2" w:name="TITUS1FooterEvenPages"/>
    <w:r w:rsidRPr="007C19E2">
      <w:rPr>
        <w:color w:val="000000"/>
        <w:sz w:val="17"/>
      </w:rPr>
      <w:t> </w:t>
    </w:r>
  </w:p>
  <w:bookmarkEnd w:id="2"/>
  <w:p w14:paraId="6282F5C5" w14:textId="77777777" w:rsidR="007C19E2" w:rsidRDefault="007C19E2" w:rsidP="007C19E2">
    <w:pPr>
      <w:pStyle w:val="Footer"/>
      <w:jc w:val="center"/>
    </w:pPr>
  </w:p>
  <w:p w14:paraId="551B6893" w14:textId="77777777" w:rsidR="009E47B7" w:rsidRDefault="009E4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881929"/>
      <w:docPartObj>
        <w:docPartGallery w:val="Page Numbers (Bottom of Page)"/>
        <w:docPartUnique/>
      </w:docPartObj>
    </w:sdtPr>
    <w:sdtEndPr>
      <w:rPr>
        <w:noProof/>
      </w:rPr>
    </w:sdtEndPr>
    <w:sdtContent>
      <w:p w14:paraId="4B8594E9" w14:textId="39D08594" w:rsidR="00E41C6E" w:rsidRDefault="00E41C6E">
        <w:pPr>
          <w:pStyle w:val="Footer"/>
          <w:jc w:val="center"/>
        </w:pPr>
        <w:r>
          <w:fldChar w:fldCharType="begin"/>
        </w:r>
        <w:r>
          <w:instrText xml:space="preserve"> PAGE   \* MERGEFORMAT </w:instrText>
        </w:r>
        <w:r>
          <w:fldChar w:fldCharType="separate"/>
        </w:r>
        <w:r w:rsidR="00037311">
          <w:rPr>
            <w:noProof/>
          </w:rPr>
          <w:t>7</w:t>
        </w:r>
        <w:r>
          <w:rPr>
            <w:noProof/>
          </w:rPr>
          <w:fldChar w:fldCharType="end"/>
        </w:r>
      </w:p>
    </w:sdtContent>
  </w:sdt>
  <w:p w14:paraId="5EAE802A" w14:textId="77777777" w:rsidR="009E47B7" w:rsidRDefault="009E47B7" w:rsidP="0048248F">
    <w:pPr>
      <w:pStyle w:val="Footer"/>
      <w:tabs>
        <w:tab w:val="clear" w:pos="9026"/>
        <w:tab w:val="right" w:pos="13608"/>
        <w:tab w:val="left" w:pos="13750"/>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3D10" w14:textId="77777777" w:rsidR="007C19E2" w:rsidRDefault="007C19E2" w:rsidP="007C19E2">
    <w:pPr>
      <w:pStyle w:val="Footer"/>
      <w:rPr>
        <w:color w:val="000000"/>
        <w:sz w:val="17"/>
      </w:rPr>
    </w:pPr>
    <w:bookmarkStart w:id="4" w:name="TITUS1FooterFirstPage"/>
    <w:r w:rsidRPr="007C19E2">
      <w:rPr>
        <w:color w:val="000000"/>
        <w:sz w:val="17"/>
      </w:rPr>
      <w:t> </w:t>
    </w:r>
  </w:p>
  <w:bookmarkEnd w:id="4"/>
  <w:p w14:paraId="0276351B" w14:textId="77777777" w:rsidR="007C19E2" w:rsidRDefault="007C19E2" w:rsidP="007C19E2">
    <w:pPr>
      <w:pStyle w:val="Footer"/>
      <w:jc w:val="center"/>
    </w:pPr>
  </w:p>
  <w:p w14:paraId="0BDFF952" w14:textId="77777777" w:rsidR="009E47B7" w:rsidRDefault="009E4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76DDC" w14:textId="77777777" w:rsidR="00FA1DCB" w:rsidRDefault="00FA1DCB" w:rsidP="0048248F">
      <w:pPr>
        <w:spacing w:line="240" w:lineRule="auto"/>
      </w:pPr>
      <w:r>
        <w:separator/>
      </w:r>
    </w:p>
  </w:footnote>
  <w:footnote w:type="continuationSeparator" w:id="0">
    <w:p w14:paraId="6F2ABA25" w14:textId="77777777" w:rsidR="00FA1DCB" w:rsidRDefault="00FA1DCB" w:rsidP="004824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C98AB" w14:textId="77777777" w:rsidR="009E47B7" w:rsidRDefault="007C19E2" w:rsidP="007C19E2">
    <w:pPr>
      <w:pStyle w:val="Header"/>
      <w:rPr>
        <w:color w:val="000000"/>
        <w:sz w:val="17"/>
      </w:rPr>
    </w:pPr>
    <w:bookmarkStart w:id="0" w:name="TITUS1HeaderEvenPages"/>
    <w:r w:rsidRPr="007C19E2">
      <w:rPr>
        <w:color w:val="000000"/>
        <w:sz w:val="17"/>
      </w:rPr>
      <w:t> </w:t>
    </w:r>
  </w:p>
  <w:bookmarkEnd w:id="0"/>
  <w:p w14:paraId="73C9BACC" w14:textId="77777777" w:rsidR="007C19E2" w:rsidRDefault="007C19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59412" w14:textId="77777777" w:rsidR="009E47B7" w:rsidRDefault="007C19E2" w:rsidP="007C19E2">
    <w:pPr>
      <w:pStyle w:val="Header"/>
      <w:rPr>
        <w:color w:val="000000"/>
        <w:sz w:val="17"/>
      </w:rPr>
    </w:pPr>
    <w:bookmarkStart w:id="1" w:name="TITUS1HeaderPrimary"/>
    <w:r w:rsidRPr="007C19E2">
      <w:rPr>
        <w:color w:val="000000"/>
        <w:sz w:val="17"/>
      </w:rPr>
      <w:t> </w:t>
    </w:r>
  </w:p>
  <w:bookmarkEnd w:id="1"/>
  <w:p w14:paraId="555E2717" w14:textId="77777777" w:rsidR="007C19E2" w:rsidRDefault="007C19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D585E" w14:textId="77777777" w:rsidR="009E47B7" w:rsidRDefault="007C19E2" w:rsidP="007C19E2">
    <w:pPr>
      <w:pStyle w:val="Header"/>
      <w:rPr>
        <w:color w:val="000000"/>
        <w:sz w:val="17"/>
      </w:rPr>
    </w:pPr>
    <w:bookmarkStart w:id="3" w:name="TITUS1HeaderFirstPage"/>
    <w:r w:rsidRPr="007C19E2">
      <w:rPr>
        <w:color w:val="000000"/>
        <w:sz w:val="17"/>
      </w:rPr>
      <w:t> </w:t>
    </w:r>
  </w:p>
  <w:bookmarkEnd w:id="3"/>
  <w:p w14:paraId="6A53FF83" w14:textId="77777777" w:rsidR="007C19E2" w:rsidRDefault="007C19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23205"/>
    <w:multiLevelType w:val="hybridMultilevel"/>
    <w:tmpl w:val="CD664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513467"/>
    <w:multiLevelType w:val="hybridMultilevel"/>
    <w:tmpl w:val="0818CFF0"/>
    <w:lvl w:ilvl="0" w:tplc="1E446F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0104CA5"/>
    <w:multiLevelType w:val="hybridMultilevel"/>
    <w:tmpl w:val="4E44F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453735">
    <w:abstractNumId w:val="2"/>
  </w:num>
  <w:num w:numId="2" w16cid:durableId="2077580005">
    <w:abstractNumId w:val="0"/>
  </w:num>
  <w:num w:numId="3" w16cid:durableId="88700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F45"/>
    <w:rsid w:val="00037311"/>
    <w:rsid w:val="00046441"/>
    <w:rsid w:val="00065783"/>
    <w:rsid w:val="000959FF"/>
    <w:rsid w:val="000960D1"/>
    <w:rsid w:val="00096E3B"/>
    <w:rsid w:val="000C31E8"/>
    <w:rsid w:val="000F427A"/>
    <w:rsid w:val="00116488"/>
    <w:rsid w:val="00151A58"/>
    <w:rsid w:val="0018139E"/>
    <w:rsid w:val="001B3DEE"/>
    <w:rsid w:val="001B6597"/>
    <w:rsid w:val="001C4A2B"/>
    <w:rsid w:val="001D0FC1"/>
    <w:rsid w:val="00202934"/>
    <w:rsid w:val="002046B7"/>
    <w:rsid w:val="00204F3B"/>
    <w:rsid w:val="00215BA4"/>
    <w:rsid w:val="00245600"/>
    <w:rsid w:val="00251E80"/>
    <w:rsid w:val="00262363"/>
    <w:rsid w:val="00271DE6"/>
    <w:rsid w:val="00276D54"/>
    <w:rsid w:val="002A6F0D"/>
    <w:rsid w:val="002E6702"/>
    <w:rsid w:val="002E73A6"/>
    <w:rsid w:val="00350D2B"/>
    <w:rsid w:val="00352679"/>
    <w:rsid w:val="00372C24"/>
    <w:rsid w:val="0039281F"/>
    <w:rsid w:val="003A0192"/>
    <w:rsid w:val="003A1212"/>
    <w:rsid w:val="00441F5B"/>
    <w:rsid w:val="00456F53"/>
    <w:rsid w:val="004603A6"/>
    <w:rsid w:val="00480B84"/>
    <w:rsid w:val="0048248F"/>
    <w:rsid w:val="00487BBE"/>
    <w:rsid w:val="0049238C"/>
    <w:rsid w:val="004A21D6"/>
    <w:rsid w:val="004B6CF5"/>
    <w:rsid w:val="004B7418"/>
    <w:rsid w:val="004E5700"/>
    <w:rsid w:val="004F297A"/>
    <w:rsid w:val="00511C53"/>
    <w:rsid w:val="00525F09"/>
    <w:rsid w:val="0053350F"/>
    <w:rsid w:val="00583AAF"/>
    <w:rsid w:val="00590294"/>
    <w:rsid w:val="005D24CA"/>
    <w:rsid w:val="005D6575"/>
    <w:rsid w:val="006567D8"/>
    <w:rsid w:val="006857A6"/>
    <w:rsid w:val="006877AF"/>
    <w:rsid w:val="006B061A"/>
    <w:rsid w:val="006E402A"/>
    <w:rsid w:val="00727E3F"/>
    <w:rsid w:val="007532E0"/>
    <w:rsid w:val="00757C46"/>
    <w:rsid w:val="00757ED9"/>
    <w:rsid w:val="00773CEF"/>
    <w:rsid w:val="00796142"/>
    <w:rsid w:val="007C19E2"/>
    <w:rsid w:val="007E352D"/>
    <w:rsid w:val="007F0896"/>
    <w:rsid w:val="00806EF4"/>
    <w:rsid w:val="008308AD"/>
    <w:rsid w:val="008565CA"/>
    <w:rsid w:val="00856783"/>
    <w:rsid w:val="00857B3B"/>
    <w:rsid w:val="008F38B0"/>
    <w:rsid w:val="00900114"/>
    <w:rsid w:val="00992CD6"/>
    <w:rsid w:val="009E1C27"/>
    <w:rsid w:val="009E47B7"/>
    <w:rsid w:val="009F567A"/>
    <w:rsid w:val="00A13E3F"/>
    <w:rsid w:val="00A1400B"/>
    <w:rsid w:val="00A37488"/>
    <w:rsid w:val="00A63285"/>
    <w:rsid w:val="00A70D75"/>
    <w:rsid w:val="00A93461"/>
    <w:rsid w:val="00AA5CA5"/>
    <w:rsid w:val="00AB105F"/>
    <w:rsid w:val="00B0405C"/>
    <w:rsid w:val="00B21F45"/>
    <w:rsid w:val="00B77619"/>
    <w:rsid w:val="00B808D8"/>
    <w:rsid w:val="00BA2516"/>
    <w:rsid w:val="00BA7CB2"/>
    <w:rsid w:val="00BC3382"/>
    <w:rsid w:val="00BE47FF"/>
    <w:rsid w:val="00C307DC"/>
    <w:rsid w:val="00C36EA3"/>
    <w:rsid w:val="00C7718E"/>
    <w:rsid w:val="00C8036D"/>
    <w:rsid w:val="00CF39D4"/>
    <w:rsid w:val="00CF49A9"/>
    <w:rsid w:val="00D04293"/>
    <w:rsid w:val="00D457A5"/>
    <w:rsid w:val="00D709C3"/>
    <w:rsid w:val="00D7227C"/>
    <w:rsid w:val="00DA2872"/>
    <w:rsid w:val="00DB5741"/>
    <w:rsid w:val="00DC3D22"/>
    <w:rsid w:val="00DF08A1"/>
    <w:rsid w:val="00E01473"/>
    <w:rsid w:val="00E03D05"/>
    <w:rsid w:val="00E16C04"/>
    <w:rsid w:val="00E35E40"/>
    <w:rsid w:val="00E41C6E"/>
    <w:rsid w:val="00E4614A"/>
    <w:rsid w:val="00E555BD"/>
    <w:rsid w:val="00E65D57"/>
    <w:rsid w:val="00E71854"/>
    <w:rsid w:val="00EA5BEE"/>
    <w:rsid w:val="00ED10D6"/>
    <w:rsid w:val="00ED4923"/>
    <w:rsid w:val="00EF6F98"/>
    <w:rsid w:val="00F12967"/>
    <w:rsid w:val="00F2092C"/>
    <w:rsid w:val="00F27089"/>
    <w:rsid w:val="00F57385"/>
    <w:rsid w:val="00F77DFB"/>
    <w:rsid w:val="00F82A4C"/>
    <w:rsid w:val="00FA1DCB"/>
    <w:rsid w:val="00FA2A9A"/>
    <w:rsid w:val="00FB2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FA396"/>
  <w15:docId w15:val="{A1A84F20-1774-4138-BC30-311A3C4B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285"/>
    <w:pPr>
      <w:spacing w:after="0"/>
    </w:pPr>
    <w:rPr>
      <w:sz w:val="23"/>
    </w:rPr>
  </w:style>
  <w:style w:type="paragraph" w:styleId="Heading1">
    <w:name w:val="heading 1"/>
    <w:basedOn w:val="Normal"/>
    <w:next w:val="Normal"/>
    <w:link w:val="Heading1Char"/>
    <w:uiPriority w:val="9"/>
    <w:qFormat/>
    <w:rsid w:val="000959FF"/>
    <w:pPr>
      <w:keepNext/>
      <w:pBdr>
        <w:top w:val="single" w:sz="4" w:space="1" w:color="auto"/>
        <w:left w:val="single" w:sz="4" w:space="4" w:color="auto"/>
        <w:bottom w:val="single" w:sz="4" w:space="1" w:color="auto"/>
        <w:right w:val="single" w:sz="4" w:space="4" w:color="auto"/>
      </w:pBdr>
      <w:shd w:val="clear" w:color="auto" w:fill="002060"/>
      <w:spacing w:before="240" w:after="240" w:line="240" w:lineRule="auto"/>
      <w:outlineLvl w:val="0"/>
    </w:pPr>
    <w:rPr>
      <w:rFonts w:ascii="Georgia" w:hAnsi="Georgia"/>
      <w:color w:val="FFFFFF" w:themeColor="background1"/>
      <w:sz w:val="36"/>
      <w:szCs w:val="24"/>
      <w:lang w:val="en-US"/>
    </w:rPr>
  </w:style>
  <w:style w:type="paragraph" w:styleId="Heading2">
    <w:name w:val="heading 2"/>
    <w:basedOn w:val="Normal"/>
    <w:next w:val="Normal"/>
    <w:link w:val="Heading2Char"/>
    <w:uiPriority w:val="9"/>
    <w:unhideWhenUsed/>
    <w:qFormat/>
    <w:rsid w:val="000959F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E73A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1F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5600"/>
    <w:rPr>
      <w:sz w:val="16"/>
      <w:szCs w:val="16"/>
    </w:rPr>
  </w:style>
  <w:style w:type="paragraph" w:styleId="CommentText">
    <w:name w:val="annotation text"/>
    <w:basedOn w:val="Normal"/>
    <w:link w:val="CommentTextChar"/>
    <w:uiPriority w:val="99"/>
    <w:unhideWhenUsed/>
    <w:rsid w:val="00245600"/>
    <w:pPr>
      <w:spacing w:line="240" w:lineRule="auto"/>
    </w:pPr>
    <w:rPr>
      <w:sz w:val="20"/>
      <w:szCs w:val="20"/>
    </w:rPr>
  </w:style>
  <w:style w:type="character" w:customStyle="1" w:styleId="CommentTextChar">
    <w:name w:val="Comment Text Char"/>
    <w:basedOn w:val="DefaultParagraphFont"/>
    <w:link w:val="CommentText"/>
    <w:uiPriority w:val="99"/>
    <w:rsid w:val="00245600"/>
    <w:rPr>
      <w:sz w:val="20"/>
      <w:szCs w:val="20"/>
    </w:rPr>
  </w:style>
  <w:style w:type="paragraph" w:styleId="CommentSubject">
    <w:name w:val="annotation subject"/>
    <w:basedOn w:val="CommentText"/>
    <w:next w:val="CommentText"/>
    <w:link w:val="CommentSubjectChar"/>
    <w:uiPriority w:val="99"/>
    <w:semiHidden/>
    <w:unhideWhenUsed/>
    <w:rsid w:val="00245600"/>
    <w:rPr>
      <w:b/>
      <w:bCs/>
    </w:rPr>
  </w:style>
  <w:style w:type="character" w:customStyle="1" w:styleId="CommentSubjectChar">
    <w:name w:val="Comment Subject Char"/>
    <w:basedOn w:val="CommentTextChar"/>
    <w:link w:val="CommentSubject"/>
    <w:uiPriority w:val="99"/>
    <w:semiHidden/>
    <w:rsid w:val="00245600"/>
    <w:rPr>
      <w:b/>
      <w:bCs/>
      <w:sz w:val="20"/>
      <w:szCs w:val="20"/>
    </w:rPr>
  </w:style>
  <w:style w:type="paragraph" w:styleId="BalloonText">
    <w:name w:val="Balloon Text"/>
    <w:basedOn w:val="Normal"/>
    <w:link w:val="BalloonTextChar"/>
    <w:uiPriority w:val="99"/>
    <w:semiHidden/>
    <w:unhideWhenUsed/>
    <w:rsid w:val="002456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600"/>
    <w:rPr>
      <w:rFonts w:ascii="Tahoma" w:hAnsi="Tahoma" w:cs="Tahoma"/>
      <w:sz w:val="16"/>
      <w:szCs w:val="16"/>
    </w:rPr>
  </w:style>
  <w:style w:type="character" w:styleId="Hyperlink">
    <w:name w:val="Hyperlink"/>
    <w:basedOn w:val="DefaultParagraphFont"/>
    <w:uiPriority w:val="99"/>
    <w:unhideWhenUsed/>
    <w:rsid w:val="0039281F"/>
    <w:rPr>
      <w:color w:val="0000FF" w:themeColor="hyperlink"/>
      <w:u w:val="single"/>
    </w:rPr>
  </w:style>
  <w:style w:type="character" w:customStyle="1" w:styleId="Heading1Char">
    <w:name w:val="Heading 1 Char"/>
    <w:basedOn w:val="DefaultParagraphFont"/>
    <w:link w:val="Heading1"/>
    <w:uiPriority w:val="9"/>
    <w:rsid w:val="000959FF"/>
    <w:rPr>
      <w:rFonts w:ascii="Georgia" w:hAnsi="Georgia"/>
      <w:color w:val="FFFFFF" w:themeColor="background1"/>
      <w:sz w:val="36"/>
      <w:szCs w:val="24"/>
      <w:shd w:val="clear" w:color="auto" w:fill="002060"/>
      <w:lang w:val="en-US"/>
    </w:rPr>
  </w:style>
  <w:style w:type="paragraph" w:styleId="Title">
    <w:name w:val="Title"/>
    <w:basedOn w:val="Normal"/>
    <w:next w:val="Normal"/>
    <w:link w:val="TitleChar"/>
    <w:uiPriority w:val="10"/>
    <w:qFormat/>
    <w:rsid w:val="0053350F"/>
    <w:pPr>
      <w:spacing w:line="240" w:lineRule="auto"/>
    </w:pPr>
    <w:rPr>
      <w:rFonts w:ascii="Georgia" w:hAnsi="Georgia"/>
      <w:color w:val="0070C0"/>
      <w:sz w:val="48"/>
      <w:szCs w:val="24"/>
    </w:rPr>
  </w:style>
  <w:style w:type="character" w:customStyle="1" w:styleId="TitleChar">
    <w:name w:val="Title Char"/>
    <w:basedOn w:val="DefaultParagraphFont"/>
    <w:link w:val="Title"/>
    <w:uiPriority w:val="10"/>
    <w:rsid w:val="0053350F"/>
    <w:rPr>
      <w:rFonts w:ascii="Georgia" w:hAnsi="Georgia"/>
      <w:color w:val="0070C0"/>
      <w:sz w:val="48"/>
      <w:szCs w:val="24"/>
    </w:rPr>
  </w:style>
  <w:style w:type="character" w:customStyle="1" w:styleId="Heading2Char">
    <w:name w:val="Heading 2 Char"/>
    <w:basedOn w:val="DefaultParagraphFont"/>
    <w:link w:val="Heading2"/>
    <w:uiPriority w:val="9"/>
    <w:rsid w:val="000959FF"/>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48248F"/>
    <w:pPr>
      <w:tabs>
        <w:tab w:val="center" w:pos="4513"/>
        <w:tab w:val="right" w:pos="9026"/>
      </w:tabs>
      <w:spacing w:line="240" w:lineRule="auto"/>
    </w:pPr>
  </w:style>
  <w:style w:type="character" w:customStyle="1" w:styleId="HeaderChar">
    <w:name w:val="Header Char"/>
    <w:basedOn w:val="DefaultParagraphFont"/>
    <w:link w:val="Header"/>
    <w:uiPriority w:val="99"/>
    <w:rsid w:val="0048248F"/>
    <w:rPr>
      <w:sz w:val="23"/>
    </w:rPr>
  </w:style>
  <w:style w:type="paragraph" w:styleId="Footer">
    <w:name w:val="footer"/>
    <w:basedOn w:val="Normal"/>
    <w:link w:val="FooterChar"/>
    <w:uiPriority w:val="99"/>
    <w:unhideWhenUsed/>
    <w:rsid w:val="0048248F"/>
    <w:pPr>
      <w:tabs>
        <w:tab w:val="center" w:pos="4513"/>
        <w:tab w:val="right" w:pos="9026"/>
      </w:tabs>
      <w:spacing w:line="240" w:lineRule="auto"/>
    </w:pPr>
  </w:style>
  <w:style w:type="character" w:customStyle="1" w:styleId="FooterChar">
    <w:name w:val="Footer Char"/>
    <w:basedOn w:val="DefaultParagraphFont"/>
    <w:link w:val="Footer"/>
    <w:uiPriority w:val="99"/>
    <w:rsid w:val="0048248F"/>
    <w:rPr>
      <w:sz w:val="23"/>
    </w:rPr>
  </w:style>
  <w:style w:type="paragraph" w:customStyle="1" w:styleId="Default">
    <w:name w:val="Default"/>
    <w:rsid w:val="00F82A4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6E402A"/>
    <w:pPr>
      <w:ind w:left="720"/>
      <w:contextualSpacing/>
    </w:pPr>
  </w:style>
  <w:style w:type="character" w:customStyle="1" w:styleId="Heading3Char">
    <w:name w:val="Heading 3 Char"/>
    <w:basedOn w:val="DefaultParagraphFont"/>
    <w:link w:val="Heading3"/>
    <w:uiPriority w:val="9"/>
    <w:semiHidden/>
    <w:rsid w:val="002E73A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34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for-organisations/guide-to-data-protection/guide-to-the-general-data-protection-regulation-gdpr/data-protection-impact-assessments-dpias/examples-of-processing-likely-to-result-in-high-ris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B5AF8-ED70-4E27-BABB-31DB575CF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2450</Words>
  <Characters>13970</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DPIA suggested process and template</vt:lpstr>
    </vt:vector>
  </TitlesOfParts>
  <Company>North Wales Police</Company>
  <LinksUpToDate>false</LinksUpToDate>
  <CharactersWithSpaces>16388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DPIA suggested process and template</dc:title>
  <dc:creator>Trow,Jacqueline swp55712</dc:creator>
  <cp:lastModifiedBy>Warren, Nicola</cp:lastModifiedBy>
  <cp:revision>2</cp:revision>
  <cp:lastPrinted>2018-06-26T12:26:00Z</cp:lastPrinted>
  <dcterms:created xsi:type="dcterms:W3CDTF">2023-07-13T14:18:00Z</dcterms:created>
  <dcterms:modified xsi:type="dcterms:W3CDTF">2023-07-13T14:18:00Z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b1dbf0f0-0816-4bae-bac4-e11860652215</vt:lpwstr>
  </property>
  <property fmtid="{D5CDD505-2E9C-101B-9397-08002B2CF9AE}" pid="3" name="Protective Marking Classification">
    <vt:lpwstr>OFFICIAL - NO MARKING</vt:lpwstr>
  </property>
  <property fmtid="{D5CDD505-2E9C-101B-9397-08002B2CF9AE}" pid="4" name="Additional Descriptor">
    <vt:lpwstr/>
  </property>
  <property fmtid="{D5CDD505-2E9C-101B-9397-08002B2CF9AE}" pid="5" name="Impact Level">
    <vt:i4>0</vt:i4>
  </property>
  <property fmtid="{D5CDD505-2E9C-101B-9397-08002B2CF9AE}" pid="6" name="Classification">
    <vt:lpwstr>OFFICIAL</vt:lpwstr>
  </property>
  <property fmtid="{D5CDD505-2E9C-101B-9397-08002B2CF9AE}" pid="7" name="Visibility">
    <vt:lpwstr>NOT VISIBLE</vt:lpwstr>
  </property>
  <property fmtid="{D5CDD505-2E9C-101B-9397-08002B2CF9AE}" pid="8" name="MSIP_Label_1677b0f2-b1ce-46d1-8668-d6acde8963a7_Enabled">
    <vt:lpwstr>true</vt:lpwstr>
  </property>
  <property fmtid="{D5CDD505-2E9C-101B-9397-08002B2CF9AE}" pid="9" name="MSIP_Label_1677b0f2-b1ce-46d1-8668-d6acde8963a7_SetDate">
    <vt:lpwstr>2023-07-12T14:39:35Z</vt:lpwstr>
  </property>
  <property fmtid="{D5CDD505-2E9C-101B-9397-08002B2CF9AE}" pid="10" name="MSIP_Label_1677b0f2-b1ce-46d1-8668-d6acde8963a7_Method">
    <vt:lpwstr>Standard</vt:lpwstr>
  </property>
  <property fmtid="{D5CDD505-2E9C-101B-9397-08002B2CF9AE}" pid="11" name="MSIP_Label_1677b0f2-b1ce-46d1-8668-d6acde8963a7_Name">
    <vt:lpwstr>OFFICIAL</vt:lpwstr>
  </property>
  <property fmtid="{D5CDD505-2E9C-101B-9397-08002B2CF9AE}" pid="12" name="MSIP_Label_1677b0f2-b1ce-46d1-8668-d6acde8963a7_SiteId">
    <vt:lpwstr>4e86b176-a10e-43bd-8d27-927f44d0e665</vt:lpwstr>
  </property>
  <property fmtid="{D5CDD505-2E9C-101B-9397-08002B2CF9AE}" pid="13" name="MSIP_Label_1677b0f2-b1ce-46d1-8668-d6acde8963a7_ActionId">
    <vt:lpwstr>674ca281-6a4c-4e7b-8bd6-a69065c7c74f</vt:lpwstr>
  </property>
  <property fmtid="{D5CDD505-2E9C-101B-9397-08002B2CF9AE}" pid="14" name="MSIP_Label_1677b0f2-b1ce-46d1-8668-d6acde8963a7_ContentBits">
    <vt:lpwstr>0</vt:lpwstr>
  </property>
  <property fmtid="{D5CDD505-2E9C-101B-9397-08002B2CF9AE}" pid="15" name="MSIP_Label_f2acd28b-79a3-4a0f-b0ff-4b75658b1549_Enabled">
    <vt:lpwstr>true</vt:lpwstr>
  </property>
  <property fmtid="{D5CDD505-2E9C-101B-9397-08002B2CF9AE}" pid="16" name="MSIP_Label_f2acd28b-79a3-4a0f-b0ff-4b75658b1549_SetDate">
    <vt:lpwstr>2023-07-13T07:29:16Z</vt:lpwstr>
  </property>
  <property fmtid="{D5CDD505-2E9C-101B-9397-08002B2CF9AE}" pid="17" name="MSIP_Label_f2acd28b-79a3-4a0f-b0ff-4b75658b1549_Method">
    <vt:lpwstr>Standard</vt:lpwstr>
  </property>
  <property fmtid="{D5CDD505-2E9C-101B-9397-08002B2CF9AE}" pid="18" name="MSIP_Label_f2acd28b-79a3-4a0f-b0ff-4b75658b1549_Name">
    <vt:lpwstr>OFFICIAL</vt:lpwstr>
  </property>
  <property fmtid="{D5CDD505-2E9C-101B-9397-08002B2CF9AE}" pid="19" name="MSIP_Label_f2acd28b-79a3-4a0f-b0ff-4b75658b1549_SiteId">
    <vt:lpwstr>e46c8472-ef5d-4b63-bc74-4a60db42c371</vt:lpwstr>
  </property>
  <property fmtid="{D5CDD505-2E9C-101B-9397-08002B2CF9AE}" pid="20" name="MSIP_Label_f2acd28b-79a3-4a0f-b0ff-4b75658b1549_ActionId">
    <vt:lpwstr>cc37e6f3-4819-44d7-bb68-b943ce3c848e</vt:lpwstr>
  </property>
  <property fmtid="{D5CDD505-2E9C-101B-9397-08002B2CF9AE}" pid="21" name="MSIP_Label_f2acd28b-79a3-4a0f-b0ff-4b75658b1549_ContentBits">
    <vt:lpwstr>0</vt:lpwstr>
  </property>
</Properties>
</file>