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49"/>
      </w:tblGrid>
      <w:tr w:rsidR="00320095" w:rsidRPr="00933DD9" w14:paraId="109A432B" w14:textId="77777777" w:rsidTr="00933DD9">
        <w:tc>
          <w:tcPr>
            <w:tcW w:w="9242" w:type="dxa"/>
            <w:gridSpan w:val="2"/>
            <w:shd w:val="clear" w:color="auto" w:fill="auto"/>
          </w:tcPr>
          <w:p w14:paraId="25CEFBB0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41DD7622" w14:textId="77777777" w:rsidTr="00205B0B">
        <w:trPr>
          <w:trHeight w:val="807"/>
        </w:trPr>
        <w:tc>
          <w:tcPr>
            <w:tcW w:w="2093" w:type="dxa"/>
            <w:shd w:val="clear" w:color="auto" w:fill="auto"/>
          </w:tcPr>
          <w:p w14:paraId="4A4C2AD9" w14:textId="61BEF361" w:rsidR="009B2681" w:rsidRPr="00933DD9" w:rsidRDefault="009B2681" w:rsidP="00AD2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F83E5" w14:textId="3CEF5B2E" w:rsidR="00320095" w:rsidRPr="00205B0B" w:rsidRDefault="009B2681" w:rsidP="00205B0B">
            <w:pPr>
              <w:rPr>
                <w:rFonts w:cs="Calibri"/>
                <w:color w:val="000000"/>
                <w:lang w:eastAsia="en-GB"/>
              </w:rPr>
            </w:pPr>
            <w:r w:rsidRPr="00205B0B">
              <w:rPr>
                <w:rFonts w:ascii="Arial" w:hAnsi="Arial" w:cs="Arial"/>
                <w:sz w:val="24"/>
                <w:szCs w:val="24"/>
              </w:rPr>
              <w:t>PCCG-2024-008</w:t>
            </w:r>
          </w:p>
        </w:tc>
        <w:tc>
          <w:tcPr>
            <w:tcW w:w="7149" w:type="dxa"/>
            <w:shd w:val="clear" w:color="auto" w:fill="auto"/>
          </w:tcPr>
          <w:p w14:paraId="33438F4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B5D626B" w14:textId="77777777" w:rsidTr="00D37B81">
        <w:tc>
          <w:tcPr>
            <w:tcW w:w="2093" w:type="dxa"/>
            <w:shd w:val="clear" w:color="auto" w:fill="auto"/>
          </w:tcPr>
          <w:p w14:paraId="6809C52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59DE2C7B" w14:textId="4D92427E" w:rsidR="00320095" w:rsidRPr="00933DD9" w:rsidRDefault="00D37B81" w:rsidP="00225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Grant Funding Allocation </w:t>
            </w:r>
            <w:r w:rsidR="00AD2B19">
              <w:rPr>
                <w:rFonts w:ascii="Arial" w:hAnsi="Arial" w:cs="Arial"/>
                <w:sz w:val="24"/>
                <w:szCs w:val="24"/>
              </w:rPr>
              <w:t>202</w:t>
            </w:r>
            <w:r w:rsidR="001A6404">
              <w:rPr>
                <w:rFonts w:ascii="Arial" w:hAnsi="Arial" w:cs="Arial"/>
                <w:sz w:val="24"/>
                <w:szCs w:val="24"/>
              </w:rPr>
              <w:t>4</w:t>
            </w:r>
            <w:r w:rsidR="00AD2B19">
              <w:rPr>
                <w:rFonts w:ascii="Arial" w:hAnsi="Arial" w:cs="Arial"/>
                <w:sz w:val="24"/>
                <w:szCs w:val="24"/>
              </w:rPr>
              <w:t>/2</w:t>
            </w:r>
            <w:r w:rsidR="001A6404">
              <w:rPr>
                <w:rFonts w:ascii="Arial" w:hAnsi="Arial" w:cs="Arial"/>
                <w:sz w:val="24"/>
                <w:szCs w:val="24"/>
              </w:rPr>
              <w:t>5</w:t>
            </w:r>
            <w:r w:rsidR="008D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F17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22570B">
              <w:rPr>
                <w:rFonts w:ascii="Arial" w:hAnsi="Arial" w:cs="Arial"/>
                <w:sz w:val="24"/>
                <w:szCs w:val="24"/>
              </w:rPr>
              <w:t xml:space="preserve">Sexual Violence </w:t>
            </w:r>
            <w:r w:rsidR="00BB7E29">
              <w:rPr>
                <w:rFonts w:ascii="Arial" w:hAnsi="Arial" w:cs="Arial"/>
                <w:sz w:val="24"/>
                <w:szCs w:val="24"/>
              </w:rPr>
              <w:t>Services</w:t>
            </w:r>
          </w:p>
        </w:tc>
      </w:tr>
      <w:tr w:rsidR="00320095" w:rsidRPr="00933DD9" w14:paraId="42EB431F" w14:textId="77777777" w:rsidTr="00D37B81">
        <w:tc>
          <w:tcPr>
            <w:tcW w:w="2093" w:type="dxa"/>
            <w:shd w:val="clear" w:color="auto" w:fill="auto"/>
          </w:tcPr>
          <w:p w14:paraId="089586C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6B5F5275" w14:textId="6D7CEEAD" w:rsidR="00320095" w:rsidRPr="008D3CE3" w:rsidRDefault="00505636" w:rsidP="00EB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CE3">
              <w:rPr>
                <w:rFonts w:ascii="Arial" w:hAnsi="Arial" w:cs="Arial"/>
                <w:sz w:val="24"/>
                <w:szCs w:val="24"/>
              </w:rPr>
              <w:t xml:space="preserve">To record the decision of the Police and Crime Commissioner to provide funding to </w:t>
            </w:r>
            <w:r w:rsidR="0022570B">
              <w:rPr>
                <w:rFonts w:ascii="Arial" w:hAnsi="Arial" w:cs="Arial"/>
                <w:sz w:val="24"/>
                <w:szCs w:val="24"/>
              </w:rPr>
              <w:t>New Pathways</w:t>
            </w:r>
            <w:r w:rsidR="009B6C25">
              <w:rPr>
                <w:rFonts w:ascii="Arial" w:hAnsi="Arial" w:cs="Arial"/>
                <w:sz w:val="24"/>
                <w:szCs w:val="24"/>
              </w:rPr>
              <w:t xml:space="preserve"> and Cyfannol Women’s Aid</w:t>
            </w:r>
            <w:r w:rsidR="002257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0C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BE17B6">
              <w:rPr>
                <w:rFonts w:ascii="Arial" w:hAnsi="Arial" w:cs="Arial"/>
                <w:sz w:val="24"/>
                <w:szCs w:val="24"/>
              </w:rPr>
              <w:t xml:space="preserve">3 months </w:t>
            </w:r>
            <w:r w:rsidR="00555ABB">
              <w:rPr>
                <w:rFonts w:ascii="Arial" w:hAnsi="Arial" w:cs="Arial"/>
                <w:sz w:val="24"/>
                <w:szCs w:val="24"/>
              </w:rPr>
              <w:t>(</w:t>
            </w:r>
            <w:r w:rsidR="005441FD">
              <w:rPr>
                <w:rFonts w:ascii="Arial" w:hAnsi="Arial" w:cs="Arial"/>
                <w:sz w:val="24"/>
                <w:szCs w:val="24"/>
              </w:rPr>
              <w:t>1</w:t>
            </w:r>
            <w:r w:rsidR="005441FD" w:rsidRPr="0044744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544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0CE">
              <w:rPr>
                <w:rFonts w:ascii="Arial" w:hAnsi="Arial" w:cs="Arial"/>
                <w:sz w:val="24"/>
                <w:szCs w:val="24"/>
              </w:rPr>
              <w:t>April</w:t>
            </w:r>
            <w:r w:rsidR="00BE17B6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5441FD"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="005441FD" w:rsidRPr="0044744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44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7B6">
              <w:rPr>
                <w:rFonts w:ascii="Arial" w:hAnsi="Arial" w:cs="Arial"/>
                <w:sz w:val="24"/>
                <w:szCs w:val="24"/>
              </w:rPr>
              <w:t>June 2024</w:t>
            </w:r>
            <w:r w:rsidR="00085C33">
              <w:rPr>
                <w:rFonts w:ascii="Arial" w:hAnsi="Arial" w:cs="Arial"/>
                <w:sz w:val="24"/>
                <w:szCs w:val="24"/>
              </w:rPr>
              <w:t>)</w:t>
            </w:r>
            <w:r w:rsidR="00AF20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ABB" w:rsidRPr="008D3CE3">
              <w:rPr>
                <w:rFonts w:ascii="Arial" w:hAnsi="Arial" w:cs="Arial"/>
                <w:sz w:val="24"/>
                <w:szCs w:val="24"/>
              </w:rPr>
              <w:t>due</w:t>
            </w:r>
            <w:r w:rsidR="00555ABB">
              <w:rPr>
                <w:rFonts w:ascii="Arial" w:hAnsi="Arial" w:cs="Arial"/>
                <w:sz w:val="24"/>
                <w:szCs w:val="24"/>
              </w:rPr>
              <w:t xml:space="preserve"> to a delay in the new service contract.</w:t>
            </w:r>
            <w:r w:rsidR="00555ABB" w:rsidRPr="008D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ABB">
              <w:rPr>
                <w:rFonts w:ascii="Arial" w:hAnsi="Arial" w:cs="Arial"/>
                <w:sz w:val="24"/>
                <w:szCs w:val="24"/>
              </w:rPr>
              <w:t>This will</w:t>
            </w:r>
            <w:r w:rsidRPr="008D3CE3">
              <w:rPr>
                <w:rFonts w:ascii="Arial" w:hAnsi="Arial" w:cs="Arial"/>
                <w:sz w:val="24"/>
                <w:szCs w:val="24"/>
              </w:rPr>
              <w:t xml:space="preserve"> ensure the continuation of their services in support of victims of sexual </w:t>
            </w:r>
            <w:r w:rsidR="00380146">
              <w:rPr>
                <w:rFonts w:ascii="Arial" w:hAnsi="Arial" w:cs="Arial"/>
                <w:sz w:val="24"/>
                <w:szCs w:val="24"/>
              </w:rPr>
              <w:t>violence offences</w:t>
            </w:r>
            <w:r w:rsidR="00AF20CE">
              <w:rPr>
                <w:rFonts w:ascii="Arial" w:hAnsi="Arial" w:cs="Arial"/>
                <w:sz w:val="24"/>
                <w:szCs w:val="24"/>
              </w:rPr>
              <w:t xml:space="preserve"> in Gwent.  .</w:t>
            </w:r>
          </w:p>
        </w:tc>
      </w:tr>
    </w:tbl>
    <w:p w14:paraId="567AD666" w14:textId="77777777" w:rsidR="00D8752E" w:rsidRPr="00D8752E" w:rsidRDefault="00B110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8752E"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817"/>
        <w:gridCol w:w="2835"/>
        <w:gridCol w:w="969"/>
        <w:gridCol w:w="4621"/>
      </w:tblGrid>
      <w:tr w:rsidR="00D8752E" w:rsidRPr="00933DD9" w14:paraId="0184ED68" w14:textId="77777777" w:rsidTr="00E54AE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17FF49A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80D9" w14:textId="77777777" w:rsidR="00D8752E" w:rsidRDefault="00193194" w:rsidP="00E54A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Police Reform and Social Responsibility Act 2011</w:t>
            </w:r>
            <w:r w:rsidR="00467D7E">
              <w:rPr>
                <w:rFonts w:ascii="Arial" w:hAnsi="Arial" w:cs="Arial"/>
                <w:sz w:val="24"/>
                <w:szCs w:val="24"/>
              </w:rPr>
              <w:t xml:space="preserve"> (the Act)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provides under section</w:t>
            </w:r>
            <w:r w:rsidR="0078765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</w:t>
            </w:r>
            <w:r w:rsidR="00AD2B19">
              <w:rPr>
                <w:rFonts w:ascii="Arial" w:hAnsi="Arial" w:cs="Arial"/>
                <w:sz w:val="24"/>
                <w:szCs w:val="24"/>
              </w:rPr>
              <w:t xml:space="preserve">(PCC) </w:t>
            </w:r>
            <w:r>
              <w:rPr>
                <w:rFonts w:ascii="Arial" w:hAnsi="Arial" w:cs="Arial"/>
                <w:sz w:val="24"/>
                <w:szCs w:val="24"/>
              </w:rPr>
              <w:t>for a police area makes crime and disorder grants and acts in co</w:t>
            </w:r>
            <w:r w:rsidR="0078765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6675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  <w:r w:rsidR="00F930FE">
              <w:rPr>
                <w:rFonts w:ascii="Arial" w:hAnsi="Arial" w:cs="Arial"/>
                <w:sz w:val="24"/>
                <w:szCs w:val="24"/>
              </w:rPr>
              <w:t xml:space="preserve"> This provision was further supplemented by virtue of the Anti-Social</w:t>
            </w:r>
            <w:r w:rsidR="0011059F">
              <w:rPr>
                <w:rFonts w:ascii="Arial" w:hAnsi="Arial" w:cs="Arial"/>
                <w:sz w:val="24"/>
                <w:szCs w:val="24"/>
              </w:rPr>
              <w:t xml:space="preserve"> Behaviour</w:t>
            </w:r>
            <w:r w:rsidR="00C352F5">
              <w:rPr>
                <w:rFonts w:ascii="Arial" w:hAnsi="Arial" w:cs="Arial"/>
                <w:sz w:val="24"/>
                <w:szCs w:val="24"/>
              </w:rPr>
              <w:t>, Crime and Policing</w:t>
            </w:r>
            <w:r w:rsidR="0011059F">
              <w:rPr>
                <w:rFonts w:ascii="Arial" w:hAnsi="Arial" w:cs="Arial"/>
                <w:sz w:val="24"/>
                <w:szCs w:val="24"/>
              </w:rPr>
              <w:t xml:space="preserve"> Act (2014)</w:t>
            </w:r>
            <w:r w:rsidR="006675BE">
              <w:rPr>
                <w:rFonts w:ascii="Arial" w:hAnsi="Arial" w:cs="Arial"/>
                <w:sz w:val="24"/>
                <w:szCs w:val="24"/>
              </w:rPr>
              <w:t>,</w:t>
            </w:r>
            <w:r w:rsidR="0011059F">
              <w:rPr>
                <w:rFonts w:ascii="Arial" w:hAnsi="Arial" w:cs="Arial"/>
                <w:sz w:val="24"/>
                <w:szCs w:val="24"/>
              </w:rPr>
              <w:t xml:space="preserve"> which provided specific arrangements for the provision of </w:t>
            </w:r>
            <w:r w:rsidR="00C352F5">
              <w:rPr>
                <w:rFonts w:ascii="Arial" w:hAnsi="Arial" w:cs="Arial"/>
                <w:sz w:val="24"/>
                <w:szCs w:val="24"/>
              </w:rPr>
              <w:t xml:space="preserve">commissioning services </w:t>
            </w:r>
            <w:r w:rsidR="0011059F">
              <w:rPr>
                <w:rFonts w:ascii="Arial" w:hAnsi="Arial" w:cs="Arial"/>
                <w:sz w:val="24"/>
                <w:szCs w:val="24"/>
              </w:rPr>
              <w:t>for victims.</w:t>
            </w:r>
          </w:p>
          <w:p w14:paraId="3A76FAEB" w14:textId="77777777" w:rsidR="00E54AE2" w:rsidRPr="00933DD9" w:rsidRDefault="00E54AE2" w:rsidP="00E54A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52E" w:rsidRPr="00933DD9" w14:paraId="2ED7B478" w14:textId="77777777" w:rsidTr="00E54AE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3944EB3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E2E" w14:textId="7709E930" w:rsidR="008D3CE3" w:rsidRDefault="00AD2B19" w:rsidP="002257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PCC receives an annual Victims Support Services Grant (VSSG) from the Ministry of Justice (MOJ)</w:t>
            </w:r>
            <w:r w:rsidR="006675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contribute to delivery of victims</w:t>
            </w:r>
            <w:r w:rsidR="00AE0CE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 in the area</w:t>
            </w:r>
            <w:r w:rsidR="006675BE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sexual violence services can be funded </w:t>
            </w:r>
            <w:r w:rsidR="00E24EFF">
              <w:rPr>
                <w:rFonts w:ascii="Arial" w:hAnsi="Arial" w:cs="Arial"/>
                <w:sz w:val="24"/>
                <w:szCs w:val="24"/>
              </w:rPr>
              <w:t xml:space="preserve">by this grant. </w:t>
            </w:r>
            <w:r w:rsidR="009B6C25">
              <w:rPr>
                <w:rFonts w:ascii="Arial" w:hAnsi="Arial" w:cs="Arial"/>
                <w:sz w:val="24"/>
                <w:szCs w:val="24"/>
              </w:rPr>
              <w:t xml:space="preserve">I have also been successful in securing additional funding for </w:t>
            </w:r>
            <w:r w:rsidR="00892307" w:rsidRPr="00921E07">
              <w:rPr>
                <w:rFonts w:ascii="Arial" w:hAnsi="Arial" w:cs="Arial"/>
                <w:sz w:val="24"/>
                <w:szCs w:val="24"/>
              </w:rPr>
              <w:t>Independent Sexual Violence Advisor</w:t>
            </w:r>
            <w:r w:rsidR="004E185D">
              <w:rPr>
                <w:rFonts w:ascii="Arial" w:hAnsi="Arial" w:cs="Arial"/>
                <w:sz w:val="24"/>
                <w:szCs w:val="24"/>
              </w:rPr>
              <w:t>s</w:t>
            </w:r>
            <w:r w:rsidR="0089230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B6C25">
              <w:rPr>
                <w:rFonts w:ascii="Arial" w:hAnsi="Arial" w:cs="Arial"/>
                <w:sz w:val="24"/>
                <w:szCs w:val="24"/>
              </w:rPr>
              <w:t>ISVA</w:t>
            </w:r>
            <w:r w:rsidR="004E185D">
              <w:rPr>
                <w:rFonts w:ascii="Arial" w:hAnsi="Arial" w:cs="Arial"/>
                <w:sz w:val="24"/>
                <w:szCs w:val="24"/>
              </w:rPr>
              <w:t>s</w:t>
            </w:r>
            <w:r w:rsidR="00892307">
              <w:rPr>
                <w:rFonts w:ascii="Arial" w:hAnsi="Arial" w:cs="Arial"/>
                <w:sz w:val="24"/>
                <w:szCs w:val="24"/>
              </w:rPr>
              <w:t>)</w:t>
            </w:r>
            <w:r w:rsidR="009B6C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F7C">
              <w:rPr>
                <w:rFonts w:ascii="Arial" w:hAnsi="Arial" w:cs="Arial"/>
                <w:sz w:val="24"/>
                <w:szCs w:val="24"/>
              </w:rPr>
              <w:t xml:space="preserve">and for the provision of Domestic Abuse and Sexual Violence Services </w:t>
            </w:r>
            <w:r w:rsidR="009B6C25">
              <w:rPr>
                <w:rFonts w:ascii="Arial" w:hAnsi="Arial" w:cs="Arial"/>
                <w:sz w:val="24"/>
                <w:szCs w:val="24"/>
              </w:rPr>
              <w:t xml:space="preserve">in Gwent. </w:t>
            </w:r>
          </w:p>
          <w:p w14:paraId="5F5ACA8B" w14:textId="77777777" w:rsidR="00B33F52" w:rsidRDefault="00B33F52" w:rsidP="00E54AE2">
            <w:pPr>
              <w:spacing w:after="0"/>
              <w:ind w:left="58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D755E" w14:textId="2301056A" w:rsidR="00A006F1" w:rsidRDefault="0022570B" w:rsidP="00EB4F17">
            <w:pPr>
              <w:spacing w:after="0"/>
              <w:ind w:right="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E07">
              <w:rPr>
                <w:rFonts w:ascii="Arial" w:hAnsi="Arial" w:cs="Arial"/>
                <w:sz w:val="24"/>
                <w:szCs w:val="24"/>
              </w:rPr>
              <w:t xml:space="preserve">New Pathways is an organisation which provides rape crisis and sexual abuse support services, </w:t>
            </w:r>
            <w:r w:rsidR="00701707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Pr="00921E07">
              <w:rPr>
                <w:rFonts w:ascii="Arial" w:hAnsi="Arial" w:cs="Arial"/>
                <w:sz w:val="24"/>
                <w:szCs w:val="24"/>
              </w:rPr>
              <w:t xml:space="preserve">management of the Gwent Sexual Assault Referral Centre (SARC). </w:t>
            </w:r>
            <w:r w:rsidR="009B6C25">
              <w:rPr>
                <w:rFonts w:ascii="Arial" w:hAnsi="Arial" w:cs="Arial"/>
                <w:sz w:val="24"/>
                <w:szCs w:val="24"/>
              </w:rPr>
              <w:t>Cyfannol Women’s Aid provide domestic abuse and sexual violence services across Gwent.</w:t>
            </w:r>
            <w:r w:rsidR="00A006F1">
              <w:rPr>
                <w:rFonts w:ascii="Arial" w:hAnsi="Arial" w:cs="Arial"/>
                <w:sz w:val="24"/>
                <w:szCs w:val="24"/>
              </w:rPr>
              <w:t xml:space="preserve"> Both organisations are currently funded </w:t>
            </w:r>
            <w:proofErr w:type="gramStart"/>
            <w:r w:rsidR="00A006F1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="00A006F1">
              <w:rPr>
                <w:rFonts w:ascii="Arial" w:hAnsi="Arial" w:cs="Arial"/>
                <w:sz w:val="24"/>
                <w:szCs w:val="24"/>
              </w:rPr>
              <w:t xml:space="preserve"> proposals submitted in 202</w:t>
            </w:r>
            <w:r w:rsidR="00085C33">
              <w:rPr>
                <w:rFonts w:ascii="Arial" w:hAnsi="Arial" w:cs="Arial"/>
                <w:sz w:val="24"/>
                <w:szCs w:val="24"/>
              </w:rPr>
              <w:t>2</w:t>
            </w:r>
            <w:r w:rsidR="00A006F1">
              <w:rPr>
                <w:rFonts w:ascii="Arial" w:hAnsi="Arial" w:cs="Arial"/>
                <w:sz w:val="24"/>
                <w:szCs w:val="24"/>
              </w:rPr>
              <w:t>/2</w:t>
            </w:r>
            <w:r w:rsidR="00085C33">
              <w:rPr>
                <w:rFonts w:ascii="Arial" w:hAnsi="Arial" w:cs="Arial"/>
                <w:sz w:val="24"/>
                <w:szCs w:val="24"/>
              </w:rPr>
              <w:t>3</w:t>
            </w:r>
            <w:r w:rsidR="0055507D">
              <w:rPr>
                <w:rFonts w:ascii="Arial" w:hAnsi="Arial" w:cs="Arial"/>
                <w:sz w:val="24"/>
                <w:szCs w:val="24"/>
              </w:rPr>
              <w:t xml:space="preserve"> (PCCG-2022-040)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.  This service has been re-commissioned during </w:t>
            </w:r>
            <w:r w:rsidR="0012625B">
              <w:rPr>
                <w:rFonts w:ascii="Arial" w:hAnsi="Arial" w:cs="Arial"/>
                <w:sz w:val="24"/>
                <w:szCs w:val="24"/>
              </w:rPr>
              <w:t>20</w:t>
            </w:r>
            <w:r w:rsidR="001A6404">
              <w:rPr>
                <w:rFonts w:ascii="Arial" w:hAnsi="Arial" w:cs="Arial"/>
                <w:sz w:val="24"/>
                <w:szCs w:val="24"/>
              </w:rPr>
              <w:t>23/24 with a planned start date of 1</w:t>
            </w:r>
            <w:r w:rsidR="001A6404" w:rsidRPr="001A640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B0B">
              <w:rPr>
                <w:rFonts w:ascii="Arial" w:hAnsi="Arial" w:cs="Arial"/>
                <w:sz w:val="24"/>
                <w:szCs w:val="24"/>
              </w:rPr>
              <w:t>April 2024</w:t>
            </w:r>
            <w:r w:rsidR="001A6404">
              <w:rPr>
                <w:rFonts w:ascii="Arial" w:hAnsi="Arial" w:cs="Arial"/>
                <w:sz w:val="24"/>
                <w:szCs w:val="24"/>
              </w:rPr>
              <w:t>, however due to contract delays</w:t>
            </w:r>
            <w:r w:rsidR="00555ABB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BE17B6">
              <w:rPr>
                <w:rFonts w:ascii="Arial" w:hAnsi="Arial" w:cs="Arial"/>
                <w:sz w:val="24"/>
                <w:szCs w:val="24"/>
              </w:rPr>
              <w:t>3 months</w:t>
            </w:r>
            <w:r w:rsidR="0055507D">
              <w:rPr>
                <w:rFonts w:ascii="Arial" w:hAnsi="Arial" w:cs="Arial"/>
                <w:sz w:val="24"/>
                <w:szCs w:val="24"/>
              </w:rPr>
              <w:t xml:space="preserve"> (initially </w:t>
            </w:r>
            <w:r w:rsidR="002B7614">
              <w:rPr>
                <w:rFonts w:ascii="Arial" w:hAnsi="Arial" w:cs="Arial"/>
                <w:sz w:val="24"/>
                <w:szCs w:val="24"/>
              </w:rPr>
              <w:t>1-month</w:t>
            </w:r>
            <w:r w:rsidR="0055507D">
              <w:rPr>
                <w:rFonts w:ascii="Arial" w:hAnsi="Arial" w:cs="Arial"/>
                <w:sz w:val="24"/>
                <w:szCs w:val="24"/>
              </w:rPr>
              <w:t xml:space="preserve"> PCCG-2023-044)</w:t>
            </w:r>
            <w:r w:rsidR="00555ABB">
              <w:rPr>
                <w:rFonts w:ascii="Arial" w:hAnsi="Arial" w:cs="Arial"/>
                <w:sz w:val="24"/>
                <w:szCs w:val="24"/>
              </w:rPr>
              <w:t>,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395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start date will </w:t>
            </w:r>
            <w:r w:rsidR="00555ABB">
              <w:rPr>
                <w:rFonts w:ascii="Arial" w:hAnsi="Arial" w:cs="Arial"/>
                <w:sz w:val="24"/>
                <w:szCs w:val="24"/>
              </w:rPr>
              <w:t xml:space="preserve">now </w:t>
            </w:r>
            <w:r w:rsidR="00085C33">
              <w:rPr>
                <w:rFonts w:ascii="Arial" w:hAnsi="Arial" w:cs="Arial"/>
                <w:sz w:val="24"/>
                <w:szCs w:val="24"/>
              </w:rPr>
              <w:t>be 1</w:t>
            </w:r>
            <w:r w:rsidR="001A6404" w:rsidRPr="001A640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7B6">
              <w:rPr>
                <w:rFonts w:ascii="Arial" w:hAnsi="Arial" w:cs="Arial"/>
                <w:sz w:val="24"/>
                <w:szCs w:val="24"/>
              </w:rPr>
              <w:t>July</w:t>
            </w:r>
            <w:r w:rsidR="001A6404">
              <w:rPr>
                <w:rFonts w:ascii="Arial" w:hAnsi="Arial" w:cs="Arial"/>
                <w:sz w:val="24"/>
                <w:szCs w:val="24"/>
              </w:rPr>
              <w:t>.  A</w:t>
            </w:r>
            <w:r w:rsidR="00A006F1">
              <w:rPr>
                <w:rFonts w:ascii="Arial" w:hAnsi="Arial" w:cs="Arial"/>
                <w:sz w:val="24"/>
                <w:szCs w:val="24"/>
              </w:rPr>
              <w:t xml:space="preserve"> recommendation to continue funding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5954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1A6404">
              <w:rPr>
                <w:rFonts w:ascii="Arial" w:hAnsi="Arial" w:cs="Arial"/>
                <w:sz w:val="24"/>
                <w:szCs w:val="24"/>
              </w:rPr>
              <w:t>both Cyfannol Women’s Aid and New Pathways</w:t>
            </w:r>
            <w:r w:rsidR="003955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7B6">
              <w:rPr>
                <w:rFonts w:ascii="Arial" w:hAnsi="Arial" w:cs="Arial"/>
                <w:sz w:val="24"/>
                <w:szCs w:val="24"/>
              </w:rPr>
              <w:t>for this extended period</w:t>
            </w:r>
            <w:r w:rsidR="00A006F1">
              <w:rPr>
                <w:rFonts w:ascii="Arial" w:hAnsi="Arial" w:cs="Arial"/>
                <w:sz w:val="24"/>
                <w:szCs w:val="24"/>
              </w:rPr>
              <w:t xml:space="preserve"> has been made by the Commissioning Team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 and the wider Commissioning Working Group</w:t>
            </w:r>
            <w:r w:rsidR="00A006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6BEFB5" w14:textId="77777777" w:rsidR="00EB4F17" w:rsidRPr="00921E07" w:rsidRDefault="00EB4F17" w:rsidP="00EB4F17">
            <w:pPr>
              <w:spacing w:after="0"/>
              <w:ind w:right="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52E" w:rsidRPr="00933DD9" w14:paraId="5D4B27A8" w14:textId="77777777" w:rsidTr="00E54AE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002B14D" w14:textId="63B6D83B" w:rsidR="00D8752E" w:rsidRPr="00933DD9" w:rsidRDefault="009D678F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.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A665" w14:textId="0F73A087" w:rsidR="00691E94" w:rsidRDefault="00EB4F17" w:rsidP="00EB4F17">
            <w:pPr>
              <w:spacing w:after="0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order to fulfil my commitments in relation to victims of sexual violence</w:t>
            </w:r>
            <w:r w:rsidR="006675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 have considered the requirements under the Act</w:t>
            </w:r>
            <w:r w:rsidR="006675BE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04C7">
              <w:rPr>
                <w:rFonts w:ascii="Arial" w:hAnsi="Arial" w:cs="Arial"/>
                <w:sz w:val="24"/>
                <w:szCs w:val="24"/>
              </w:rPr>
              <w:t>the requirements of the Police and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 w:rsidR="006675BE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04C7">
              <w:rPr>
                <w:rFonts w:ascii="Arial" w:hAnsi="Arial" w:cs="Arial"/>
                <w:sz w:val="24"/>
                <w:szCs w:val="24"/>
              </w:rPr>
              <w:t>as well as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recommendations of the</w:t>
            </w:r>
            <w:r w:rsidR="00A006F1">
              <w:rPr>
                <w:rFonts w:ascii="Arial" w:hAnsi="Arial" w:cs="Arial"/>
                <w:sz w:val="24"/>
                <w:szCs w:val="24"/>
              </w:rPr>
              <w:t xml:space="preserve"> Commissioning Team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have allocated</w:t>
            </w:r>
            <w:r w:rsidR="00691E94">
              <w:rPr>
                <w:rFonts w:ascii="Arial" w:hAnsi="Arial" w:cs="Arial"/>
                <w:sz w:val="24"/>
                <w:szCs w:val="24"/>
              </w:rPr>
              <w:t xml:space="preserve"> the following funding.</w:t>
            </w:r>
          </w:p>
          <w:p w14:paraId="4DF45F36" w14:textId="77777777" w:rsidR="00691E94" w:rsidRDefault="00691E94" w:rsidP="00EB4F17">
            <w:pPr>
              <w:spacing w:after="0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F57176" w14:textId="0363ABDC" w:rsidR="00D46C22" w:rsidRDefault="00691E94" w:rsidP="00EB4F17">
            <w:pPr>
              <w:spacing w:after="0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B4F17">
              <w:rPr>
                <w:rFonts w:ascii="Arial" w:hAnsi="Arial" w:cs="Arial"/>
                <w:sz w:val="24"/>
                <w:szCs w:val="24"/>
              </w:rPr>
              <w:t xml:space="preserve">n amount of </w:t>
            </w:r>
            <w:r w:rsidR="00EB4F17" w:rsidRPr="00120E53">
              <w:rPr>
                <w:rFonts w:ascii="Arial" w:hAnsi="Arial" w:cs="Arial"/>
                <w:sz w:val="24"/>
                <w:szCs w:val="24"/>
              </w:rPr>
              <w:t>£</w:t>
            </w:r>
            <w:r w:rsidR="00D1638C">
              <w:rPr>
                <w:rFonts w:ascii="Arial" w:hAnsi="Arial" w:cs="Arial"/>
                <w:sz w:val="24"/>
                <w:szCs w:val="24"/>
              </w:rPr>
              <w:t>97,472.18</w:t>
            </w:r>
            <w:r w:rsidR="00EB4F17" w:rsidRPr="00A030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4F17" w:rsidRPr="00A03008">
              <w:rPr>
                <w:rFonts w:ascii="Arial" w:hAnsi="Arial" w:cs="Arial"/>
                <w:sz w:val="24"/>
                <w:szCs w:val="24"/>
              </w:rPr>
              <w:t>to</w:t>
            </w:r>
            <w:r w:rsidR="00EB4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EFF">
              <w:rPr>
                <w:rFonts w:ascii="Arial" w:hAnsi="Arial" w:cs="Arial"/>
                <w:sz w:val="24"/>
                <w:szCs w:val="24"/>
              </w:rPr>
              <w:t>New Pathways</w:t>
            </w:r>
            <w:r w:rsidR="00EB4F17">
              <w:rPr>
                <w:rFonts w:ascii="Arial" w:hAnsi="Arial" w:cs="Arial"/>
                <w:sz w:val="24"/>
                <w:szCs w:val="24"/>
              </w:rPr>
              <w:t xml:space="preserve"> to contribute to the delivery of Sexual Violence Services </w:t>
            </w:r>
            <w:r w:rsidR="001A6404">
              <w:rPr>
                <w:rFonts w:ascii="Arial" w:hAnsi="Arial" w:cs="Arial"/>
                <w:sz w:val="24"/>
                <w:szCs w:val="24"/>
              </w:rPr>
              <w:t>for</w:t>
            </w:r>
            <w:r w:rsidR="005441FD">
              <w:rPr>
                <w:rFonts w:ascii="Arial" w:hAnsi="Arial" w:cs="Arial"/>
                <w:sz w:val="24"/>
                <w:szCs w:val="24"/>
              </w:rPr>
              <w:t xml:space="preserve"> the period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41FD">
              <w:rPr>
                <w:rFonts w:ascii="Arial" w:hAnsi="Arial" w:cs="Arial"/>
                <w:sz w:val="24"/>
                <w:szCs w:val="24"/>
              </w:rPr>
              <w:t>1</w:t>
            </w:r>
            <w:r w:rsidR="005441FD" w:rsidRPr="0044744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544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6404"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 w:rsidR="005441FD">
              <w:rPr>
                <w:rFonts w:ascii="Arial" w:hAnsi="Arial" w:cs="Arial"/>
                <w:sz w:val="24"/>
                <w:szCs w:val="24"/>
              </w:rPr>
              <w:t>– 30</w:t>
            </w:r>
            <w:r w:rsidR="005441FD" w:rsidRPr="0044744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441FD">
              <w:rPr>
                <w:rFonts w:ascii="Arial" w:hAnsi="Arial" w:cs="Arial"/>
                <w:sz w:val="24"/>
                <w:szCs w:val="24"/>
              </w:rPr>
              <w:t xml:space="preserve"> June 2024</w:t>
            </w:r>
            <w:r w:rsidR="00EB4F17">
              <w:rPr>
                <w:rFonts w:ascii="Arial" w:hAnsi="Arial" w:cs="Arial"/>
                <w:sz w:val="24"/>
                <w:szCs w:val="24"/>
              </w:rPr>
              <w:t xml:space="preserve">, including the </w:t>
            </w:r>
            <w:r w:rsidR="00D46C22">
              <w:rPr>
                <w:rFonts w:ascii="Arial" w:hAnsi="Arial" w:cs="Arial"/>
                <w:sz w:val="24"/>
                <w:szCs w:val="24"/>
              </w:rPr>
              <w:t>following services:</w:t>
            </w:r>
          </w:p>
          <w:p w14:paraId="00D1D21D" w14:textId="77777777" w:rsidR="00D46C22" w:rsidRDefault="00691E94" w:rsidP="00D46C2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Core </w:t>
            </w:r>
            <w:r w:rsidR="00D46C22" w:rsidRPr="00D46C22">
              <w:rPr>
                <w:rFonts w:ascii="Arial" w:hAnsi="Arial" w:cs="Arial"/>
                <w:sz w:val="24"/>
                <w:szCs w:val="24"/>
              </w:rPr>
              <w:t>ISVA service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675BE">
              <w:rPr>
                <w:rFonts w:ascii="Arial" w:hAnsi="Arial" w:cs="Arial"/>
                <w:sz w:val="24"/>
                <w:szCs w:val="24"/>
              </w:rPr>
              <w:t>;</w:t>
            </w:r>
            <w:r w:rsidR="00D46C22" w:rsidRPr="00D46C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4C8EBA" w14:textId="4A62641E" w:rsidR="00681596" w:rsidRPr="00120E53" w:rsidRDefault="00691E94" w:rsidP="00120E5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ISVAs - Children and Young People ISVA; Mental Health ISVA and Community ISVA;</w:t>
            </w:r>
            <w:r w:rsidR="007620AF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016C3F64" w14:textId="15A1F2B1" w:rsidR="00A006F1" w:rsidRPr="00447441" w:rsidRDefault="00681596" w:rsidP="004D6D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 ISVA</w:t>
            </w:r>
            <w:r w:rsidR="007620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4202247" w14:textId="7569886C" w:rsidR="00A006F1" w:rsidRDefault="00A006F1" w:rsidP="00A0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A37CD6" w14:textId="29FF4CB4" w:rsidR="00A006F1" w:rsidRDefault="00A006F1" w:rsidP="00A006F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46C22">
              <w:rPr>
                <w:rFonts w:ascii="Arial" w:hAnsi="Arial" w:cs="Arial"/>
                <w:sz w:val="24"/>
                <w:szCs w:val="24"/>
              </w:rPr>
              <w:t>The funding will also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contribute to</w:t>
            </w:r>
            <w:r w:rsidRPr="00D46C22">
              <w:rPr>
                <w:rFonts w:ascii="Arial" w:hAnsi="Arial" w:cs="Arial"/>
                <w:sz w:val="24"/>
                <w:szCs w:val="24"/>
              </w:rPr>
              <w:t xml:space="preserve"> training service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46C2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6C22">
              <w:rPr>
                <w:rFonts w:ascii="Arial" w:hAnsi="Arial" w:cs="Arial"/>
                <w:sz w:val="24"/>
                <w:szCs w:val="24"/>
              </w:rPr>
              <w:t>finance services, supervision</w:t>
            </w:r>
            <w:r>
              <w:rPr>
                <w:rFonts w:ascii="Arial" w:hAnsi="Arial" w:cs="Arial"/>
                <w:sz w:val="24"/>
                <w:szCs w:val="24"/>
              </w:rPr>
              <w:t>, management and administration costs.</w:t>
            </w:r>
          </w:p>
          <w:p w14:paraId="4D64718A" w14:textId="77777777" w:rsidR="00CE094A" w:rsidRDefault="00CE094A" w:rsidP="00A006F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6F8139" w14:textId="50674C76" w:rsidR="00CE094A" w:rsidRDefault="003C1BCD" w:rsidP="00A006F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E094A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CE094A">
              <w:rPr>
                <w:rFonts w:ascii="Arial" w:hAnsi="Arial" w:cs="Arial"/>
                <w:sz w:val="24"/>
                <w:szCs w:val="24"/>
              </w:rPr>
              <w:t>agreed to fund the counselling provision for New Pathways for the period 1</w:t>
            </w:r>
            <w:r w:rsidR="00CE094A" w:rsidRPr="0044744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CE094A">
              <w:rPr>
                <w:rFonts w:ascii="Arial" w:hAnsi="Arial" w:cs="Arial"/>
                <w:sz w:val="24"/>
                <w:szCs w:val="24"/>
              </w:rPr>
              <w:t xml:space="preserve"> April – 30</w:t>
            </w:r>
            <w:r w:rsidR="00CE094A" w:rsidRPr="0044744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E094A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AB440E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CE094A">
              <w:rPr>
                <w:rFonts w:ascii="Arial" w:hAnsi="Arial" w:cs="Arial"/>
                <w:sz w:val="24"/>
                <w:szCs w:val="24"/>
              </w:rPr>
              <w:t xml:space="preserve"> at cost of £34,856.60</w:t>
            </w:r>
            <w:r w:rsidR="001B77B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E094A">
              <w:rPr>
                <w:rFonts w:ascii="Arial" w:hAnsi="Arial" w:cs="Arial"/>
                <w:sz w:val="24"/>
                <w:szCs w:val="24"/>
              </w:rPr>
              <w:t>this will be administered through NHS Wales Joint Commissioning Committee</w:t>
            </w:r>
            <w:r>
              <w:rPr>
                <w:rFonts w:ascii="Arial" w:hAnsi="Arial" w:cs="Arial"/>
                <w:sz w:val="24"/>
                <w:szCs w:val="24"/>
              </w:rPr>
              <w:t>.  It is my expectation the future provision of counselling services for victims of sexual violence</w:t>
            </w:r>
            <w:r w:rsidR="0055507D">
              <w:rPr>
                <w:rFonts w:ascii="Arial" w:hAnsi="Arial" w:cs="Arial"/>
                <w:sz w:val="24"/>
                <w:szCs w:val="24"/>
              </w:rPr>
              <w:t>, currently delivered by New Pathways,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</w:t>
            </w:r>
            <w:r w:rsidR="00401D2A">
              <w:rPr>
                <w:rFonts w:ascii="Arial" w:hAnsi="Arial" w:cs="Arial"/>
                <w:sz w:val="24"/>
                <w:szCs w:val="24"/>
              </w:rPr>
              <w:t>funded,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delivered through Health</w:t>
            </w:r>
            <w:r w:rsidR="0055507D">
              <w:rPr>
                <w:rFonts w:ascii="Arial" w:hAnsi="Arial" w:cs="Arial"/>
                <w:sz w:val="24"/>
                <w:szCs w:val="24"/>
              </w:rPr>
              <w:t xml:space="preserve"> from 1</w:t>
            </w:r>
            <w:r w:rsidR="0055507D" w:rsidRPr="00401D2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55507D">
              <w:rPr>
                <w:rFonts w:ascii="Arial" w:hAnsi="Arial" w:cs="Arial"/>
                <w:sz w:val="24"/>
                <w:szCs w:val="24"/>
              </w:rPr>
              <w:t xml:space="preserve"> July 2024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5507D">
              <w:rPr>
                <w:rFonts w:ascii="Arial" w:hAnsi="Arial" w:cs="Arial"/>
                <w:sz w:val="24"/>
                <w:szCs w:val="24"/>
              </w:rPr>
              <w:t xml:space="preserve">  However, I will provide additional funding of £82,976 to </w:t>
            </w:r>
            <w:proofErr w:type="spellStart"/>
            <w:r w:rsidR="0055507D">
              <w:rPr>
                <w:rFonts w:ascii="Arial" w:hAnsi="Arial" w:cs="Arial"/>
                <w:sz w:val="24"/>
                <w:szCs w:val="24"/>
              </w:rPr>
              <w:t>Cyfannol</w:t>
            </w:r>
            <w:proofErr w:type="spellEnd"/>
            <w:r w:rsidR="0055507D">
              <w:rPr>
                <w:rFonts w:ascii="Arial" w:hAnsi="Arial" w:cs="Arial"/>
                <w:sz w:val="24"/>
                <w:szCs w:val="24"/>
              </w:rPr>
              <w:t xml:space="preserve"> for 2024/25 only to deliver their counselling service at which point provision will also pass to Health. </w:t>
            </w:r>
          </w:p>
          <w:p w14:paraId="46F30DE9" w14:textId="77777777" w:rsidR="00A006F1" w:rsidRDefault="00A006F1" w:rsidP="00A0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B4869" w14:textId="21E1AC9E" w:rsidR="006E329C" w:rsidRDefault="00D1638C" w:rsidP="00A0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source of this funding </w:t>
            </w:r>
            <w:r w:rsidR="00205B0B">
              <w:rPr>
                <w:rFonts w:ascii="Arial" w:hAnsi="Arial" w:cs="Arial"/>
                <w:sz w:val="24"/>
                <w:szCs w:val="24"/>
              </w:rPr>
              <w:t>is my</w:t>
            </w:r>
            <w:r>
              <w:rPr>
                <w:rFonts w:ascii="Arial" w:hAnsi="Arial" w:cs="Arial"/>
                <w:sz w:val="24"/>
                <w:szCs w:val="24"/>
              </w:rPr>
              <w:t xml:space="preserve"> core budget</w:t>
            </w:r>
            <w:r w:rsidR="001B77B0">
              <w:rPr>
                <w:rFonts w:ascii="Arial" w:hAnsi="Arial" w:cs="Arial"/>
                <w:sz w:val="24"/>
                <w:szCs w:val="24"/>
              </w:rPr>
              <w:t xml:space="preserve"> and MOJ Victim Services 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8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AE2778" w14:textId="282CDECB" w:rsidR="006E329C" w:rsidRDefault="006E329C" w:rsidP="00A0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E01C05" w14:textId="50754961" w:rsidR="006E329C" w:rsidRPr="006E329C" w:rsidRDefault="006E329C" w:rsidP="006E32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329C">
              <w:rPr>
                <w:rFonts w:ascii="Arial" w:hAnsi="Arial" w:cs="Arial"/>
                <w:sz w:val="24"/>
                <w:szCs w:val="24"/>
              </w:rPr>
              <w:t>An additional amount of</w:t>
            </w:r>
            <w:r>
              <w:rPr>
                <w:rFonts w:ascii="Arial" w:hAnsi="Arial" w:cs="Arial"/>
                <w:sz w:val="24"/>
                <w:szCs w:val="24"/>
              </w:rPr>
              <w:t xml:space="preserve"> £42,490 is provided by Gwent Police to New Pathways for</w:t>
            </w:r>
            <w:r w:rsidRPr="006E329C">
              <w:rPr>
                <w:rFonts w:ascii="Arial" w:hAnsi="Arial" w:cs="Arial"/>
                <w:sz w:val="24"/>
                <w:szCs w:val="24"/>
              </w:rPr>
              <w:t xml:space="preserve"> SARC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will be awarded via the OPCC Grant Agreement.  </w:t>
            </w:r>
            <w:r w:rsidR="00321813">
              <w:rPr>
                <w:rFonts w:ascii="Arial" w:hAnsi="Arial" w:cs="Arial"/>
                <w:sz w:val="24"/>
                <w:szCs w:val="24"/>
              </w:rPr>
              <w:t>This will continue for the financial year 2</w:t>
            </w:r>
            <w:r w:rsidR="00AB440E">
              <w:rPr>
                <w:rFonts w:ascii="Arial" w:hAnsi="Arial" w:cs="Arial"/>
                <w:sz w:val="24"/>
                <w:szCs w:val="24"/>
              </w:rPr>
              <w:t>02</w:t>
            </w:r>
            <w:r w:rsidR="00321813">
              <w:rPr>
                <w:rFonts w:ascii="Arial" w:hAnsi="Arial" w:cs="Arial"/>
                <w:sz w:val="24"/>
                <w:szCs w:val="24"/>
              </w:rPr>
              <w:t>4/25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28B6AB" w14:textId="77777777" w:rsidR="006E329C" w:rsidRPr="00A006F1" w:rsidRDefault="006E329C" w:rsidP="00A006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185928" w14:textId="77777777" w:rsidR="00D46C22" w:rsidRDefault="00D46C22" w:rsidP="00D46C2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4447BD2" w14:textId="35E3CF5B" w:rsidR="00691E94" w:rsidRPr="00321813" w:rsidRDefault="00691E94" w:rsidP="00321813">
            <w:pPr>
              <w:spacing w:after="0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amount of </w:t>
            </w:r>
            <w:r w:rsidR="00321813" w:rsidRPr="00120E53">
              <w:rPr>
                <w:rFonts w:ascii="Arial" w:hAnsi="Arial" w:cs="Arial"/>
                <w:sz w:val="24"/>
                <w:szCs w:val="24"/>
              </w:rPr>
              <w:t>£</w:t>
            </w:r>
            <w:r w:rsidR="00D1638C">
              <w:rPr>
                <w:rFonts w:ascii="Arial" w:hAnsi="Arial" w:cs="Arial"/>
                <w:color w:val="000000"/>
                <w:sz w:val="24"/>
                <w:szCs w:val="24"/>
              </w:rPr>
              <w:t>24,732.26</w:t>
            </w:r>
            <w:r w:rsidR="00321813">
              <w:rPr>
                <w:rFonts w:cs="Calibri"/>
                <w:color w:val="000000"/>
              </w:rPr>
              <w:t xml:space="preserve"> </w:t>
            </w:r>
            <w:r w:rsidRPr="00A03008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Cyfannol Women’s Aid to contribute to the delivery of</w:t>
            </w:r>
            <w:r w:rsidRPr="00AE3EBF">
              <w:rPr>
                <w:rFonts w:ascii="Arial" w:hAnsi="Arial" w:cs="Arial"/>
                <w:sz w:val="24"/>
                <w:szCs w:val="24"/>
              </w:rPr>
              <w:t xml:space="preserve"> their Horizon Support Services</w:t>
            </w:r>
            <w:r w:rsidR="00321813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AB440E">
              <w:rPr>
                <w:rFonts w:ascii="Arial" w:hAnsi="Arial" w:cs="Arial"/>
                <w:sz w:val="24"/>
                <w:szCs w:val="24"/>
              </w:rPr>
              <w:t>the 1</w:t>
            </w:r>
            <w:r w:rsidR="00AB440E" w:rsidRPr="0044744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AB44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813">
              <w:rPr>
                <w:rFonts w:ascii="Arial" w:hAnsi="Arial" w:cs="Arial"/>
                <w:sz w:val="24"/>
                <w:szCs w:val="24"/>
              </w:rPr>
              <w:t>April</w:t>
            </w:r>
            <w:r w:rsidR="00AB440E">
              <w:rPr>
                <w:rFonts w:ascii="Arial" w:hAnsi="Arial" w:cs="Arial"/>
                <w:sz w:val="24"/>
                <w:szCs w:val="24"/>
              </w:rPr>
              <w:t xml:space="preserve"> – 30</w:t>
            </w:r>
            <w:r w:rsidR="00AB440E" w:rsidRPr="0044744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B44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B0B">
              <w:rPr>
                <w:rFonts w:ascii="Arial" w:hAnsi="Arial" w:cs="Arial"/>
                <w:sz w:val="24"/>
                <w:szCs w:val="24"/>
              </w:rPr>
              <w:t>June 2024</w:t>
            </w:r>
            <w:r w:rsidRPr="00AE3EBF">
              <w:rPr>
                <w:rFonts w:ascii="Arial" w:hAnsi="Arial" w:cs="Arial"/>
                <w:sz w:val="24"/>
                <w:szCs w:val="24"/>
              </w:rPr>
              <w:t xml:space="preserve"> which include</w:t>
            </w:r>
            <w:r w:rsidR="0017736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24EF5F7" w14:textId="77777777" w:rsidR="00691E94" w:rsidRDefault="00691E94" w:rsidP="00691E94">
            <w:pPr>
              <w:numPr>
                <w:ilvl w:val="0"/>
                <w:numId w:val="41"/>
              </w:numPr>
              <w:spacing w:after="0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1E07">
              <w:rPr>
                <w:rFonts w:ascii="Arial" w:hAnsi="Arial" w:cs="Arial"/>
                <w:sz w:val="24"/>
                <w:szCs w:val="24"/>
              </w:rPr>
              <w:t>ISVA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services.</w:t>
            </w:r>
          </w:p>
          <w:p w14:paraId="4A3ED3EE" w14:textId="77777777" w:rsidR="00BB32E5" w:rsidRDefault="00BB32E5" w:rsidP="00BB32E5">
            <w:pPr>
              <w:spacing w:after="0"/>
              <w:ind w:left="778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4CD067" w14:textId="16BF0467" w:rsidR="00A006F1" w:rsidRDefault="00691E94" w:rsidP="0000711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funding will also contribute to management and administration costs</w:t>
            </w:r>
            <w:r w:rsidR="00BB32E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18AB20" w14:textId="0269BDF3" w:rsidR="00A006F1" w:rsidRDefault="00A006F1" w:rsidP="0000711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927C35" w14:textId="77777777" w:rsidR="007620AF" w:rsidRDefault="00A006F1" w:rsidP="00AB27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source of this funding </w:t>
            </w:r>
            <w:r w:rsidR="00205B0B">
              <w:rPr>
                <w:rFonts w:ascii="Arial" w:hAnsi="Arial" w:cs="Arial"/>
                <w:sz w:val="24"/>
                <w:szCs w:val="24"/>
              </w:rPr>
              <w:t>is my</w:t>
            </w:r>
            <w:r>
              <w:rPr>
                <w:rFonts w:ascii="Arial" w:hAnsi="Arial" w:cs="Arial"/>
                <w:sz w:val="24"/>
                <w:szCs w:val="24"/>
              </w:rPr>
              <w:t xml:space="preserve"> core budget</w:t>
            </w:r>
            <w:r w:rsidR="007620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625B08" w14:textId="6A9C0C58" w:rsidR="0077484B" w:rsidRPr="008D22C4" w:rsidRDefault="00A006F1" w:rsidP="00AB27D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D3CE3" w:rsidRPr="00933DD9" w14:paraId="470CC137" w14:textId="77777777" w:rsidTr="00E54AE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73D4B7F" w14:textId="77777777" w:rsidR="008D3CE3" w:rsidRPr="00933DD9" w:rsidRDefault="001F2BC1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D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1D73" w14:textId="77777777" w:rsidR="00C33668" w:rsidRPr="001D04C7" w:rsidRDefault="00C33668" w:rsidP="00C3366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each award will be set out in a Grant Agreement which includes appropriate terms and conditions, purpose of the award and payment, monitoring and reporting arrangements.  </w:t>
            </w:r>
          </w:p>
          <w:p w14:paraId="3524CE92" w14:textId="1635BEF6" w:rsidR="00C33668" w:rsidRPr="001D04C7" w:rsidRDefault="00C33668" w:rsidP="00C3366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FC1D86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monitor the progress of funded projects and provide reassurance that funding allocated is effectively meeting Policing Priorities in Gwent,</w:t>
            </w:r>
            <w:r>
              <w:rPr>
                <w:rFonts w:ascii="Arial" w:hAnsi="Arial" w:cs="Arial"/>
                <w:sz w:val="24"/>
                <w:szCs w:val="24"/>
              </w:rPr>
              <w:t xml:space="preserve"> as outlined in the Police and C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rime Plan, grant recipients </w:t>
            </w:r>
            <w:r w:rsidRPr="001D04C7">
              <w:rPr>
                <w:rFonts w:ascii="Arial" w:hAnsi="Arial" w:cs="Arial"/>
                <w:sz w:val="24"/>
                <w:szCs w:val="24"/>
              </w:rPr>
              <w:lastRenderedPageBreak/>
              <w:t>are required to complete a mid</w:t>
            </w:r>
            <w:r w:rsidR="004D129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</w:t>
            </w:r>
            <w:r w:rsidR="0012625B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of</w:t>
            </w:r>
            <w:r w:rsidR="0012625B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monitoring report</w:t>
            </w:r>
            <w:r w:rsidR="004D1297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60159260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4D12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9D56D3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4D12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18B059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4D12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321C0D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4D12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6AF0C4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FC1D86">
              <w:rPr>
                <w:rFonts w:ascii="Arial" w:hAnsi="Arial" w:cs="Arial"/>
                <w:sz w:val="24"/>
                <w:szCs w:val="24"/>
              </w:rPr>
              <w:t>s</w:t>
            </w:r>
            <w:r w:rsidR="004D1297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69A38B6F" w14:textId="77777777" w:rsidR="00C33668" w:rsidRPr="001D04C7" w:rsidRDefault="00C33668" w:rsidP="00C33668">
            <w:pPr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4D1297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253ADE3" w14:textId="77777777" w:rsidR="001F2BC1" w:rsidRDefault="001F2BC1" w:rsidP="00C336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42A40C" w14:textId="77777777" w:rsidR="001F2BC1" w:rsidRPr="001D04C7" w:rsidRDefault="001F2BC1" w:rsidP="00C336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Applicant organisations </w:t>
            </w:r>
            <w:r w:rsidRPr="001D04C7">
              <w:rPr>
                <w:rFonts w:ascii="Arial" w:hAnsi="Arial" w:cs="Arial"/>
                <w:sz w:val="24"/>
                <w:szCs w:val="24"/>
              </w:rPr>
              <w:t>will be required to accept the terms and conditions of the grant</w:t>
            </w:r>
            <w:r w:rsidR="00B6760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B6760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  <w:r>
              <w:rPr>
                <w:rFonts w:ascii="Arial" w:hAnsi="Arial" w:cs="Arial"/>
                <w:sz w:val="24"/>
                <w:szCs w:val="24"/>
              </w:rPr>
              <w:t xml:space="preserve"> Payment of grants is subject to ongoing compliance with the terms and conditions of the grant and satisfactory monitoring and reporting.</w:t>
            </w:r>
          </w:p>
          <w:p w14:paraId="2A9C3E3F" w14:textId="77777777" w:rsidR="00A82C61" w:rsidRPr="00467D7E" w:rsidRDefault="00A82C61" w:rsidP="00A82C61">
            <w:pPr>
              <w:spacing w:after="0"/>
              <w:ind w:right="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6D4218C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4"/>
            <w:shd w:val="clear" w:color="auto" w:fill="auto"/>
          </w:tcPr>
          <w:p w14:paraId="4F5D3C03" w14:textId="6AAD819F" w:rsidR="00320095" w:rsidRPr="00933DD9" w:rsidRDefault="00C25D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Mr</w:t>
            </w:r>
            <w:r w:rsidR="00AB440E">
              <w:rPr>
                <w:rFonts w:ascii="Arial" w:hAnsi="Arial" w:cs="Arial"/>
                <w:b/>
                <w:sz w:val="24"/>
                <w:szCs w:val="24"/>
              </w:rPr>
              <w:t>s Jane Mudd</w:t>
            </w:r>
            <w:r w:rsidR="00007110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51F7672B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4"/>
            <w:shd w:val="clear" w:color="auto" w:fill="auto"/>
          </w:tcPr>
          <w:p w14:paraId="5317C54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17B9DF96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1" w:type="dxa"/>
            <w:gridSpan w:val="3"/>
            <w:shd w:val="clear" w:color="auto" w:fill="auto"/>
          </w:tcPr>
          <w:p w14:paraId="77F2AD14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  <w:r w:rsidR="008373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3DAF92" w14:textId="361CA551" w:rsidR="004B74B4" w:rsidRPr="00933DD9" w:rsidRDefault="004B74B4">
            <w:pPr>
              <w:rPr>
                <w:rFonts w:ascii="Arial" w:hAnsi="Arial" w:cs="Arial"/>
                <w:sz w:val="24"/>
                <w:szCs w:val="24"/>
              </w:rPr>
            </w:pPr>
            <w:r w:rsidRPr="003D2866">
              <w:rPr>
                <w:noProof/>
              </w:rPr>
              <w:drawing>
                <wp:inline distT="0" distB="0" distL="0" distR="0" wp14:anchorId="03FED804" wp14:editId="62B1BEC8">
                  <wp:extent cx="1981200" cy="8064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84" cy="81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66E44803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28852A70" w14:textId="242BA4C0" w:rsidR="004B74B4" w:rsidRPr="00933DD9" w:rsidRDefault="004B74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24.07.2024</w:t>
            </w:r>
          </w:p>
        </w:tc>
      </w:tr>
      <w:tr w:rsidR="00320095" w:rsidRPr="00933DD9" w14:paraId="5CF07CDA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50C32940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6A125915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19717F3D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10F2AB9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48AC6A29" w14:textId="09FC69C7" w:rsidR="00320095" w:rsidRPr="00933DD9" w:rsidRDefault="00AB27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 Morris</w:t>
            </w:r>
          </w:p>
        </w:tc>
      </w:tr>
      <w:tr w:rsidR="00320095" w:rsidRPr="00933DD9" w14:paraId="2AF55B38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322B008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36C126AC" w14:textId="06D6510B" w:rsidR="00320095" w:rsidRPr="00933DD9" w:rsidRDefault="00AB27DD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 </w:t>
            </w:r>
            <w:r w:rsidR="001F2BC1"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748E5783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21B938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59C4F8EC" w14:textId="66EFD70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2E1D6F7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13C03E5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512566B4" w14:textId="0C4CAF9B" w:rsidR="00320095" w:rsidRPr="00933DD9" w:rsidRDefault="00AB27DD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Zoe.Morris@gwent.police.uk</w:t>
            </w:r>
          </w:p>
        </w:tc>
      </w:tr>
      <w:tr w:rsidR="00320095" w:rsidRPr="00933DD9" w14:paraId="5C40FE71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4D0097D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3D28AB50" w14:textId="77777777" w:rsidR="00C25D97" w:rsidRPr="00933DD9" w:rsidRDefault="00C25D97" w:rsidP="00AB27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E21D9" w14:textId="77777777" w:rsidR="00A36DF4" w:rsidRPr="00B72DBE" w:rsidRDefault="00A36DF4" w:rsidP="00047DEF">
      <w:pPr>
        <w:rPr>
          <w:rFonts w:cs="Calibri"/>
        </w:rPr>
      </w:pPr>
    </w:p>
    <w:sectPr w:rsidR="00A36DF4" w:rsidRPr="00B72DBE" w:rsidSect="00CE04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56B6" w14:textId="77777777" w:rsidR="00301BD8" w:rsidRDefault="00301BD8">
      <w:pPr>
        <w:spacing w:after="0" w:line="240" w:lineRule="auto"/>
      </w:pPr>
      <w:r>
        <w:separator/>
      </w:r>
    </w:p>
  </w:endnote>
  <w:endnote w:type="continuationSeparator" w:id="0">
    <w:p w14:paraId="5457B837" w14:textId="77777777" w:rsidR="00301BD8" w:rsidRDefault="0030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C718" w14:textId="77777777" w:rsidR="004506FE" w:rsidRDefault="00450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0CE3" w14:textId="77777777" w:rsidR="00A83FE5" w:rsidRPr="004506FE" w:rsidRDefault="00A83FE5" w:rsidP="00450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D67B" w14:textId="77777777" w:rsidR="004506FE" w:rsidRDefault="0045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9D9C" w14:textId="77777777" w:rsidR="00301BD8" w:rsidRDefault="00301BD8">
      <w:pPr>
        <w:spacing w:after="0" w:line="240" w:lineRule="auto"/>
      </w:pPr>
      <w:r>
        <w:separator/>
      </w:r>
    </w:p>
  </w:footnote>
  <w:footnote w:type="continuationSeparator" w:id="0">
    <w:p w14:paraId="76E62AB4" w14:textId="77777777" w:rsidR="00301BD8" w:rsidRDefault="0030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FC70" w14:textId="77777777" w:rsidR="004506FE" w:rsidRDefault="00450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8ED0" w14:textId="77777777" w:rsidR="00A83FE5" w:rsidRPr="004506FE" w:rsidRDefault="00A83FE5" w:rsidP="00450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50B3" w14:textId="77777777" w:rsidR="004506FE" w:rsidRDefault="00450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8E7"/>
    <w:multiLevelType w:val="hybridMultilevel"/>
    <w:tmpl w:val="FBDA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43D"/>
    <w:multiLevelType w:val="hybridMultilevel"/>
    <w:tmpl w:val="82E8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DC1"/>
    <w:multiLevelType w:val="hybridMultilevel"/>
    <w:tmpl w:val="12D6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2958"/>
    <w:multiLevelType w:val="hybridMultilevel"/>
    <w:tmpl w:val="75A2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1B3C"/>
    <w:multiLevelType w:val="hybridMultilevel"/>
    <w:tmpl w:val="F72C1D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7981"/>
    <w:multiLevelType w:val="hybridMultilevel"/>
    <w:tmpl w:val="362A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39B2"/>
    <w:multiLevelType w:val="hybridMultilevel"/>
    <w:tmpl w:val="2A30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752"/>
    <w:multiLevelType w:val="hybridMultilevel"/>
    <w:tmpl w:val="B790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07DB2"/>
    <w:multiLevelType w:val="hybridMultilevel"/>
    <w:tmpl w:val="E676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90C75"/>
    <w:multiLevelType w:val="hybridMultilevel"/>
    <w:tmpl w:val="2BF23F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F2149F"/>
    <w:multiLevelType w:val="hybridMultilevel"/>
    <w:tmpl w:val="82E8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6D9C"/>
    <w:multiLevelType w:val="hybridMultilevel"/>
    <w:tmpl w:val="742E6B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0710F4"/>
    <w:multiLevelType w:val="hybridMultilevel"/>
    <w:tmpl w:val="378C7BC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1071C77"/>
    <w:multiLevelType w:val="multilevel"/>
    <w:tmpl w:val="8D9AF4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BE065A"/>
    <w:multiLevelType w:val="hybridMultilevel"/>
    <w:tmpl w:val="C5E0C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22F"/>
    <w:multiLevelType w:val="hybridMultilevel"/>
    <w:tmpl w:val="AAB21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36D26"/>
    <w:multiLevelType w:val="hybridMultilevel"/>
    <w:tmpl w:val="39DA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A0DB7"/>
    <w:multiLevelType w:val="hybridMultilevel"/>
    <w:tmpl w:val="C84E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234CB"/>
    <w:multiLevelType w:val="hybridMultilevel"/>
    <w:tmpl w:val="293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93628"/>
    <w:multiLevelType w:val="hybridMultilevel"/>
    <w:tmpl w:val="982C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7AD1"/>
    <w:multiLevelType w:val="hybridMultilevel"/>
    <w:tmpl w:val="F1A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7BE8"/>
    <w:multiLevelType w:val="hybridMultilevel"/>
    <w:tmpl w:val="7C66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6B5E77"/>
    <w:multiLevelType w:val="hybridMultilevel"/>
    <w:tmpl w:val="BB68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C0B3D"/>
    <w:multiLevelType w:val="hybridMultilevel"/>
    <w:tmpl w:val="9A98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7328E"/>
    <w:multiLevelType w:val="hybridMultilevel"/>
    <w:tmpl w:val="4048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95DCA"/>
    <w:multiLevelType w:val="hybridMultilevel"/>
    <w:tmpl w:val="B354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5347D"/>
    <w:multiLevelType w:val="hybridMultilevel"/>
    <w:tmpl w:val="DC8E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B7ACA"/>
    <w:multiLevelType w:val="multilevel"/>
    <w:tmpl w:val="B380BF22"/>
    <w:lvl w:ilvl="0">
      <w:start w:val="2018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60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2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49C4F39"/>
    <w:multiLevelType w:val="hybridMultilevel"/>
    <w:tmpl w:val="1A381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620F00"/>
    <w:multiLevelType w:val="hybridMultilevel"/>
    <w:tmpl w:val="65DE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303CF"/>
    <w:multiLevelType w:val="hybridMultilevel"/>
    <w:tmpl w:val="DB3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4878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721F7"/>
    <w:multiLevelType w:val="hybridMultilevel"/>
    <w:tmpl w:val="71E6F284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0562FE"/>
    <w:multiLevelType w:val="hybridMultilevel"/>
    <w:tmpl w:val="D9D2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6896">
    <w:abstractNumId w:val="27"/>
  </w:num>
  <w:num w:numId="2" w16cid:durableId="18623684">
    <w:abstractNumId w:val="29"/>
  </w:num>
  <w:num w:numId="3" w16cid:durableId="1799294563">
    <w:abstractNumId w:val="25"/>
  </w:num>
  <w:num w:numId="4" w16cid:durableId="985821607">
    <w:abstractNumId w:val="31"/>
  </w:num>
  <w:num w:numId="5" w16cid:durableId="747458898">
    <w:abstractNumId w:val="0"/>
  </w:num>
  <w:num w:numId="6" w16cid:durableId="1519387365">
    <w:abstractNumId w:val="6"/>
  </w:num>
  <w:num w:numId="7" w16cid:durableId="1989047374">
    <w:abstractNumId w:val="32"/>
  </w:num>
  <w:num w:numId="8" w16cid:durableId="1268536852">
    <w:abstractNumId w:val="34"/>
  </w:num>
  <w:num w:numId="9" w16cid:durableId="173689753">
    <w:abstractNumId w:val="16"/>
  </w:num>
  <w:num w:numId="10" w16cid:durableId="1912694219">
    <w:abstractNumId w:val="18"/>
  </w:num>
  <w:num w:numId="11" w16cid:durableId="1136795783">
    <w:abstractNumId w:val="22"/>
  </w:num>
  <w:num w:numId="12" w16cid:durableId="1863936433">
    <w:abstractNumId w:val="21"/>
  </w:num>
  <w:num w:numId="13" w16cid:durableId="1053117442">
    <w:abstractNumId w:val="40"/>
  </w:num>
  <w:num w:numId="14" w16cid:durableId="157890518">
    <w:abstractNumId w:val="12"/>
  </w:num>
  <w:num w:numId="15" w16cid:durableId="1064645679">
    <w:abstractNumId w:val="23"/>
  </w:num>
  <w:num w:numId="16" w16cid:durableId="1748067860">
    <w:abstractNumId w:val="20"/>
  </w:num>
  <w:num w:numId="17" w16cid:durableId="425882988">
    <w:abstractNumId w:val="24"/>
  </w:num>
  <w:num w:numId="18" w16cid:durableId="1639719809">
    <w:abstractNumId w:val="41"/>
  </w:num>
  <w:num w:numId="19" w16cid:durableId="1879585535">
    <w:abstractNumId w:val="38"/>
  </w:num>
  <w:num w:numId="20" w16cid:durableId="2082749997">
    <w:abstractNumId w:val="30"/>
  </w:num>
  <w:num w:numId="21" w16cid:durableId="2133091119">
    <w:abstractNumId w:val="8"/>
  </w:num>
  <w:num w:numId="22" w16cid:durableId="608201645">
    <w:abstractNumId w:val="19"/>
  </w:num>
  <w:num w:numId="23" w16cid:durableId="1684167461">
    <w:abstractNumId w:val="4"/>
  </w:num>
  <w:num w:numId="24" w16cid:durableId="1343360324">
    <w:abstractNumId w:val="26"/>
  </w:num>
  <w:num w:numId="25" w16cid:durableId="969240267">
    <w:abstractNumId w:val="5"/>
  </w:num>
  <w:num w:numId="26" w16cid:durableId="522012459">
    <w:abstractNumId w:val="39"/>
  </w:num>
  <w:num w:numId="27" w16cid:durableId="208612384">
    <w:abstractNumId w:val="1"/>
  </w:num>
  <w:num w:numId="28" w16cid:durableId="153033645">
    <w:abstractNumId w:val="9"/>
  </w:num>
  <w:num w:numId="29" w16cid:durableId="195194710">
    <w:abstractNumId w:val="10"/>
  </w:num>
  <w:num w:numId="30" w16cid:durableId="1293360988">
    <w:abstractNumId w:val="2"/>
  </w:num>
  <w:num w:numId="31" w16cid:durableId="1815102194">
    <w:abstractNumId w:val="3"/>
  </w:num>
  <w:num w:numId="32" w16cid:durableId="1889566608">
    <w:abstractNumId w:val="7"/>
  </w:num>
  <w:num w:numId="33" w16cid:durableId="1903521099">
    <w:abstractNumId w:val="28"/>
  </w:num>
  <w:num w:numId="34" w16cid:durableId="22101546">
    <w:abstractNumId w:val="14"/>
  </w:num>
  <w:num w:numId="35" w16cid:durableId="1440179676">
    <w:abstractNumId w:val="33"/>
  </w:num>
  <w:num w:numId="36" w16cid:durableId="875703200">
    <w:abstractNumId w:val="35"/>
  </w:num>
  <w:num w:numId="37" w16cid:durableId="535627248">
    <w:abstractNumId w:val="36"/>
  </w:num>
  <w:num w:numId="38" w16cid:durableId="874006562">
    <w:abstractNumId w:val="11"/>
  </w:num>
  <w:num w:numId="39" w16cid:durableId="1194928330">
    <w:abstractNumId w:val="37"/>
  </w:num>
  <w:num w:numId="40" w16cid:durableId="2021469738">
    <w:abstractNumId w:val="17"/>
  </w:num>
  <w:num w:numId="41" w16cid:durableId="68699432">
    <w:abstractNumId w:val="15"/>
  </w:num>
  <w:num w:numId="42" w16cid:durableId="6952786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110"/>
    <w:rsid w:val="0001483A"/>
    <w:rsid w:val="0002447C"/>
    <w:rsid w:val="000267FF"/>
    <w:rsid w:val="00047DEF"/>
    <w:rsid w:val="00050EC3"/>
    <w:rsid w:val="0005115A"/>
    <w:rsid w:val="00054354"/>
    <w:rsid w:val="0008176A"/>
    <w:rsid w:val="0008452F"/>
    <w:rsid w:val="00085C33"/>
    <w:rsid w:val="00090E90"/>
    <w:rsid w:val="00091251"/>
    <w:rsid w:val="0009345E"/>
    <w:rsid w:val="00094BAA"/>
    <w:rsid w:val="000A6590"/>
    <w:rsid w:val="000B197F"/>
    <w:rsid w:val="000B2902"/>
    <w:rsid w:val="000D7891"/>
    <w:rsid w:val="000E58BE"/>
    <w:rsid w:val="000F0BC3"/>
    <w:rsid w:val="0011059F"/>
    <w:rsid w:val="00116A3F"/>
    <w:rsid w:val="00116EDA"/>
    <w:rsid w:val="00120E53"/>
    <w:rsid w:val="0012625B"/>
    <w:rsid w:val="00131773"/>
    <w:rsid w:val="0014241D"/>
    <w:rsid w:val="001452E1"/>
    <w:rsid w:val="00147B75"/>
    <w:rsid w:val="001555F8"/>
    <w:rsid w:val="00160BFC"/>
    <w:rsid w:val="00177362"/>
    <w:rsid w:val="00193194"/>
    <w:rsid w:val="001978D9"/>
    <w:rsid w:val="001A6404"/>
    <w:rsid w:val="001B0377"/>
    <w:rsid w:val="001B77B0"/>
    <w:rsid w:val="001C0A45"/>
    <w:rsid w:val="001C1D7B"/>
    <w:rsid w:val="001E5355"/>
    <w:rsid w:val="001E5A8A"/>
    <w:rsid w:val="001F2BC1"/>
    <w:rsid w:val="002059CE"/>
    <w:rsid w:val="00205B0B"/>
    <w:rsid w:val="0022570B"/>
    <w:rsid w:val="00234B55"/>
    <w:rsid w:val="00261286"/>
    <w:rsid w:val="002A5731"/>
    <w:rsid w:val="002B1834"/>
    <w:rsid w:val="002B7614"/>
    <w:rsid w:val="002D39E9"/>
    <w:rsid w:val="002E31B3"/>
    <w:rsid w:val="002E4D58"/>
    <w:rsid w:val="002F62CE"/>
    <w:rsid w:val="00301BD8"/>
    <w:rsid w:val="0031037F"/>
    <w:rsid w:val="00313737"/>
    <w:rsid w:val="00320095"/>
    <w:rsid w:val="00321813"/>
    <w:rsid w:val="00334FAC"/>
    <w:rsid w:val="00380146"/>
    <w:rsid w:val="003815B6"/>
    <w:rsid w:val="00393501"/>
    <w:rsid w:val="003955BD"/>
    <w:rsid w:val="0039687F"/>
    <w:rsid w:val="003B4511"/>
    <w:rsid w:val="003C1BCD"/>
    <w:rsid w:val="003F4967"/>
    <w:rsid w:val="003F6D85"/>
    <w:rsid w:val="0040040C"/>
    <w:rsid w:val="00401D2A"/>
    <w:rsid w:val="00410D83"/>
    <w:rsid w:val="004155BC"/>
    <w:rsid w:val="0041618A"/>
    <w:rsid w:val="00435672"/>
    <w:rsid w:val="00437D18"/>
    <w:rsid w:val="00444AD2"/>
    <w:rsid w:val="0044667C"/>
    <w:rsid w:val="00447441"/>
    <w:rsid w:val="004506FE"/>
    <w:rsid w:val="0046303B"/>
    <w:rsid w:val="004651F8"/>
    <w:rsid w:val="00467D7E"/>
    <w:rsid w:val="00482DB5"/>
    <w:rsid w:val="0048512B"/>
    <w:rsid w:val="00492886"/>
    <w:rsid w:val="004A4965"/>
    <w:rsid w:val="004A56D6"/>
    <w:rsid w:val="004B10FD"/>
    <w:rsid w:val="004B74B4"/>
    <w:rsid w:val="004C2DDC"/>
    <w:rsid w:val="004C476B"/>
    <w:rsid w:val="004C5187"/>
    <w:rsid w:val="004D1297"/>
    <w:rsid w:val="004D217D"/>
    <w:rsid w:val="004D5CAC"/>
    <w:rsid w:val="004D6DBE"/>
    <w:rsid w:val="004E185D"/>
    <w:rsid w:val="004F706C"/>
    <w:rsid w:val="00505124"/>
    <w:rsid w:val="00505636"/>
    <w:rsid w:val="005441FD"/>
    <w:rsid w:val="00550490"/>
    <w:rsid w:val="005528BA"/>
    <w:rsid w:val="0055442F"/>
    <w:rsid w:val="0055507D"/>
    <w:rsid w:val="00555ABB"/>
    <w:rsid w:val="00567E71"/>
    <w:rsid w:val="00576AED"/>
    <w:rsid w:val="00577A6C"/>
    <w:rsid w:val="00582528"/>
    <w:rsid w:val="005864A8"/>
    <w:rsid w:val="00586D1E"/>
    <w:rsid w:val="00590DD0"/>
    <w:rsid w:val="00594D00"/>
    <w:rsid w:val="005A16A3"/>
    <w:rsid w:val="005A3624"/>
    <w:rsid w:val="005A509F"/>
    <w:rsid w:val="005C175C"/>
    <w:rsid w:val="005C54E9"/>
    <w:rsid w:val="005D18A7"/>
    <w:rsid w:val="005D523C"/>
    <w:rsid w:val="005E16C0"/>
    <w:rsid w:val="006102E2"/>
    <w:rsid w:val="00617049"/>
    <w:rsid w:val="00621046"/>
    <w:rsid w:val="006607EA"/>
    <w:rsid w:val="00662CE5"/>
    <w:rsid w:val="006675BE"/>
    <w:rsid w:val="00672410"/>
    <w:rsid w:val="00681596"/>
    <w:rsid w:val="00691E94"/>
    <w:rsid w:val="00694521"/>
    <w:rsid w:val="006958A4"/>
    <w:rsid w:val="006A2D29"/>
    <w:rsid w:val="006E0F1A"/>
    <w:rsid w:val="006E329C"/>
    <w:rsid w:val="006F3A19"/>
    <w:rsid w:val="006F4327"/>
    <w:rsid w:val="00701707"/>
    <w:rsid w:val="007219D2"/>
    <w:rsid w:val="00732ED3"/>
    <w:rsid w:val="00752169"/>
    <w:rsid w:val="007620AF"/>
    <w:rsid w:val="00762C44"/>
    <w:rsid w:val="00766DCF"/>
    <w:rsid w:val="007674CB"/>
    <w:rsid w:val="007722AA"/>
    <w:rsid w:val="00773391"/>
    <w:rsid w:val="0077484B"/>
    <w:rsid w:val="007773EC"/>
    <w:rsid w:val="00787656"/>
    <w:rsid w:val="007A4D5B"/>
    <w:rsid w:val="007D6FE1"/>
    <w:rsid w:val="007E176B"/>
    <w:rsid w:val="007E5839"/>
    <w:rsid w:val="00800264"/>
    <w:rsid w:val="008115B8"/>
    <w:rsid w:val="00816DEF"/>
    <w:rsid w:val="00823422"/>
    <w:rsid w:val="00825CED"/>
    <w:rsid w:val="00831E9C"/>
    <w:rsid w:val="008373E8"/>
    <w:rsid w:val="008373FE"/>
    <w:rsid w:val="00844578"/>
    <w:rsid w:val="00862CED"/>
    <w:rsid w:val="0087243D"/>
    <w:rsid w:val="00875357"/>
    <w:rsid w:val="0088765A"/>
    <w:rsid w:val="00892307"/>
    <w:rsid w:val="0089396D"/>
    <w:rsid w:val="008D0129"/>
    <w:rsid w:val="008D22C4"/>
    <w:rsid w:val="008D3CE3"/>
    <w:rsid w:val="008E18E5"/>
    <w:rsid w:val="008E2293"/>
    <w:rsid w:val="008F646A"/>
    <w:rsid w:val="008F6EDF"/>
    <w:rsid w:val="00903003"/>
    <w:rsid w:val="00921E07"/>
    <w:rsid w:val="00923CB9"/>
    <w:rsid w:val="00927A0A"/>
    <w:rsid w:val="00933DD9"/>
    <w:rsid w:val="00934A8E"/>
    <w:rsid w:val="00943667"/>
    <w:rsid w:val="00987D01"/>
    <w:rsid w:val="009A4F1F"/>
    <w:rsid w:val="009A64DB"/>
    <w:rsid w:val="009B2681"/>
    <w:rsid w:val="009B6C25"/>
    <w:rsid w:val="009D678F"/>
    <w:rsid w:val="00A006F1"/>
    <w:rsid w:val="00A12607"/>
    <w:rsid w:val="00A26E85"/>
    <w:rsid w:val="00A27667"/>
    <w:rsid w:val="00A36DF4"/>
    <w:rsid w:val="00A37E6A"/>
    <w:rsid w:val="00A40096"/>
    <w:rsid w:val="00A42BED"/>
    <w:rsid w:val="00A52721"/>
    <w:rsid w:val="00A60CA0"/>
    <w:rsid w:val="00A750B3"/>
    <w:rsid w:val="00A76BF9"/>
    <w:rsid w:val="00A82C61"/>
    <w:rsid w:val="00A82E5E"/>
    <w:rsid w:val="00A83393"/>
    <w:rsid w:val="00A83FE5"/>
    <w:rsid w:val="00A87E67"/>
    <w:rsid w:val="00A963B4"/>
    <w:rsid w:val="00AA5633"/>
    <w:rsid w:val="00AB151E"/>
    <w:rsid w:val="00AB1B5A"/>
    <w:rsid w:val="00AB27DD"/>
    <w:rsid w:val="00AB440E"/>
    <w:rsid w:val="00AD2B19"/>
    <w:rsid w:val="00AE0CE7"/>
    <w:rsid w:val="00AE12E9"/>
    <w:rsid w:val="00AE3EBF"/>
    <w:rsid w:val="00AE4531"/>
    <w:rsid w:val="00AF20CE"/>
    <w:rsid w:val="00AF5914"/>
    <w:rsid w:val="00AF5AF4"/>
    <w:rsid w:val="00B047ED"/>
    <w:rsid w:val="00B10FE4"/>
    <w:rsid w:val="00B110FD"/>
    <w:rsid w:val="00B23E41"/>
    <w:rsid w:val="00B33F52"/>
    <w:rsid w:val="00B45954"/>
    <w:rsid w:val="00B50258"/>
    <w:rsid w:val="00B57075"/>
    <w:rsid w:val="00B608C5"/>
    <w:rsid w:val="00B61E38"/>
    <w:rsid w:val="00B66C20"/>
    <w:rsid w:val="00B6760D"/>
    <w:rsid w:val="00B714BB"/>
    <w:rsid w:val="00B726EC"/>
    <w:rsid w:val="00B72DBE"/>
    <w:rsid w:val="00B75611"/>
    <w:rsid w:val="00B92E0F"/>
    <w:rsid w:val="00BB32E5"/>
    <w:rsid w:val="00BB7E29"/>
    <w:rsid w:val="00BE0A7E"/>
    <w:rsid w:val="00BE17B6"/>
    <w:rsid w:val="00BE5069"/>
    <w:rsid w:val="00C25D97"/>
    <w:rsid w:val="00C33668"/>
    <w:rsid w:val="00C352F5"/>
    <w:rsid w:val="00C401ED"/>
    <w:rsid w:val="00C419F2"/>
    <w:rsid w:val="00C65CDC"/>
    <w:rsid w:val="00C71322"/>
    <w:rsid w:val="00C8557F"/>
    <w:rsid w:val="00C97036"/>
    <w:rsid w:val="00C971AC"/>
    <w:rsid w:val="00CA0069"/>
    <w:rsid w:val="00CB0244"/>
    <w:rsid w:val="00CB2D50"/>
    <w:rsid w:val="00CB5400"/>
    <w:rsid w:val="00CE0440"/>
    <w:rsid w:val="00CE094A"/>
    <w:rsid w:val="00CE5348"/>
    <w:rsid w:val="00CF58F1"/>
    <w:rsid w:val="00D027CA"/>
    <w:rsid w:val="00D1638C"/>
    <w:rsid w:val="00D2436A"/>
    <w:rsid w:val="00D268D8"/>
    <w:rsid w:val="00D26BB4"/>
    <w:rsid w:val="00D31666"/>
    <w:rsid w:val="00D33208"/>
    <w:rsid w:val="00D37B81"/>
    <w:rsid w:val="00D45F7C"/>
    <w:rsid w:val="00D46C22"/>
    <w:rsid w:val="00D834DA"/>
    <w:rsid w:val="00D8752E"/>
    <w:rsid w:val="00D96488"/>
    <w:rsid w:val="00DA09D6"/>
    <w:rsid w:val="00DA3FA8"/>
    <w:rsid w:val="00DB20C0"/>
    <w:rsid w:val="00DC027B"/>
    <w:rsid w:val="00DC62D9"/>
    <w:rsid w:val="00DC7FA9"/>
    <w:rsid w:val="00DD0026"/>
    <w:rsid w:val="00DF3AFD"/>
    <w:rsid w:val="00E24EFF"/>
    <w:rsid w:val="00E31917"/>
    <w:rsid w:val="00E34259"/>
    <w:rsid w:val="00E40B29"/>
    <w:rsid w:val="00E42896"/>
    <w:rsid w:val="00E512A9"/>
    <w:rsid w:val="00E54AE2"/>
    <w:rsid w:val="00E56EE4"/>
    <w:rsid w:val="00E6213A"/>
    <w:rsid w:val="00E86F05"/>
    <w:rsid w:val="00E907EC"/>
    <w:rsid w:val="00EA5A5B"/>
    <w:rsid w:val="00EA7FE3"/>
    <w:rsid w:val="00EB4F17"/>
    <w:rsid w:val="00EE02C1"/>
    <w:rsid w:val="00EE4DC7"/>
    <w:rsid w:val="00EF1118"/>
    <w:rsid w:val="00EF607C"/>
    <w:rsid w:val="00F052F8"/>
    <w:rsid w:val="00F06CD2"/>
    <w:rsid w:val="00F27A6F"/>
    <w:rsid w:val="00F36F27"/>
    <w:rsid w:val="00F410EB"/>
    <w:rsid w:val="00F432C4"/>
    <w:rsid w:val="00F4741F"/>
    <w:rsid w:val="00F623C4"/>
    <w:rsid w:val="00F709C6"/>
    <w:rsid w:val="00F716FC"/>
    <w:rsid w:val="00F749D0"/>
    <w:rsid w:val="00F83182"/>
    <w:rsid w:val="00F83C3F"/>
    <w:rsid w:val="00F86191"/>
    <w:rsid w:val="00F930FE"/>
    <w:rsid w:val="00F94BA0"/>
    <w:rsid w:val="00FA0DB3"/>
    <w:rsid w:val="00FC1D86"/>
    <w:rsid w:val="00FD2C97"/>
    <w:rsid w:val="00FE5B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46FCF"/>
  <w15:chartTrackingRefBased/>
  <w15:docId w15:val="{B1D35630-9B54-45C3-8E08-E62554D3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5D97"/>
    <w:pPr>
      <w:keepNext/>
      <w:tabs>
        <w:tab w:val="num" w:pos="36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C25D97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83F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3F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3F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3FE5"/>
    <w:rPr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C3366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55A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FB8C7-D89F-49CE-8714-E9A1CC71F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B9533-4DCD-4343-A9CC-D79B3495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17E5A-1C9B-47D2-A517-3CC2C8C0A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14:35:00</dc:description>
  <cp:lastModifiedBy>Warren, Nicola</cp:lastModifiedBy>
  <cp:revision>5</cp:revision>
  <cp:lastPrinted>2018-04-03T12:09:00Z</cp:lastPrinted>
  <dcterms:created xsi:type="dcterms:W3CDTF">2024-06-28T15:52:00Z</dcterms:created>
  <dcterms:modified xsi:type="dcterms:W3CDTF">2024-07-25T08:36:00Z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2022-04-04T13:50:56Z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1a0d7cdd-86f5-4c75-b0da-82c27d4abcd1</vt:lpwstr>
  </property>
  <property fmtid="{D5CDD505-2E9C-101B-9397-08002B2CF9AE}" pid="15" name="MSIP_Label_f2acd28b-79a3-4a0f-b0ff-4b75658b1549_ContentBits">
    <vt:lpwstr>0</vt:lpwstr>
  </property>
</Properties>
</file>