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766F" w14:textId="77777777" w:rsidR="00E97B36" w:rsidRDefault="00E97B36" w:rsidP="00E768E7">
      <w:pPr>
        <w:rPr>
          <w:rFonts w:ascii="Arial" w:hAnsi="Arial" w:cs="Arial"/>
          <w:b/>
          <w:sz w:val="24"/>
          <w:szCs w:val="24"/>
        </w:rPr>
      </w:pPr>
    </w:p>
    <w:p w14:paraId="177063E7" w14:textId="5EAF9F8B" w:rsidR="00E768E7" w:rsidRPr="009D34F1" w:rsidRDefault="00E768E7" w:rsidP="00E768E7">
      <w:pPr>
        <w:rPr>
          <w:rFonts w:ascii="Arial" w:hAnsi="Arial" w:cs="Arial"/>
          <w:b/>
          <w:sz w:val="24"/>
          <w:szCs w:val="24"/>
        </w:rPr>
      </w:pPr>
      <w:r w:rsidRPr="009D34F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22D916" wp14:editId="5285CF42">
            <wp:simplePos x="0" y="0"/>
            <wp:positionH relativeFrom="column">
              <wp:posOffset>1893570</wp:posOffset>
            </wp:positionH>
            <wp:positionV relativeFrom="paragraph">
              <wp:posOffset>-620939</wp:posOffset>
            </wp:positionV>
            <wp:extent cx="1924050" cy="783590"/>
            <wp:effectExtent l="0" t="0" r="0" b="0"/>
            <wp:wrapTight wrapText="bothSides">
              <wp:wrapPolygon edited="0">
                <wp:start x="0" y="0"/>
                <wp:lineTo x="0" y="21005"/>
                <wp:lineTo x="21386" y="21005"/>
                <wp:lineTo x="21386" y="0"/>
                <wp:lineTo x="0" y="0"/>
              </wp:wrapPolygon>
            </wp:wrapTight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B8CEC" w14:textId="77777777" w:rsidR="00696B07" w:rsidRPr="009D34F1" w:rsidRDefault="00696B07" w:rsidP="006D17BB">
      <w:pPr>
        <w:jc w:val="center"/>
        <w:rPr>
          <w:rFonts w:ascii="Arial" w:hAnsi="Arial" w:cs="Arial"/>
          <w:b/>
          <w:sz w:val="24"/>
          <w:szCs w:val="24"/>
        </w:rPr>
      </w:pPr>
    </w:p>
    <w:p w14:paraId="1C6F1586" w14:textId="1F201C54" w:rsidR="006D17BB" w:rsidRPr="009D34F1" w:rsidRDefault="000C6614" w:rsidP="006D17BB">
      <w:pPr>
        <w:jc w:val="center"/>
        <w:rPr>
          <w:rFonts w:ascii="Arial" w:hAnsi="Arial" w:cs="Arial"/>
          <w:b/>
          <w:sz w:val="24"/>
          <w:szCs w:val="24"/>
        </w:rPr>
      </w:pPr>
      <w:r w:rsidRPr="009D34F1">
        <w:rPr>
          <w:rFonts w:ascii="Arial" w:hAnsi="Arial" w:cs="Arial"/>
          <w:b/>
          <w:sz w:val="24"/>
          <w:szCs w:val="24"/>
        </w:rPr>
        <w:t xml:space="preserve">Office of the Police and Crime Commissioner </w:t>
      </w:r>
      <w:r w:rsidR="008E5FFC" w:rsidRPr="009D34F1">
        <w:rPr>
          <w:rFonts w:ascii="Arial" w:hAnsi="Arial" w:cs="Arial"/>
          <w:b/>
          <w:sz w:val="24"/>
          <w:szCs w:val="24"/>
        </w:rPr>
        <w:t>for Gwent</w:t>
      </w:r>
    </w:p>
    <w:p w14:paraId="2ACD4015" w14:textId="23CFC54B" w:rsidR="00696B07" w:rsidRPr="009D34F1" w:rsidRDefault="00DA0F4A" w:rsidP="00C620FD">
      <w:pPr>
        <w:jc w:val="center"/>
        <w:rPr>
          <w:rFonts w:ascii="Arial" w:hAnsi="Arial" w:cs="Arial"/>
          <w:b/>
          <w:sz w:val="24"/>
          <w:szCs w:val="24"/>
        </w:rPr>
      </w:pPr>
      <w:r w:rsidRPr="009D34F1">
        <w:rPr>
          <w:rFonts w:ascii="Arial" w:hAnsi="Arial" w:cs="Arial"/>
          <w:b/>
          <w:sz w:val="24"/>
          <w:szCs w:val="24"/>
        </w:rPr>
        <w:t>ASB Case</w:t>
      </w:r>
      <w:r w:rsidR="00E768E7" w:rsidRPr="009D34F1">
        <w:rPr>
          <w:rFonts w:ascii="Arial" w:hAnsi="Arial" w:cs="Arial"/>
          <w:b/>
          <w:sz w:val="24"/>
          <w:szCs w:val="24"/>
        </w:rPr>
        <w:t xml:space="preserve"> </w:t>
      </w:r>
      <w:r w:rsidR="000C6614" w:rsidRPr="009D34F1">
        <w:rPr>
          <w:rFonts w:ascii="Arial" w:hAnsi="Arial" w:cs="Arial"/>
          <w:b/>
          <w:sz w:val="24"/>
          <w:szCs w:val="24"/>
        </w:rPr>
        <w:t>Review</w:t>
      </w:r>
      <w:r w:rsidRPr="009D34F1">
        <w:rPr>
          <w:rFonts w:ascii="Arial" w:hAnsi="Arial" w:cs="Arial"/>
          <w:b/>
          <w:sz w:val="24"/>
          <w:szCs w:val="24"/>
        </w:rPr>
        <w:t xml:space="preserve"> </w:t>
      </w:r>
      <w:r w:rsidR="006D17BB" w:rsidRPr="009D34F1">
        <w:rPr>
          <w:rFonts w:ascii="Arial" w:hAnsi="Arial" w:cs="Arial"/>
          <w:b/>
          <w:sz w:val="24"/>
          <w:szCs w:val="24"/>
        </w:rPr>
        <w:t>– OPCC Review</w:t>
      </w:r>
      <w:r w:rsidR="000C6614" w:rsidRPr="009D34F1">
        <w:rPr>
          <w:rFonts w:ascii="Arial" w:hAnsi="Arial" w:cs="Arial"/>
          <w:b/>
          <w:sz w:val="24"/>
          <w:szCs w:val="24"/>
        </w:rPr>
        <w:t xml:space="preserve"> Process</w:t>
      </w:r>
    </w:p>
    <w:p w14:paraId="6837160B" w14:textId="77777777" w:rsidR="00865509" w:rsidRPr="009D34F1" w:rsidRDefault="00865509" w:rsidP="00865509">
      <w:pPr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 xml:space="preserve">The Anti-social Behaviour, Crime and Policing Act 2014 places additional responsibilities on agencies and introduces measures which are designed to give victims and communities a say in the way anti-social behaviour (ASB) is dealt with. </w:t>
      </w:r>
    </w:p>
    <w:p w14:paraId="5AEFCA2C" w14:textId="54F25721" w:rsidR="00865509" w:rsidRPr="009D34F1" w:rsidRDefault="00865509" w:rsidP="00865509">
      <w:pPr>
        <w:pStyle w:val="NormalWeb"/>
        <w:shd w:val="clear" w:color="auto" w:fill="FFFFFF"/>
        <w:spacing w:before="0" w:beforeAutospacing="0" w:after="200" w:afterAutospacing="0" w:line="276" w:lineRule="auto"/>
        <w:rPr>
          <w:rFonts w:ascii="Arial" w:hAnsi="Arial" w:cs="Arial"/>
          <w:color w:val="222222"/>
        </w:rPr>
      </w:pPr>
      <w:r w:rsidRPr="009D34F1">
        <w:rPr>
          <w:rStyle w:val="normaltextrun"/>
          <w:rFonts w:ascii="Arial" w:hAnsi="Arial" w:cs="Arial"/>
          <w:color w:val="222222"/>
        </w:rPr>
        <w:t xml:space="preserve">The </w:t>
      </w:r>
      <w:r w:rsidR="009D34F1" w:rsidRPr="009D34F1">
        <w:rPr>
          <w:rStyle w:val="normaltextrun"/>
          <w:rFonts w:ascii="Arial" w:hAnsi="Arial" w:cs="Arial"/>
          <w:color w:val="222222"/>
        </w:rPr>
        <w:t>Antisocial Behaviour Case Review</w:t>
      </w:r>
      <w:r w:rsidRPr="009D34F1">
        <w:rPr>
          <w:rStyle w:val="normaltextrun"/>
          <w:rFonts w:ascii="Arial" w:hAnsi="Arial" w:cs="Arial"/>
          <w:color w:val="222222"/>
        </w:rPr>
        <w:t>, previously known as the Community Trigger, gives victims of antisocial behaviour the right to request action starting with a review of their case, where a defined threshold is reached. The aim of </w:t>
      </w:r>
      <w:r w:rsidR="009D34F1" w:rsidRPr="009D34F1">
        <w:rPr>
          <w:rStyle w:val="normaltextrun"/>
          <w:rFonts w:ascii="Arial" w:hAnsi="Arial" w:cs="Arial"/>
          <w:color w:val="222222"/>
        </w:rPr>
        <w:t xml:space="preserve">Antisocial Behaviour Case Review </w:t>
      </w:r>
      <w:r w:rsidRPr="009D34F1">
        <w:rPr>
          <w:rStyle w:val="normaltextrun"/>
          <w:rFonts w:ascii="Arial" w:hAnsi="Arial" w:cs="Arial"/>
          <w:color w:val="222222"/>
        </w:rPr>
        <w:t>is to try to find a resolution</w:t>
      </w:r>
      <w:r w:rsidR="005F52FB" w:rsidRPr="009D34F1">
        <w:rPr>
          <w:rStyle w:val="normaltextrun"/>
          <w:rFonts w:ascii="Arial" w:hAnsi="Arial" w:cs="Arial"/>
          <w:color w:val="222222"/>
        </w:rPr>
        <w:t xml:space="preserve"> for victims and communities</w:t>
      </w:r>
      <w:r w:rsidRPr="009D34F1">
        <w:rPr>
          <w:rStyle w:val="normaltextrun"/>
          <w:rFonts w:ascii="Arial" w:hAnsi="Arial" w:cs="Arial"/>
          <w:color w:val="222222"/>
        </w:rPr>
        <w:t>.</w:t>
      </w:r>
      <w:r w:rsidRPr="009D34F1">
        <w:rPr>
          <w:rFonts w:ascii="Arial" w:hAnsi="Arial" w:cs="Arial"/>
          <w:color w:val="222222"/>
        </w:rPr>
        <w:t> </w:t>
      </w:r>
    </w:p>
    <w:p w14:paraId="72671D87" w14:textId="778A112E" w:rsidR="000C6614" w:rsidRPr="009D34F1" w:rsidRDefault="006D17BB" w:rsidP="006D17BB">
      <w:pPr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 xml:space="preserve">Full details of the </w:t>
      </w:r>
      <w:r w:rsidR="009D34F1" w:rsidRPr="009D34F1">
        <w:rPr>
          <w:rStyle w:val="normaltextrun"/>
          <w:rFonts w:ascii="Arial" w:hAnsi="Arial" w:cs="Arial"/>
          <w:color w:val="222222"/>
          <w:sz w:val="24"/>
          <w:szCs w:val="24"/>
        </w:rPr>
        <w:t>Antisocial Behaviour Case Review</w:t>
      </w:r>
      <w:r w:rsidR="009D34F1" w:rsidRPr="009D34F1">
        <w:rPr>
          <w:rFonts w:ascii="Arial" w:hAnsi="Arial" w:cs="Arial"/>
          <w:sz w:val="24"/>
          <w:szCs w:val="24"/>
        </w:rPr>
        <w:t xml:space="preserve"> </w:t>
      </w:r>
      <w:r w:rsidRPr="009D34F1">
        <w:rPr>
          <w:rFonts w:ascii="Arial" w:hAnsi="Arial" w:cs="Arial"/>
          <w:sz w:val="24"/>
          <w:szCs w:val="24"/>
        </w:rPr>
        <w:t xml:space="preserve">are available in the </w:t>
      </w:r>
      <w:r w:rsidRPr="009D34F1">
        <w:rPr>
          <w:rFonts w:ascii="Arial" w:hAnsi="Arial" w:cs="Arial"/>
          <w:b/>
          <w:bCs/>
          <w:sz w:val="24"/>
          <w:szCs w:val="24"/>
        </w:rPr>
        <w:t>national guidance</w:t>
      </w:r>
      <w:r w:rsidR="009D34F1" w:rsidRPr="009D34F1">
        <w:rPr>
          <w:rFonts w:ascii="Arial" w:hAnsi="Arial" w:cs="Arial"/>
          <w:sz w:val="24"/>
          <w:szCs w:val="24"/>
        </w:rPr>
        <w:t>.</w:t>
      </w:r>
      <w:r w:rsidRPr="009D34F1">
        <w:rPr>
          <w:rFonts w:ascii="Arial" w:hAnsi="Arial" w:cs="Arial"/>
          <w:sz w:val="24"/>
          <w:szCs w:val="24"/>
        </w:rPr>
        <w:t xml:space="preserve"> </w:t>
      </w:r>
      <w:hyperlink w:history="1">
        <w:r w:rsidR="009D34F1" w:rsidRPr="009D34F1">
          <w:rPr>
            <w:rStyle w:val="Hyperlink"/>
            <w:rFonts w:ascii="Arial" w:hAnsi="Arial" w:cs="Arial"/>
            <w:sz w:val="24"/>
            <w:szCs w:val="24"/>
          </w:rPr>
          <w:t>Anti-social behaviour case review - GOV.UK (www.gov.uk)</w:t>
        </w:r>
      </w:hyperlink>
      <w:r w:rsidRPr="009D34F1">
        <w:rPr>
          <w:rFonts w:ascii="Arial" w:hAnsi="Arial" w:cs="Arial"/>
          <w:sz w:val="24"/>
          <w:szCs w:val="24"/>
        </w:rPr>
        <w:t>.</w:t>
      </w:r>
    </w:p>
    <w:p w14:paraId="5F5980AD" w14:textId="432B6E5A" w:rsidR="006D17BB" w:rsidRPr="009D34F1" w:rsidRDefault="006D17BB" w:rsidP="006D17BB">
      <w:p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9D34F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The local Community Safety Partnership sets the threshold and process for the </w:t>
      </w:r>
      <w:r w:rsidR="009D34F1" w:rsidRPr="009D34F1">
        <w:rPr>
          <w:rStyle w:val="normaltextrun"/>
          <w:rFonts w:ascii="Arial" w:hAnsi="Arial" w:cs="Arial"/>
          <w:color w:val="222222"/>
          <w:sz w:val="24"/>
          <w:szCs w:val="24"/>
        </w:rPr>
        <w:t>Antisocial Behaviour Case Review</w:t>
      </w:r>
      <w:r w:rsidR="009D34F1" w:rsidRPr="009D34F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Pr="009D34F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to be used</w:t>
      </w:r>
      <w:r w:rsidR="005F52FB" w:rsidRPr="009D34F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locally</w:t>
      </w:r>
      <w:r w:rsidRPr="009D34F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, in line with the above national guidance.</w:t>
      </w:r>
      <w:r w:rsidR="005F52FB" w:rsidRPr="009D34F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Details of these are available </w:t>
      </w:r>
      <w:r w:rsidR="009D34F1" w:rsidRPr="009D34F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on each local authority website:</w:t>
      </w:r>
    </w:p>
    <w:p w14:paraId="07AA6410" w14:textId="77777777" w:rsidR="006D17BB" w:rsidRPr="009D34F1" w:rsidRDefault="00894FCB" w:rsidP="006D17BB">
      <w:pPr>
        <w:shd w:val="clear" w:color="auto" w:fill="FFFFFF"/>
        <w:rPr>
          <w:rFonts w:ascii="Arial" w:eastAsia="Times New Roman" w:hAnsi="Arial" w:cs="Arial"/>
          <w:color w:val="0070C0"/>
          <w:sz w:val="24"/>
          <w:szCs w:val="24"/>
          <w:lang w:eastAsia="en-GB"/>
        </w:rPr>
      </w:pPr>
      <w:hyperlink r:id="rId8" w:tgtFrame="_blank" w:history="1">
        <w:r w:rsidR="006D17BB" w:rsidRPr="009D34F1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en-GB"/>
          </w:rPr>
          <w:t>Blaenau Gwent</w:t>
        </w:r>
      </w:hyperlink>
    </w:p>
    <w:p w14:paraId="2ECD6CEA" w14:textId="77777777" w:rsidR="006D17BB" w:rsidRPr="009D34F1" w:rsidRDefault="006D17BB" w:rsidP="006D17BB">
      <w:pPr>
        <w:shd w:val="clear" w:color="auto" w:fill="FFFFFF"/>
        <w:rPr>
          <w:rStyle w:val="Hyperlink"/>
          <w:rFonts w:ascii="Arial" w:eastAsia="Times New Roman" w:hAnsi="Arial" w:cs="Arial"/>
          <w:color w:val="0070C0"/>
          <w:sz w:val="24"/>
          <w:szCs w:val="24"/>
          <w:lang w:eastAsia="en-GB"/>
        </w:rPr>
      </w:pPr>
      <w:r w:rsidRPr="009D34F1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en-GB"/>
        </w:rPr>
        <w:fldChar w:fldCharType="begin"/>
      </w:r>
      <w:r w:rsidRPr="009D34F1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en-GB"/>
        </w:rPr>
        <w:instrText>HYPERLINK "https://www.caerphilly.gov.uk/services/emergencies-and-crime-prevention/community-safety/community-trigger" \t "_blank"</w:instrText>
      </w:r>
      <w:r w:rsidRPr="009D34F1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en-GB"/>
        </w:rPr>
      </w:r>
      <w:r w:rsidRPr="009D34F1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en-GB"/>
        </w:rPr>
        <w:fldChar w:fldCharType="separate"/>
      </w:r>
      <w:r w:rsidRPr="009D34F1">
        <w:rPr>
          <w:rStyle w:val="Hyperlink"/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Caerphilly</w:t>
      </w:r>
    </w:p>
    <w:p w14:paraId="19D82234" w14:textId="77777777" w:rsidR="006D17BB" w:rsidRPr="009D34F1" w:rsidRDefault="006D17BB" w:rsidP="006D17BB">
      <w:pPr>
        <w:shd w:val="clear" w:color="auto" w:fill="FFFFFF"/>
        <w:rPr>
          <w:rFonts w:ascii="Arial" w:eastAsia="Times New Roman" w:hAnsi="Arial" w:cs="Arial"/>
          <w:color w:val="0070C0"/>
          <w:sz w:val="24"/>
          <w:szCs w:val="24"/>
          <w:lang w:eastAsia="en-GB"/>
        </w:rPr>
      </w:pPr>
      <w:r w:rsidRPr="009D34F1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en-GB"/>
        </w:rPr>
        <w:fldChar w:fldCharType="end"/>
      </w:r>
      <w:hyperlink r:id="rId9" w:tgtFrame="_blank" w:history="1">
        <w:r w:rsidRPr="009D34F1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en-GB"/>
          </w:rPr>
          <w:t>Monmouthshire</w:t>
        </w:r>
      </w:hyperlink>
    </w:p>
    <w:p w14:paraId="13A4EC86" w14:textId="77777777" w:rsidR="006D17BB" w:rsidRPr="009D34F1" w:rsidRDefault="00894FCB" w:rsidP="006D17BB">
      <w:pPr>
        <w:shd w:val="clear" w:color="auto" w:fill="FFFFFF"/>
        <w:rPr>
          <w:rFonts w:ascii="Arial" w:eastAsia="Times New Roman" w:hAnsi="Arial" w:cs="Arial"/>
          <w:color w:val="0070C0"/>
          <w:sz w:val="24"/>
          <w:szCs w:val="24"/>
          <w:lang w:eastAsia="en-GB"/>
        </w:rPr>
      </w:pPr>
      <w:hyperlink r:id="rId10" w:tgtFrame="_blank" w:tooltip="http://www.newport.gov.uk/documents/Transport-and-Streets/Anti-social-Behaviour-Community-Trigger.pdf" w:history="1">
        <w:r w:rsidR="006D17BB" w:rsidRPr="009D34F1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en-GB"/>
          </w:rPr>
          <w:t>Newport</w:t>
        </w:r>
      </w:hyperlink>
    </w:p>
    <w:p w14:paraId="39129D08" w14:textId="77777777" w:rsidR="006D17BB" w:rsidRPr="009D34F1" w:rsidRDefault="00894FCB" w:rsidP="006D17BB">
      <w:pPr>
        <w:shd w:val="clear" w:color="auto" w:fill="FFFFFF"/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eastAsia="en-GB"/>
        </w:rPr>
      </w:pPr>
      <w:hyperlink r:id="rId11" w:tgtFrame="_blank" w:history="1">
        <w:r w:rsidR="006D17BB" w:rsidRPr="009D34F1">
          <w:rPr>
            <w:rFonts w:ascii="Arial" w:eastAsia="Times New Roman" w:hAnsi="Arial" w:cs="Arial"/>
            <w:b/>
            <w:bCs/>
            <w:color w:val="0070C0"/>
            <w:sz w:val="24"/>
            <w:szCs w:val="24"/>
            <w:u w:val="single"/>
            <w:lang w:eastAsia="en-GB"/>
          </w:rPr>
          <w:t>Torfaen</w:t>
        </w:r>
      </w:hyperlink>
    </w:p>
    <w:p w14:paraId="5E8CEC7E" w14:textId="60E7F796" w:rsidR="006D17BB" w:rsidRPr="009D34F1" w:rsidRDefault="00865509" w:rsidP="006D17BB">
      <w:pPr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 xml:space="preserve">The </w:t>
      </w:r>
      <w:r w:rsidR="009D34F1" w:rsidRPr="009D34F1">
        <w:rPr>
          <w:rStyle w:val="normaltextrun"/>
          <w:rFonts w:ascii="Arial" w:hAnsi="Arial" w:cs="Arial"/>
          <w:color w:val="222222"/>
          <w:sz w:val="24"/>
          <w:szCs w:val="24"/>
        </w:rPr>
        <w:t>Antisocial Behaviour Case Review</w:t>
      </w:r>
      <w:r w:rsidR="009D34F1" w:rsidRPr="009D34F1">
        <w:rPr>
          <w:rFonts w:ascii="Arial" w:hAnsi="Arial" w:cs="Arial"/>
          <w:sz w:val="24"/>
          <w:szCs w:val="24"/>
        </w:rPr>
        <w:t xml:space="preserve"> </w:t>
      </w:r>
      <w:r w:rsidR="002060BC" w:rsidRPr="009D34F1">
        <w:rPr>
          <w:rFonts w:ascii="Arial" w:hAnsi="Arial" w:cs="Arial"/>
          <w:sz w:val="24"/>
          <w:szCs w:val="24"/>
        </w:rPr>
        <w:t>national guidance</w:t>
      </w:r>
      <w:r w:rsidRPr="009D34F1">
        <w:rPr>
          <w:rFonts w:ascii="Arial" w:hAnsi="Arial" w:cs="Arial"/>
          <w:sz w:val="24"/>
          <w:szCs w:val="24"/>
        </w:rPr>
        <w:t xml:space="preserve"> provides a route for victims to query the decision on whether the requirements of the Review threshold were met, or the way a Review was carried out. In Gwent, that route is through to the Police and Crime Commissioner, who will direct their </w:t>
      </w:r>
      <w:r w:rsidR="009D34F1" w:rsidRPr="009D34F1">
        <w:rPr>
          <w:rFonts w:ascii="Arial" w:hAnsi="Arial" w:cs="Arial"/>
          <w:sz w:val="24"/>
          <w:szCs w:val="24"/>
        </w:rPr>
        <w:t>o</w:t>
      </w:r>
      <w:r w:rsidRPr="009D34F1">
        <w:rPr>
          <w:rFonts w:ascii="Arial" w:hAnsi="Arial" w:cs="Arial"/>
          <w:sz w:val="24"/>
          <w:szCs w:val="24"/>
        </w:rPr>
        <w:t xml:space="preserve">ffice (OPCC) to carry out a review of the process. </w:t>
      </w:r>
    </w:p>
    <w:p w14:paraId="7AA59E14" w14:textId="01C1D076" w:rsidR="000C6614" w:rsidRPr="009D34F1" w:rsidRDefault="000C6614" w:rsidP="006D17BB">
      <w:pPr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 xml:space="preserve">A </w:t>
      </w:r>
      <w:r w:rsidR="009D34F1" w:rsidRPr="009D34F1">
        <w:rPr>
          <w:rFonts w:ascii="Arial" w:hAnsi="Arial" w:cs="Arial"/>
          <w:sz w:val="24"/>
          <w:szCs w:val="24"/>
        </w:rPr>
        <w:t>case review</w:t>
      </w:r>
      <w:r w:rsidRPr="009D34F1">
        <w:rPr>
          <w:rFonts w:ascii="Arial" w:hAnsi="Arial" w:cs="Arial"/>
          <w:sz w:val="24"/>
          <w:szCs w:val="24"/>
        </w:rPr>
        <w:t xml:space="preserve"> may only be referred to the OPCC where the applicant is dissatisfied with the way the relevant bodies have dealt with the </w:t>
      </w:r>
      <w:r w:rsidR="009D34F1" w:rsidRPr="009D34F1">
        <w:rPr>
          <w:rStyle w:val="normaltextrun"/>
          <w:rFonts w:ascii="Arial" w:hAnsi="Arial" w:cs="Arial"/>
          <w:color w:val="222222"/>
          <w:sz w:val="24"/>
          <w:szCs w:val="24"/>
        </w:rPr>
        <w:t>Antisocial Behaviour Case Review</w:t>
      </w:r>
      <w:r w:rsidRPr="009D34F1">
        <w:rPr>
          <w:rFonts w:ascii="Arial" w:hAnsi="Arial" w:cs="Arial"/>
          <w:sz w:val="24"/>
          <w:szCs w:val="24"/>
        </w:rPr>
        <w:t>.</w:t>
      </w:r>
      <w:r w:rsidR="00865509" w:rsidRPr="009D34F1">
        <w:rPr>
          <w:rFonts w:ascii="Arial" w:hAnsi="Arial" w:cs="Arial"/>
          <w:sz w:val="24"/>
          <w:szCs w:val="24"/>
        </w:rPr>
        <w:t xml:space="preserve"> </w:t>
      </w:r>
      <w:r w:rsidR="009D34F1" w:rsidRPr="009D34F1">
        <w:rPr>
          <w:rFonts w:ascii="Arial" w:hAnsi="Arial" w:cs="Arial"/>
          <w:sz w:val="24"/>
          <w:szCs w:val="24"/>
        </w:rPr>
        <w:t xml:space="preserve">The OPCC </w:t>
      </w:r>
      <w:proofErr w:type="gramStart"/>
      <w:r w:rsidR="009D34F1" w:rsidRPr="009D34F1">
        <w:rPr>
          <w:rFonts w:ascii="Arial" w:hAnsi="Arial" w:cs="Arial"/>
          <w:sz w:val="24"/>
          <w:szCs w:val="24"/>
        </w:rPr>
        <w:t>will</w:t>
      </w:r>
      <w:r w:rsidR="00865509" w:rsidRPr="009D34F1">
        <w:rPr>
          <w:rFonts w:ascii="Arial" w:hAnsi="Arial" w:cs="Arial"/>
          <w:sz w:val="24"/>
          <w:szCs w:val="24"/>
        </w:rPr>
        <w:t xml:space="preserve"> </w:t>
      </w:r>
      <w:r w:rsidR="00865509" w:rsidRPr="009D34F1">
        <w:rPr>
          <w:rFonts w:ascii="Arial" w:hAnsi="Arial" w:cs="Arial"/>
          <w:b/>
          <w:bCs/>
          <w:sz w:val="24"/>
          <w:szCs w:val="24"/>
          <w:u w:val="single"/>
        </w:rPr>
        <w:t>not</w:t>
      </w:r>
      <w:r w:rsidR="00865509" w:rsidRPr="009D34F1">
        <w:rPr>
          <w:rFonts w:ascii="Arial" w:hAnsi="Arial" w:cs="Arial"/>
          <w:sz w:val="24"/>
          <w:szCs w:val="24"/>
        </w:rPr>
        <w:t xml:space="preserve"> t</w:t>
      </w:r>
      <w:r w:rsidR="005F52FB" w:rsidRPr="009D34F1">
        <w:rPr>
          <w:rFonts w:ascii="Arial" w:hAnsi="Arial" w:cs="Arial"/>
          <w:sz w:val="24"/>
          <w:szCs w:val="24"/>
        </w:rPr>
        <w:t>o</w:t>
      </w:r>
      <w:proofErr w:type="gramEnd"/>
      <w:r w:rsidR="00865509" w:rsidRPr="009D34F1">
        <w:rPr>
          <w:rFonts w:ascii="Arial" w:hAnsi="Arial" w:cs="Arial"/>
          <w:sz w:val="24"/>
          <w:szCs w:val="24"/>
        </w:rPr>
        <w:t xml:space="preserve"> carry out the ASB Case Review itself. </w:t>
      </w:r>
    </w:p>
    <w:p w14:paraId="6974EBA9" w14:textId="429ADD4D" w:rsidR="00E768E7" w:rsidRPr="009D34F1" w:rsidRDefault="000C6614" w:rsidP="006D17BB">
      <w:pPr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 xml:space="preserve">The role of the OPCC is to consider due process and ensure that the partners involved have properly and effectively undertaken a </w:t>
      </w:r>
      <w:r w:rsidR="009D34F1" w:rsidRPr="009D34F1">
        <w:rPr>
          <w:rFonts w:ascii="Arial" w:hAnsi="Arial" w:cs="Arial"/>
          <w:sz w:val="24"/>
          <w:szCs w:val="24"/>
        </w:rPr>
        <w:t>c</w:t>
      </w:r>
      <w:r w:rsidR="005F52FB" w:rsidRPr="009D34F1">
        <w:rPr>
          <w:rFonts w:ascii="Arial" w:hAnsi="Arial" w:cs="Arial"/>
          <w:sz w:val="24"/>
          <w:szCs w:val="24"/>
        </w:rPr>
        <w:t xml:space="preserve">ase </w:t>
      </w:r>
      <w:r w:rsidR="009D34F1" w:rsidRPr="009D34F1">
        <w:rPr>
          <w:rFonts w:ascii="Arial" w:hAnsi="Arial" w:cs="Arial"/>
          <w:sz w:val="24"/>
          <w:szCs w:val="24"/>
        </w:rPr>
        <w:t>r</w:t>
      </w:r>
      <w:r w:rsidR="005F52FB" w:rsidRPr="009D34F1">
        <w:rPr>
          <w:rFonts w:ascii="Arial" w:hAnsi="Arial" w:cs="Arial"/>
          <w:sz w:val="24"/>
          <w:szCs w:val="24"/>
        </w:rPr>
        <w:t xml:space="preserve">eview </w:t>
      </w:r>
      <w:r w:rsidRPr="009D34F1">
        <w:rPr>
          <w:rFonts w:ascii="Arial" w:hAnsi="Arial" w:cs="Arial"/>
          <w:sz w:val="24"/>
          <w:szCs w:val="24"/>
        </w:rPr>
        <w:t xml:space="preserve">by considering whether:  </w:t>
      </w:r>
    </w:p>
    <w:p w14:paraId="687FD543" w14:textId="68342784" w:rsidR="000C6614" w:rsidRPr="009D34F1" w:rsidRDefault="000C6614" w:rsidP="006D17BB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lastRenderedPageBreak/>
        <w:t xml:space="preserve">The </w:t>
      </w:r>
      <w:r w:rsidR="00DA0F4A" w:rsidRPr="009D34F1">
        <w:rPr>
          <w:rFonts w:ascii="Arial" w:hAnsi="Arial" w:cs="Arial"/>
          <w:sz w:val="24"/>
          <w:szCs w:val="24"/>
        </w:rPr>
        <w:t>R</w:t>
      </w:r>
      <w:r w:rsidRPr="009D34F1">
        <w:rPr>
          <w:rFonts w:ascii="Arial" w:hAnsi="Arial" w:cs="Arial"/>
          <w:sz w:val="24"/>
          <w:szCs w:val="24"/>
        </w:rPr>
        <w:t xml:space="preserve">eview has failed to consider a relevant process, policy or </w:t>
      </w:r>
      <w:proofErr w:type="gramStart"/>
      <w:r w:rsidRPr="009D34F1">
        <w:rPr>
          <w:rFonts w:ascii="Arial" w:hAnsi="Arial" w:cs="Arial"/>
          <w:sz w:val="24"/>
          <w:szCs w:val="24"/>
        </w:rPr>
        <w:t>protocol;</w:t>
      </w:r>
      <w:proofErr w:type="gramEnd"/>
    </w:p>
    <w:p w14:paraId="357346FB" w14:textId="5134CEF0" w:rsidR="000C6614" w:rsidRPr="009D34F1" w:rsidRDefault="000C6614" w:rsidP="006D17BB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 xml:space="preserve">The </w:t>
      </w:r>
      <w:r w:rsidR="00DA0F4A" w:rsidRPr="009D34F1">
        <w:rPr>
          <w:rFonts w:ascii="Arial" w:hAnsi="Arial" w:cs="Arial"/>
          <w:sz w:val="24"/>
          <w:szCs w:val="24"/>
        </w:rPr>
        <w:t>Re</w:t>
      </w:r>
      <w:r w:rsidRPr="009D34F1">
        <w:rPr>
          <w:rFonts w:ascii="Arial" w:hAnsi="Arial" w:cs="Arial"/>
          <w:sz w:val="24"/>
          <w:szCs w:val="24"/>
        </w:rPr>
        <w:t xml:space="preserve">view has failed to consider relevant </w:t>
      </w:r>
      <w:proofErr w:type="gramStart"/>
      <w:r w:rsidRPr="009D34F1">
        <w:rPr>
          <w:rFonts w:ascii="Arial" w:hAnsi="Arial" w:cs="Arial"/>
          <w:sz w:val="24"/>
          <w:szCs w:val="24"/>
        </w:rPr>
        <w:t>factual information</w:t>
      </w:r>
      <w:proofErr w:type="gramEnd"/>
      <w:r w:rsidRPr="009D34F1">
        <w:rPr>
          <w:rFonts w:ascii="Arial" w:hAnsi="Arial" w:cs="Arial"/>
          <w:sz w:val="24"/>
          <w:szCs w:val="24"/>
        </w:rPr>
        <w:t>.</w:t>
      </w:r>
    </w:p>
    <w:p w14:paraId="16B9C24A" w14:textId="65100194" w:rsidR="00E768E7" w:rsidRPr="009D34F1" w:rsidRDefault="005F52FB" w:rsidP="006D17BB">
      <w:pPr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>Following a review,</w:t>
      </w:r>
      <w:r w:rsidR="000C6614" w:rsidRPr="009D34F1">
        <w:rPr>
          <w:rFonts w:ascii="Arial" w:hAnsi="Arial" w:cs="Arial"/>
          <w:sz w:val="24"/>
          <w:szCs w:val="24"/>
        </w:rPr>
        <w:t xml:space="preserve"> the OPCC can</w:t>
      </w:r>
      <w:r w:rsidR="00865509" w:rsidRPr="009D34F1">
        <w:rPr>
          <w:rFonts w:ascii="Arial" w:hAnsi="Arial" w:cs="Arial"/>
          <w:sz w:val="24"/>
          <w:szCs w:val="24"/>
        </w:rPr>
        <w:t xml:space="preserve"> only</w:t>
      </w:r>
      <w:r w:rsidR="000C6614" w:rsidRPr="009D34F1">
        <w:rPr>
          <w:rFonts w:ascii="Arial" w:hAnsi="Arial" w:cs="Arial"/>
          <w:sz w:val="24"/>
          <w:szCs w:val="24"/>
        </w:rPr>
        <w:t>:</w:t>
      </w:r>
    </w:p>
    <w:p w14:paraId="1D51C9FA" w14:textId="4BE8DFB3" w:rsidR="00E768E7" w:rsidRPr="009D34F1" w:rsidRDefault="002060BC" w:rsidP="002060B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>Refer the case back to the Local Review Panel asking them to consider a particular process, policy or protocol not previously considered (the OPCC cannot mandate a Case Review is undertaken, but can recommend it);</w:t>
      </w:r>
      <w:r w:rsidR="00E768E7" w:rsidRPr="009D34F1">
        <w:rPr>
          <w:rFonts w:ascii="Arial" w:hAnsi="Arial" w:cs="Arial"/>
          <w:sz w:val="24"/>
          <w:szCs w:val="24"/>
        </w:rPr>
        <w:t xml:space="preserve"> </w:t>
      </w:r>
      <w:r w:rsidR="00E768E7" w:rsidRPr="009D34F1">
        <w:rPr>
          <w:rFonts w:ascii="Arial" w:hAnsi="Arial" w:cs="Arial"/>
          <w:b/>
          <w:bCs/>
          <w:sz w:val="24"/>
          <w:szCs w:val="24"/>
        </w:rPr>
        <w:t>or</w:t>
      </w:r>
    </w:p>
    <w:p w14:paraId="11EFF6A9" w14:textId="08A4ABA2" w:rsidR="00DF432C" w:rsidRPr="009D34F1" w:rsidRDefault="000C6614" w:rsidP="006D17BB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>Determine that the Local Review Panel have reviewed the case</w:t>
      </w:r>
      <w:r w:rsidR="00865509" w:rsidRPr="009D34F1">
        <w:rPr>
          <w:rFonts w:ascii="Arial" w:hAnsi="Arial" w:cs="Arial"/>
          <w:sz w:val="24"/>
          <w:szCs w:val="24"/>
        </w:rPr>
        <w:t xml:space="preserve"> appropriately</w:t>
      </w:r>
      <w:r w:rsidRPr="009D34F1">
        <w:rPr>
          <w:rFonts w:ascii="Arial" w:hAnsi="Arial" w:cs="Arial"/>
          <w:sz w:val="24"/>
          <w:szCs w:val="24"/>
        </w:rPr>
        <w:t xml:space="preserve">, considering all relevant policies, </w:t>
      </w:r>
      <w:proofErr w:type="gramStart"/>
      <w:r w:rsidRPr="009D34F1">
        <w:rPr>
          <w:rFonts w:ascii="Arial" w:hAnsi="Arial" w:cs="Arial"/>
          <w:sz w:val="24"/>
          <w:szCs w:val="24"/>
        </w:rPr>
        <w:t>processes</w:t>
      </w:r>
      <w:proofErr w:type="gramEnd"/>
      <w:r w:rsidRPr="009D34F1">
        <w:rPr>
          <w:rFonts w:ascii="Arial" w:hAnsi="Arial" w:cs="Arial"/>
          <w:sz w:val="24"/>
          <w:szCs w:val="24"/>
        </w:rPr>
        <w:t xml:space="preserve"> and protocols.</w:t>
      </w:r>
    </w:p>
    <w:p w14:paraId="63813075" w14:textId="3A09661E" w:rsidR="00865509" w:rsidRPr="009D34F1" w:rsidRDefault="00865509" w:rsidP="00865509">
      <w:pPr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 xml:space="preserve">In either scenario, the OPCC </w:t>
      </w:r>
      <w:r w:rsidR="002060BC" w:rsidRPr="009D34F1">
        <w:rPr>
          <w:rFonts w:ascii="Arial" w:hAnsi="Arial" w:cs="Arial"/>
          <w:sz w:val="24"/>
          <w:szCs w:val="24"/>
        </w:rPr>
        <w:t>will</w:t>
      </w:r>
      <w:r w:rsidRPr="009D34F1">
        <w:rPr>
          <w:rFonts w:ascii="Arial" w:hAnsi="Arial" w:cs="Arial"/>
          <w:sz w:val="24"/>
          <w:szCs w:val="24"/>
        </w:rPr>
        <w:t xml:space="preserve"> share observations with the relevant agencies and applicant</w:t>
      </w:r>
      <w:r w:rsidR="002060BC" w:rsidRPr="009D34F1">
        <w:rPr>
          <w:rFonts w:ascii="Arial" w:hAnsi="Arial" w:cs="Arial"/>
          <w:sz w:val="24"/>
          <w:szCs w:val="24"/>
        </w:rPr>
        <w:t>/s</w:t>
      </w:r>
      <w:r w:rsidRPr="009D34F1">
        <w:rPr>
          <w:rFonts w:ascii="Arial" w:hAnsi="Arial" w:cs="Arial"/>
          <w:sz w:val="24"/>
          <w:szCs w:val="24"/>
        </w:rPr>
        <w:t xml:space="preserve">. </w:t>
      </w:r>
    </w:p>
    <w:p w14:paraId="0A6435E1" w14:textId="63D86B48" w:rsidR="002060BC" w:rsidRPr="009D34F1" w:rsidRDefault="007050EE" w:rsidP="006D17BB">
      <w:pPr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>The OPCC will conduct this process by reviewing the case file for the</w:t>
      </w:r>
      <w:r w:rsidR="00080A2B" w:rsidRPr="009D34F1">
        <w:rPr>
          <w:rFonts w:ascii="Arial" w:hAnsi="Arial" w:cs="Arial"/>
          <w:sz w:val="24"/>
          <w:szCs w:val="24"/>
        </w:rPr>
        <w:t xml:space="preserve"> ASB Case Review</w:t>
      </w:r>
      <w:r w:rsidR="002060BC" w:rsidRPr="009D34F1">
        <w:rPr>
          <w:rFonts w:ascii="Arial" w:hAnsi="Arial" w:cs="Arial"/>
          <w:sz w:val="24"/>
          <w:szCs w:val="24"/>
        </w:rPr>
        <w:t>, prepared by the single point of contact from the community safety partnership</w:t>
      </w:r>
      <w:r w:rsidRPr="009D34F1">
        <w:rPr>
          <w:rFonts w:ascii="Arial" w:hAnsi="Arial" w:cs="Arial"/>
          <w:sz w:val="24"/>
          <w:szCs w:val="24"/>
        </w:rPr>
        <w:t>. A best practice case file should include</w:t>
      </w:r>
      <w:r w:rsidR="002060BC" w:rsidRPr="009D34F1">
        <w:rPr>
          <w:rFonts w:ascii="Arial" w:hAnsi="Arial" w:cs="Arial"/>
          <w:sz w:val="24"/>
          <w:szCs w:val="24"/>
        </w:rPr>
        <w:t>:</w:t>
      </w:r>
    </w:p>
    <w:p w14:paraId="2D411535" w14:textId="77777777" w:rsidR="002060BC" w:rsidRPr="009D34F1" w:rsidRDefault="002060BC" w:rsidP="002060B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>A</w:t>
      </w:r>
      <w:r w:rsidR="00E2560D" w:rsidRPr="009D34F1">
        <w:rPr>
          <w:rFonts w:ascii="Arial" w:hAnsi="Arial" w:cs="Arial"/>
          <w:sz w:val="24"/>
          <w:szCs w:val="24"/>
        </w:rPr>
        <w:t xml:space="preserve">n incident </w:t>
      </w:r>
      <w:proofErr w:type="gramStart"/>
      <w:r w:rsidR="00E2560D" w:rsidRPr="009D34F1">
        <w:rPr>
          <w:rFonts w:ascii="Arial" w:hAnsi="Arial" w:cs="Arial"/>
          <w:sz w:val="24"/>
          <w:szCs w:val="24"/>
        </w:rPr>
        <w:t>log</w:t>
      </w:r>
      <w:proofErr w:type="gramEnd"/>
    </w:p>
    <w:p w14:paraId="0056A25F" w14:textId="77777777" w:rsidR="002060BC" w:rsidRPr="009D34F1" w:rsidRDefault="002060BC" w:rsidP="002060B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>A</w:t>
      </w:r>
      <w:r w:rsidR="00E2560D" w:rsidRPr="009D34F1">
        <w:rPr>
          <w:rFonts w:ascii="Arial" w:hAnsi="Arial" w:cs="Arial"/>
          <w:sz w:val="24"/>
          <w:szCs w:val="24"/>
        </w:rPr>
        <w:t xml:space="preserve"> </w:t>
      </w:r>
      <w:r w:rsidR="007050EE" w:rsidRPr="009D34F1">
        <w:rPr>
          <w:rFonts w:ascii="Arial" w:hAnsi="Arial" w:cs="Arial"/>
          <w:sz w:val="24"/>
          <w:szCs w:val="24"/>
        </w:rPr>
        <w:t>chronology of action taken by agencies</w:t>
      </w:r>
    </w:p>
    <w:p w14:paraId="13ABBC72" w14:textId="77777777" w:rsidR="002060BC" w:rsidRPr="009D34F1" w:rsidRDefault="002060BC" w:rsidP="002060B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>A</w:t>
      </w:r>
      <w:r w:rsidR="007050EE" w:rsidRPr="009D34F1">
        <w:rPr>
          <w:rFonts w:ascii="Arial" w:hAnsi="Arial" w:cs="Arial"/>
          <w:sz w:val="24"/>
          <w:szCs w:val="24"/>
        </w:rPr>
        <w:t xml:space="preserve"> write up of the rationale behind the </w:t>
      </w:r>
      <w:r w:rsidR="005F52FB" w:rsidRPr="009D34F1">
        <w:rPr>
          <w:rFonts w:ascii="Arial" w:hAnsi="Arial" w:cs="Arial"/>
          <w:sz w:val="24"/>
          <w:szCs w:val="24"/>
        </w:rPr>
        <w:t xml:space="preserve">Case </w:t>
      </w:r>
      <w:r w:rsidR="007050EE" w:rsidRPr="009D34F1">
        <w:rPr>
          <w:rFonts w:ascii="Arial" w:hAnsi="Arial" w:cs="Arial"/>
          <w:sz w:val="24"/>
          <w:szCs w:val="24"/>
        </w:rPr>
        <w:t xml:space="preserve">Review </w:t>
      </w:r>
      <w:proofErr w:type="gramStart"/>
      <w:r w:rsidR="007050EE" w:rsidRPr="009D34F1">
        <w:rPr>
          <w:rFonts w:ascii="Arial" w:hAnsi="Arial" w:cs="Arial"/>
          <w:sz w:val="24"/>
          <w:szCs w:val="24"/>
        </w:rPr>
        <w:t>decisio</w:t>
      </w:r>
      <w:r w:rsidRPr="009D34F1">
        <w:rPr>
          <w:rFonts w:ascii="Arial" w:hAnsi="Arial" w:cs="Arial"/>
          <w:sz w:val="24"/>
          <w:szCs w:val="24"/>
        </w:rPr>
        <w:t>n</w:t>
      </w:r>
      <w:proofErr w:type="gramEnd"/>
    </w:p>
    <w:p w14:paraId="3D35A086" w14:textId="77777777" w:rsidR="002060BC" w:rsidRPr="009D34F1" w:rsidRDefault="002060BC" w:rsidP="002060B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>A</w:t>
      </w:r>
      <w:r w:rsidR="007050EE" w:rsidRPr="009D34F1">
        <w:rPr>
          <w:rFonts w:ascii="Arial" w:hAnsi="Arial" w:cs="Arial"/>
          <w:sz w:val="24"/>
          <w:szCs w:val="24"/>
        </w:rPr>
        <w:t xml:space="preserve"> copy of the minutes from the Case Review Panel</w:t>
      </w:r>
    </w:p>
    <w:p w14:paraId="04332B54" w14:textId="77777777" w:rsidR="002060BC" w:rsidRPr="009D34F1" w:rsidRDefault="002060BC" w:rsidP="002060B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>A</w:t>
      </w:r>
      <w:r w:rsidR="00C620FD" w:rsidRPr="009D34F1">
        <w:rPr>
          <w:rFonts w:ascii="Arial" w:hAnsi="Arial" w:cs="Arial"/>
          <w:sz w:val="24"/>
          <w:szCs w:val="24"/>
        </w:rPr>
        <w:t>ny outcome letter to the applicant</w:t>
      </w:r>
      <w:r w:rsidR="007050EE" w:rsidRPr="009D34F1">
        <w:rPr>
          <w:rFonts w:ascii="Arial" w:hAnsi="Arial" w:cs="Arial"/>
          <w:sz w:val="24"/>
          <w:szCs w:val="24"/>
        </w:rPr>
        <w:t>.</w:t>
      </w:r>
      <w:r w:rsidR="005F52FB" w:rsidRPr="009D34F1">
        <w:rPr>
          <w:rFonts w:ascii="Arial" w:hAnsi="Arial" w:cs="Arial"/>
          <w:sz w:val="24"/>
          <w:szCs w:val="24"/>
        </w:rPr>
        <w:t xml:space="preserve"> </w:t>
      </w:r>
    </w:p>
    <w:p w14:paraId="4A0C1FAF" w14:textId="51388315" w:rsidR="007050EE" w:rsidRPr="009D34F1" w:rsidRDefault="005F52FB" w:rsidP="002060BC">
      <w:pPr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 xml:space="preserve">The OPCC may need to speak to individuals involved, including those on the panel and the </w:t>
      </w:r>
      <w:r w:rsidR="002060BC" w:rsidRPr="009D34F1">
        <w:rPr>
          <w:rFonts w:ascii="Arial" w:hAnsi="Arial" w:cs="Arial"/>
          <w:sz w:val="24"/>
          <w:szCs w:val="24"/>
        </w:rPr>
        <w:t>applic</w:t>
      </w:r>
      <w:r w:rsidRPr="009D34F1">
        <w:rPr>
          <w:rFonts w:ascii="Arial" w:hAnsi="Arial" w:cs="Arial"/>
          <w:sz w:val="24"/>
          <w:szCs w:val="24"/>
        </w:rPr>
        <w:t>ant/s, for more information.</w:t>
      </w:r>
    </w:p>
    <w:p w14:paraId="09E50FD0" w14:textId="4DA86383" w:rsidR="007050EE" w:rsidRPr="009D34F1" w:rsidRDefault="00DF432C" w:rsidP="006D17BB">
      <w:pPr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 xml:space="preserve">A </w:t>
      </w:r>
      <w:r w:rsidR="00DA0F4A" w:rsidRPr="009D34F1">
        <w:rPr>
          <w:rFonts w:ascii="Arial" w:hAnsi="Arial" w:cs="Arial"/>
          <w:sz w:val="24"/>
          <w:szCs w:val="24"/>
        </w:rPr>
        <w:t>R</w:t>
      </w:r>
      <w:r w:rsidRPr="009D34F1">
        <w:rPr>
          <w:rFonts w:ascii="Arial" w:hAnsi="Arial" w:cs="Arial"/>
          <w:sz w:val="24"/>
          <w:szCs w:val="24"/>
        </w:rPr>
        <w:t xml:space="preserve">eview cannot be escalated </w:t>
      </w:r>
      <w:r w:rsidR="00DA0F4A" w:rsidRPr="009D34F1">
        <w:rPr>
          <w:rFonts w:ascii="Arial" w:hAnsi="Arial" w:cs="Arial"/>
          <w:sz w:val="24"/>
          <w:szCs w:val="24"/>
        </w:rPr>
        <w:t xml:space="preserve">to the OPCC </w:t>
      </w:r>
      <w:r w:rsidRPr="009D34F1">
        <w:rPr>
          <w:rFonts w:ascii="Arial" w:hAnsi="Arial" w:cs="Arial"/>
          <w:sz w:val="24"/>
          <w:szCs w:val="24"/>
        </w:rPr>
        <w:t>where an applicant is dissatisfied that a particular agency has not utilised a certain enforcement tool</w:t>
      </w:r>
      <w:r w:rsidR="00C620FD" w:rsidRPr="009D34F1">
        <w:rPr>
          <w:rFonts w:ascii="Arial" w:hAnsi="Arial" w:cs="Arial"/>
          <w:sz w:val="24"/>
          <w:szCs w:val="24"/>
        </w:rPr>
        <w:t xml:space="preserve"> for any of the incidents involved</w:t>
      </w:r>
      <w:r w:rsidRPr="009D34F1">
        <w:rPr>
          <w:rFonts w:ascii="Arial" w:hAnsi="Arial" w:cs="Arial"/>
          <w:sz w:val="24"/>
          <w:szCs w:val="24"/>
        </w:rPr>
        <w:t>.</w:t>
      </w:r>
    </w:p>
    <w:p w14:paraId="030C9071" w14:textId="7ECC3918" w:rsidR="005F52FB" w:rsidRPr="009D34F1" w:rsidRDefault="007050EE" w:rsidP="006D17BB">
      <w:pPr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>T</w:t>
      </w:r>
      <w:r w:rsidR="00332A38" w:rsidRPr="009D34F1">
        <w:rPr>
          <w:rFonts w:ascii="Arial" w:hAnsi="Arial" w:cs="Arial"/>
          <w:sz w:val="24"/>
          <w:szCs w:val="24"/>
        </w:rPr>
        <w:t xml:space="preserve">he OPCC will not re-investigate the incidents discussed in the ASB Case Review and can only determine if the </w:t>
      </w:r>
      <w:r w:rsidR="001A09CF" w:rsidRPr="009D34F1">
        <w:rPr>
          <w:rFonts w:ascii="Arial" w:hAnsi="Arial" w:cs="Arial"/>
          <w:sz w:val="24"/>
          <w:szCs w:val="24"/>
        </w:rPr>
        <w:t xml:space="preserve">Case Review </w:t>
      </w:r>
      <w:r w:rsidR="00332A38" w:rsidRPr="009D34F1">
        <w:rPr>
          <w:rFonts w:ascii="Arial" w:hAnsi="Arial" w:cs="Arial"/>
          <w:sz w:val="24"/>
          <w:szCs w:val="24"/>
        </w:rPr>
        <w:t>process</w:t>
      </w:r>
      <w:r w:rsidR="001A09CF" w:rsidRPr="009D34F1">
        <w:rPr>
          <w:rFonts w:ascii="Arial" w:hAnsi="Arial" w:cs="Arial"/>
          <w:sz w:val="24"/>
          <w:szCs w:val="24"/>
        </w:rPr>
        <w:t xml:space="preserve"> itself</w:t>
      </w:r>
      <w:r w:rsidR="00332A38" w:rsidRPr="009D34F1">
        <w:rPr>
          <w:rFonts w:ascii="Arial" w:hAnsi="Arial" w:cs="Arial"/>
          <w:sz w:val="24"/>
          <w:szCs w:val="24"/>
        </w:rPr>
        <w:t xml:space="preserve"> and the outcome was reasonable and in line with relevant policies and procedures. </w:t>
      </w:r>
    </w:p>
    <w:p w14:paraId="403096D6" w14:textId="2B94B5BB" w:rsidR="00865509" w:rsidRPr="009D34F1" w:rsidRDefault="00332A38" w:rsidP="006D17BB">
      <w:pPr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 xml:space="preserve">Moreover, </w:t>
      </w:r>
      <w:r w:rsidR="00E768E7" w:rsidRPr="009D34F1">
        <w:rPr>
          <w:rFonts w:ascii="Arial" w:hAnsi="Arial" w:cs="Arial"/>
          <w:sz w:val="24"/>
          <w:szCs w:val="24"/>
        </w:rPr>
        <w:t xml:space="preserve">the OPCC </w:t>
      </w:r>
      <w:r w:rsidRPr="009D34F1">
        <w:rPr>
          <w:rFonts w:ascii="Arial" w:hAnsi="Arial" w:cs="Arial"/>
          <w:sz w:val="24"/>
          <w:szCs w:val="24"/>
        </w:rPr>
        <w:t xml:space="preserve">cannot consider separate </w:t>
      </w:r>
      <w:r w:rsidR="00DA0F4A" w:rsidRPr="009D34F1">
        <w:rPr>
          <w:rFonts w:ascii="Arial" w:hAnsi="Arial" w:cs="Arial"/>
          <w:sz w:val="24"/>
          <w:szCs w:val="24"/>
        </w:rPr>
        <w:t xml:space="preserve">or new </w:t>
      </w:r>
      <w:r w:rsidRPr="009D34F1">
        <w:rPr>
          <w:rFonts w:ascii="Arial" w:hAnsi="Arial" w:cs="Arial"/>
          <w:sz w:val="24"/>
          <w:szCs w:val="24"/>
        </w:rPr>
        <w:t>incidents</w:t>
      </w:r>
      <w:r w:rsidR="00DA0F4A" w:rsidRPr="009D34F1">
        <w:rPr>
          <w:rFonts w:ascii="Arial" w:hAnsi="Arial" w:cs="Arial"/>
          <w:sz w:val="24"/>
          <w:szCs w:val="24"/>
        </w:rPr>
        <w:t xml:space="preserve"> not </w:t>
      </w:r>
      <w:r w:rsidR="00865509" w:rsidRPr="009D34F1">
        <w:rPr>
          <w:rFonts w:ascii="Arial" w:hAnsi="Arial" w:cs="Arial"/>
          <w:sz w:val="24"/>
          <w:szCs w:val="24"/>
        </w:rPr>
        <w:t xml:space="preserve">reported to relevant agencies or </w:t>
      </w:r>
      <w:r w:rsidR="00DA0F4A" w:rsidRPr="009D34F1">
        <w:rPr>
          <w:rFonts w:ascii="Arial" w:hAnsi="Arial" w:cs="Arial"/>
          <w:sz w:val="24"/>
          <w:szCs w:val="24"/>
        </w:rPr>
        <w:t>shared with the panel</w:t>
      </w:r>
      <w:r w:rsidR="00C620FD" w:rsidRPr="009D34F1">
        <w:rPr>
          <w:rFonts w:ascii="Arial" w:hAnsi="Arial" w:cs="Arial"/>
          <w:sz w:val="24"/>
          <w:szCs w:val="24"/>
        </w:rPr>
        <w:t xml:space="preserve"> (these will need to be shared with the agencies for consideration of a new ASB Case Review)</w:t>
      </w:r>
      <w:r w:rsidR="00DA0F4A" w:rsidRPr="009D34F1">
        <w:rPr>
          <w:rFonts w:ascii="Arial" w:hAnsi="Arial" w:cs="Arial"/>
          <w:sz w:val="24"/>
          <w:szCs w:val="24"/>
        </w:rPr>
        <w:t xml:space="preserve">. </w:t>
      </w:r>
    </w:p>
    <w:p w14:paraId="3CF394C3" w14:textId="554DC6C8" w:rsidR="00E768E7" w:rsidRPr="009D34F1" w:rsidRDefault="00C620FD" w:rsidP="006D17BB">
      <w:pPr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>Finally, t</w:t>
      </w:r>
      <w:r w:rsidR="00DA0F4A" w:rsidRPr="009D34F1">
        <w:rPr>
          <w:rFonts w:ascii="Arial" w:hAnsi="Arial" w:cs="Arial"/>
          <w:sz w:val="24"/>
          <w:szCs w:val="24"/>
        </w:rPr>
        <w:t>he OPCC cannot consider</w:t>
      </w:r>
      <w:r w:rsidR="00332A38" w:rsidRPr="009D34F1">
        <w:rPr>
          <w:rFonts w:ascii="Arial" w:hAnsi="Arial" w:cs="Arial"/>
          <w:sz w:val="24"/>
          <w:szCs w:val="24"/>
        </w:rPr>
        <w:t xml:space="preserve"> complaints about individual members of staff</w:t>
      </w:r>
      <w:r w:rsidR="00DA0F4A" w:rsidRPr="009D34F1">
        <w:rPr>
          <w:rFonts w:ascii="Arial" w:hAnsi="Arial" w:cs="Arial"/>
          <w:sz w:val="24"/>
          <w:szCs w:val="24"/>
        </w:rPr>
        <w:t xml:space="preserve"> from any agency</w:t>
      </w:r>
      <w:r w:rsidR="00332A38" w:rsidRPr="009D34F1">
        <w:rPr>
          <w:rFonts w:ascii="Arial" w:hAnsi="Arial" w:cs="Arial"/>
          <w:sz w:val="24"/>
          <w:szCs w:val="24"/>
        </w:rPr>
        <w:t>.  Concerns about the conduct of staff should be directed to their respective organisations’ complaints departments.</w:t>
      </w:r>
    </w:p>
    <w:p w14:paraId="5C47C34E" w14:textId="31EFDB1B" w:rsidR="007050EE" w:rsidRPr="009D34F1" w:rsidRDefault="009D34F1" w:rsidP="006D17BB">
      <w:pPr>
        <w:rPr>
          <w:rFonts w:ascii="Arial" w:hAnsi="Arial" w:cs="Arial"/>
          <w:b/>
          <w:sz w:val="24"/>
          <w:szCs w:val="24"/>
        </w:rPr>
      </w:pPr>
      <w:r w:rsidRPr="009D34F1">
        <w:rPr>
          <w:rStyle w:val="normaltextrun"/>
          <w:rFonts w:ascii="Arial" w:hAnsi="Arial" w:cs="Arial"/>
          <w:color w:val="222222"/>
          <w:sz w:val="24"/>
          <w:szCs w:val="24"/>
        </w:rPr>
        <w:t>Antisocial Behaviour Case Review</w:t>
      </w:r>
      <w:r w:rsidRPr="009D34F1">
        <w:rPr>
          <w:rFonts w:ascii="Arial" w:hAnsi="Arial" w:cs="Arial"/>
          <w:b/>
          <w:sz w:val="24"/>
          <w:szCs w:val="24"/>
        </w:rPr>
        <w:t xml:space="preserve"> </w:t>
      </w:r>
      <w:r w:rsidR="00D93003" w:rsidRPr="009D34F1">
        <w:rPr>
          <w:rFonts w:ascii="Arial" w:hAnsi="Arial" w:cs="Arial"/>
          <w:b/>
          <w:sz w:val="24"/>
          <w:szCs w:val="24"/>
        </w:rPr>
        <w:t>–</w:t>
      </w:r>
      <w:r w:rsidR="000C6614" w:rsidRPr="009D34F1">
        <w:rPr>
          <w:rFonts w:ascii="Arial" w:hAnsi="Arial" w:cs="Arial"/>
          <w:b/>
          <w:sz w:val="24"/>
          <w:szCs w:val="24"/>
        </w:rPr>
        <w:t xml:space="preserve"> </w:t>
      </w:r>
      <w:r w:rsidR="00D93003" w:rsidRPr="009D34F1">
        <w:rPr>
          <w:rFonts w:ascii="Arial" w:hAnsi="Arial" w:cs="Arial"/>
          <w:b/>
          <w:sz w:val="24"/>
          <w:szCs w:val="24"/>
        </w:rPr>
        <w:t xml:space="preserve">OPCC </w:t>
      </w:r>
      <w:r w:rsidR="000C6614" w:rsidRPr="009D34F1">
        <w:rPr>
          <w:rFonts w:ascii="Arial" w:hAnsi="Arial" w:cs="Arial"/>
          <w:b/>
          <w:sz w:val="24"/>
          <w:szCs w:val="24"/>
        </w:rPr>
        <w:t>Review Pro</w:t>
      </w:r>
      <w:r w:rsidR="00D93003" w:rsidRPr="009D34F1">
        <w:rPr>
          <w:rFonts w:ascii="Arial" w:hAnsi="Arial" w:cs="Arial"/>
          <w:b/>
          <w:sz w:val="24"/>
          <w:szCs w:val="24"/>
        </w:rPr>
        <w:t xml:space="preserve">cedure </w:t>
      </w:r>
    </w:p>
    <w:p w14:paraId="307D68BB" w14:textId="4656731E" w:rsidR="000C6614" w:rsidRPr="009D34F1" w:rsidRDefault="00D93003" w:rsidP="00D93003">
      <w:pPr>
        <w:rPr>
          <w:rFonts w:ascii="Arial" w:hAnsi="Arial" w:cs="Arial"/>
          <w:b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>The procedure</w:t>
      </w:r>
      <w:r w:rsidR="000C6614" w:rsidRPr="009D34F1">
        <w:rPr>
          <w:rFonts w:ascii="Arial" w:hAnsi="Arial" w:cs="Arial"/>
          <w:sz w:val="24"/>
          <w:szCs w:val="24"/>
        </w:rPr>
        <w:t xml:space="preserve"> for reviewing how the Case Review Panel (CRP) was carried out and/or failure to make suitable recommendations</w:t>
      </w:r>
      <w:r w:rsidRPr="009D34F1">
        <w:rPr>
          <w:rFonts w:ascii="Arial" w:hAnsi="Arial" w:cs="Arial"/>
          <w:sz w:val="24"/>
          <w:szCs w:val="24"/>
        </w:rPr>
        <w:t>, is as follows:</w:t>
      </w:r>
    </w:p>
    <w:p w14:paraId="5B8CFB81" w14:textId="41A24C64" w:rsidR="00D93003" w:rsidRPr="009D34F1" w:rsidRDefault="000C6614" w:rsidP="00D93003">
      <w:pPr>
        <w:pStyle w:val="NoSpacing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lastRenderedPageBreak/>
        <w:t>Within 30 days of the Panel report being made, the OPCC is notified via the local authority</w:t>
      </w:r>
      <w:r w:rsidR="00D93003" w:rsidRPr="009D34F1">
        <w:rPr>
          <w:rFonts w:ascii="Arial" w:hAnsi="Arial" w:cs="Arial"/>
          <w:sz w:val="24"/>
          <w:szCs w:val="24"/>
        </w:rPr>
        <w:t>/community safety partnership</w:t>
      </w:r>
      <w:r w:rsidRPr="009D34F1">
        <w:rPr>
          <w:rFonts w:ascii="Arial" w:hAnsi="Arial" w:cs="Arial"/>
          <w:sz w:val="24"/>
          <w:szCs w:val="24"/>
        </w:rPr>
        <w:t xml:space="preserve"> single point of contact (SPOC) </w:t>
      </w:r>
      <w:r w:rsidR="00D93003" w:rsidRPr="009D34F1">
        <w:rPr>
          <w:rFonts w:ascii="Arial" w:hAnsi="Arial" w:cs="Arial"/>
          <w:sz w:val="24"/>
          <w:szCs w:val="24"/>
        </w:rPr>
        <w:t>that</w:t>
      </w:r>
      <w:r w:rsidRPr="009D34F1">
        <w:rPr>
          <w:rFonts w:ascii="Arial" w:hAnsi="Arial" w:cs="Arial"/>
          <w:sz w:val="24"/>
          <w:szCs w:val="24"/>
        </w:rPr>
        <w:t xml:space="preserve"> the applica</w:t>
      </w:r>
      <w:r w:rsidR="00D93003" w:rsidRPr="009D34F1">
        <w:rPr>
          <w:rFonts w:ascii="Arial" w:hAnsi="Arial" w:cs="Arial"/>
          <w:sz w:val="24"/>
          <w:szCs w:val="24"/>
        </w:rPr>
        <w:t>nt wishes</w:t>
      </w:r>
      <w:r w:rsidRPr="009D34F1">
        <w:rPr>
          <w:rFonts w:ascii="Arial" w:hAnsi="Arial" w:cs="Arial"/>
          <w:sz w:val="24"/>
          <w:szCs w:val="24"/>
        </w:rPr>
        <w:t xml:space="preserve"> to invoke the right of review against the way the CRP was carried out.</w:t>
      </w:r>
      <w:r w:rsidR="00DA0F4A" w:rsidRPr="009D34F1">
        <w:rPr>
          <w:rFonts w:ascii="Arial" w:hAnsi="Arial" w:cs="Arial"/>
          <w:sz w:val="24"/>
          <w:szCs w:val="24"/>
        </w:rPr>
        <w:t xml:space="preserve"> </w:t>
      </w:r>
      <w:r w:rsidR="00DA0F4A" w:rsidRPr="009D34F1">
        <w:rPr>
          <w:rFonts w:ascii="Arial" w:hAnsi="Arial" w:cs="Arial"/>
          <w:b/>
          <w:bCs/>
          <w:sz w:val="24"/>
          <w:szCs w:val="24"/>
        </w:rPr>
        <w:t>The SPOC will request that the applicant email the OPCC requesting a review of their Case Review to the Commissioner’s inbox (</w:t>
      </w:r>
      <w:hyperlink r:id="rId12" w:history="1">
        <w:r w:rsidR="00DA0F4A" w:rsidRPr="009D34F1">
          <w:rPr>
            <w:rStyle w:val="Hyperlink"/>
            <w:rFonts w:ascii="Arial" w:hAnsi="Arial" w:cs="Arial"/>
            <w:b/>
            <w:bCs/>
            <w:sz w:val="24"/>
            <w:szCs w:val="24"/>
          </w:rPr>
          <w:t>commissioner@gwent.police.uk</w:t>
        </w:r>
      </w:hyperlink>
      <w:r w:rsidR="00DA0F4A" w:rsidRPr="009D34F1">
        <w:rPr>
          <w:rFonts w:ascii="Arial" w:hAnsi="Arial" w:cs="Arial"/>
          <w:b/>
          <w:bCs/>
          <w:sz w:val="24"/>
          <w:szCs w:val="24"/>
        </w:rPr>
        <w:t>).</w:t>
      </w:r>
      <w:r w:rsidRPr="009D34F1">
        <w:rPr>
          <w:rFonts w:ascii="Arial" w:hAnsi="Arial" w:cs="Arial"/>
          <w:sz w:val="24"/>
          <w:szCs w:val="24"/>
        </w:rPr>
        <w:t xml:space="preserve"> </w:t>
      </w:r>
    </w:p>
    <w:p w14:paraId="46DB50F3" w14:textId="181EF480" w:rsidR="000C6614" w:rsidRPr="009D34F1" w:rsidRDefault="000C6614" w:rsidP="00D93003">
      <w:pPr>
        <w:pStyle w:val="NoSpacing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>At the same time, the SPOC will provide the OPCC with the relevant case file</w:t>
      </w:r>
      <w:r w:rsidR="00D93003" w:rsidRPr="009D34F1">
        <w:rPr>
          <w:rFonts w:ascii="Arial" w:hAnsi="Arial" w:cs="Arial"/>
          <w:sz w:val="24"/>
          <w:szCs w:val="24"/>
        </w:rPr>
        <w:t>.</w:t>
      </w:r>
      <w:r w:rsidRPr="009D34F1">
        <w:rPr>
          <w:rFonts w:ascii="Arial" w:hAnsi="Arial" w:cs="Arial"/>
          <w:sz w:val="24"/>
          <w:szCs w:val="24"/>
        </w:rPr>
        <w:t xml:space="preserve"> </w:t>
      </w:r>
    </w:p>
    <w:p w14:paraId="5D929995" w14:textId="76968F57" w:rsidR="00E768E7" w:rsidRPr="009D34F1" w:rsidRDefault="000C6614" w:rsidP="00D93003">
      <w:pPr>
        <w:pStyle w:val="NoSpacing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>The OPCC acknowledges receipt of the request for review to the applicant and SPOC, providing an indicative timescale for response to the application</w:t>
      </w:r>
      <w:r w:rsidR="006D17BB" w:rsidRPr="009D34F1">
        <w:rPr>
          <w:rFonts w:ascii="Arial" w:hAnsi="Arial" w:cs="Arial"/>
          <w:sz w:val="24"/>
          <w:szCs w:val="24"/>
        </w:rPr>
        <w:t>. The OPCC will aim to complete the review within 30 days of receipt of the request</w:t>
      </w:r>
      <w:r w:rsidR="00D93003" w:rsidRPr="009D34F1">
        <w:rPr>
          <w:rFonts w:ascii="Arial" w:hAnsi="Arial" w:cs="Arial"/>
          <w:sz w:val="24"/>
          <w:szCs w:val="24"/>
        </w:rPr>
        <w:t xml:space="preserve"> and will advise of any exceptions to this.</w:t>
      </w:r>
    </w:p>
    <w:p w14:paraId="0B367335" w14:textId="5E73EA2A" w:rsidR="000C6614" w:rsidRPr="009D34F1" w:rsidRDefault="00E768E7" w:rsidP="00D93003">
      <w:pPr>
        <w:pStyle w:val="NoSpacing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>When acknowledging receipt of the request, the OPCC will ask the applicant to detail why they would like to raise an appeal and a copy of any documents relevant to their case.</w:t>
      </w:r>
    </w:p>
    <w:p w14:paraId="513A2480" w14:textId="5768F2DC" w:rsidR="000C6614" w:rsidRPr="009D34F1" w:rsidRDefault="000C6614" w:rsidP="00D93003">
      <w:pPr>
        <w:pStyle w:val="NoSpacing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>Within the identified timescale, the OPCC will review the outcome of the CRP against the agreed process and criteria in place for that local authority area</w:t>
      </w:r>
      <w:r w:rsidR="00D93003" w:rsidRPr="009D34F1">
        <w:rPr>
          <w:rFonts w:ascii="Arial" w:hAnsi="Arial" w:cs="Arial"/>
          <w:sz w:val="24"/>
          <w:szCs w:val="24"/>
        </w:rPr>
        <w:t>. This includes referencing this to the national guidance</w:t>
      </w:r>
      <w:r w:rsidR="001A09CF" w:rsidRPr="009D34F1">
        <w:rPr>
          <w:rFonts w:ascii="Arial" w:hAnsi="Arial" w:cs="Arial"/>
          <w:sz w:val="24"/>
          <w:szCs w:val="24"/>
        </w:rPr>
        <w:t xml:space="preserve"> and conversations with those involved, as appropriate</w:t>
      </w:r>
      <w:r w:rsidR="00D93003" w:rsidRPr="009D34F1">
        <w:rPr>
          <w:rFonts w:ascii="Arial" w:hAnsi="Arial" w:cs="Arial"/>
          <w:sz w:val="24"/>
          <w:szCs w:val="24"/>
        </w:rPr>
        <w:t xml:space="preserve">. </w:t>
      </w:r>
    </w:p>
    <w:p w14:paraId="16823742" w14:textId="312E8883" w:rsidR="00D93003" w:rsidRPr="009D34F1" w:rsidRDefault="006D17BB" w:rsidP="00D93003">
      <w:pPr>
        <w:pStyle w:val="NoSpacing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 xml:space="preserve">Whilst carrying out the review, </w:t>
      </w:r>
      <w:r w:rsidR="00D93003" w:rsidRPr="009D34F1">
        <w:rPr>
          <w:rFonts w:ascii="Arial" w:hAnsi="Arial" w:cs="Arial"/>
          <w:sz w:val="24"/>
          <w:szCs w:val="24"/>
        </w:rPr>
        <w:t xml:space="preserve">progress </w:t>
      </w:r>
      <w:r w:rsidRPr="009D34F1">
        <w:rPr>
          <w:rFonts w:ascii="Arial" w:hAnsi="Arial" w:cs="Arial"/>
          <w:sz w:val="24"/>
          <w:szCs w:val="24"/>
        </w:rPr>
        <w:t xml:space="preserve">updates will be provided to the applicant every 14 days, unless stated otherwise or different timings </w:t>
      </w:r>
      <w:r w:rsidR="001A09CF" w:rsidRPr="009D34F1">
        <w:rPr>
          <w:rFonts w:ascii="Arial" w:hAnsi="Arial" w:cs="Arial"/>
          <w:sz w:val="24"/>
          <w:szCs w:val="24"/>
        </w:rPr>
        <w:t xml:space="preserve">are </w:t>
      </w:r>
      <w:r w:rsidRPr="009D34F1">
        <w:rPr>
          <w:rFonts w:ascii="Arial" w:hAnsi="Arial" w:cs="Arial"/>
          <w:sz w:val="24"/>
          <w:szCs w:val="24"/>
        </w:rPr>
        <w:t>agreed with the applicant</w:t>
      </w:r>
      <w:r w:rsidR="00D93003" w:rsidRPr="009D34F1">
        <w:rPr>
          <w:rFonts w:ascii="Arial" w:hAnsi="Arial" w:cs="Arial"/>
          <w:sz w:val="24"/>
          <w:szCs w:val="24"/>
        </w:rPr>
        <w:t>.</w:t>
      </w:r>
    </w:p>
    <w:p w14:paraId="45DC4AA4" w14:textId="011D32B4" w:rsidR="000C6614" w:rsidRPr="009D34F1" w:rsidRDefault="000C6614" w:rsidP="00D93003">
      <w:pPr>
        <w:pStyle w:val="NoSpacing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>The OPCC will inform the applicant</w:t>
      </w:r>
      <w:r w:rsidR="006D17BB" w:rsidRPr="009D34F1">
        <w:rPr>
          <w:rFonts w:ascii="Arial" w:hAnsi="Arial" w:cs="Arial"/>
          <w:sz w:val="24"/>
          <w:szCs w:val="24"/>
        </w:rPr>
        <w:t xml:space="preserve">, in writing, </w:t>
      </w:r>
      <w:r w:rsidRPr="009D34F1">
        <w:rPr>
          <w:rFonts w:ascii="Arial" w:hAnsi="Arial" w:cs="Arial"/>
          <w:sz w:val="24"/>
          <w:szCs w:val="24"/>
        </w:rPr>
        <w:t>of the review findings and/or recommendations, advising that these will also be provided to the SPOC for the relevant CRP</w:t>
      </w:r>
      <w:r w:rsidR="00D93003" w:rsidRPr="009D34F1">
        <w:rPr>
          <w:rFonts w:ascii="Arial" w:hAnsi="Arial" w:cs="Arial"/>
          <w:sz w:val="24"/>
          <w:szCs w:val="24"/>
        </w:rPr>
        <w:t>.</w:t>
      </w:r>
    </w:p>
    <w:p w14:paraId="4A083D4D" w14:textId="3A315065" w:rsidR="000C3EAF" w:rsidRPr="009D34F1" w:rsidRDefault="000C6614" w:rsidP="00D93003">
      <w:pPr>
        <w:pStyle w:val="NoSpacing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sz w:val="24"/>
          <w:szCs w:val="24"/>
        </w:rPr>
        <w:t xml:space="preserve">Review process </w:t>
      </w:r>
      <w:r w:rsidRPr="009D34F1">
        <w:rPr>
          <w:rFonts w:ascii="Arial" w:hAnsi="Arial" w:cs="Arial"/>
          <w:b/>
          <w:sz w:val="24"/>
          <w:szCs w:val="24"/>
        </w:rPr>
        <w:t>ends</w:t>
      </w:r>
      <w:r w:rsidR="006D17BB" w:rsidRPr="009D34F1">
        <w:rPr>
          <w:rFonts w:ascii="Arial" w:hAnsi="Arial" w:cs="Arial"/>
          <w:b/>
          <w:sz w:val="24"/>
          <w:szCs w:val="24"/>
        </w:rPr>
        <w:t>.</w:t>
      </w:r>
      <w:r w:rsidR="00D93003" w:rsidRPr="009D34F1">
        <w:rPr>
          <w:rFonts w:ascii="Arial" w:hAnsi="Arial" w:cs="Arial"/>
          <w:b/>
          <w:sz w:val="24"/>
          <w:szCs w:val="24"/>
        </w:rPr>
        <w:t xml:space="preserve"> There is no further right to appeal to the OPCC.</w:t>
      </w:r>
    </w:p>
    <w:p w14:paraId="08DB49A4" w14:textId="77777777" w:rsidR="006D17BB" w:rsidRPr="009D34F1" w:rsidRDefault="006D17BB" w:rsidP="006D17B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14B970E" w14:textId="77777777" w:rsidR="006D17BB" w:rsidRPr="009D34F1" w:rsidRDefault="006D17BB" w:rsidP="006D17B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1AAB5F2" w14:textId="03FDF51F" w:rsidR="006D17BB" w:rsidRPr="009D34F1" w:rsidRDefault="006D17BB" w:rsidP="006D17BB">
      <w:pPr>
        <w:pStyle w:val="NoSpacing"/>
        <w:rPr>
          <w:rFonts w:ascii="Arial" w:hAnsi="Arial" w:cs="Arial"/>
          <w:sz w:val="24"/>
          <w:szCs w:val="24"/>
        </w:rPr>
      </w:pPr>
      <w:r w:rsidRPr="009D34F1">
        <w:rPr>
          <w:rFonts w:ascii="Arial" w:hAnsi="Arial" w:cs="Arial"/>
          <w:b/>
          <w:sz w:val="24"/>
          <w:szCs w:val="24"/>
        </w:rPr>
        <w:t xml:space="preserve">Last Updated 07 May 2024. </w:t>
      </w:r>
    </w:p>
    <w:sectPr w:rsidR="006D17BB" w:rsidRPr="009D3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136F" w14:textId="77777777" w:rsidR="007515B7" w:rsidRDefault="007515B7" w:rsidP="007515B7">
      <w:pPr>
        <w:spacing w:after="0" w:line="240" w:lineRule="auto"/>
      </w:pPr>
      <w:r>
        <w:separator/>
      </w:r>
    </w:p>
  </w:endnote>
  <w:endnote w:type="continuationSeparator" w:id="0">
    <w:p w14:paraId="51873002" w14:textId="77777777" w:rsidR="007515B7" w:rsidRDefault="007515B7" w:rsidP="0075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C2BD" w14:textId="77777777" w:rsidR="007515B7" w:rsidRDefault="007515B7" w:rsidP="007515B7">
      <w:pPr>
        <w:spacing w:after="0" w:line="240" w:lineRule="auto"/>
      </w:pPr>
      <w:r>
        <w:separator/>
      </w:r>
    </w:p>
  </w:footnote>
  <w:footnote w:type="continuationSeparator" w:id="0">
    <w:p w14:paraId="2D0870DC" w14:textId="77777777" w:rsidR="007515B7" w:rsidRDefault="007515B7" w:rsidP="00751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13292"/>
    <w:multiLevelType w:val="hybridMultilevel"/>
    <w:tmpl w:val="1ECC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20089"/>
    <w:multiLevelType w:val="hybridMultilevel"/>
    <w:tmpl w:val="F110B376"/>
    <w:lvl w:ilvl="0" w:tplc="6F521F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07B15"/>
    <w:multiLevelType w:val="hybridMultilevel"/>
    <w:tmpl w:val="41C6C254"/>
    <w:lvl w:ilvl="0" w:tplc="C7E893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44B24"/>
    <w:multiLevelType w:val="hybridMultilevel"/>
    <w:tmpl w:val="C15ED212"/>
    <w:lvl w:ilvl="0" w:tplc="3BFA4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573261">
    <w:abstractNumId w:val="0"/>
  </w:num>
  <w:num w:numId="2" w16cid:durableId="1037008500">
    <w:abstractNumId w:val="2"/>
  </w:num>
  <w:num w:numId="3" w16cid:durableId="1567763704">
    <w:abstractNumId w:val="3"/>
  </w:num>
  <w:num w:numId="4" w16cid:durableId="1133207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14"/>
    <w:rsid w:val="00080A2B"/>
    <w:rsid w:val="000B62FC"/>
    <w:rsid w:val="000C3EAF"/>
    <w:rsid w:val="000C6614"/>
    <w:rsid w:val="001A09CF"/>
    <w:rsid w:val="002060BC"/>
    <w:rsid w:val="00332A38"/>
    <w:rsid w:val="005F52FB"/>
    <w:rsid w:val="00696B07"/>
    <w:rsid w:val="006D17BB"/>
    <w:rsid w:val="007050EE"/>
    <w:rsid w:val="007515B7"/>
    <w:rsid w:val="00865509"/>
    <w:rsid w:val="00894FCB"/>
    <w:rsid w:val="008E5FFC"/>
    <w:rsid w:val="009D34F1"/>
    <w:rsid w:val="00AB7166"/>
    <w:rsid w:val="00C620FD"/>
    <w:rsid w:val="00D354F6"/>
    <w:rsid w:val="00D93003"/>
    <w:rsid w:val="00DA0F4A"/>
    <w:rsid w:val="00DA5F8C"/>
    <w:rsid w:val="00DF432C"/>
    <w:rsid w:val="00E2560D"/>
    <w:rsid w:val="00E768E7"/>
    <w:rsid w:val="00E97B36"/>
    <w:rsid w:val="00ED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315C74"/>
  <w15:docId w15:val="{4187BDBA-004F-4FDB-897E-30BFBAA2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614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6614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4F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6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F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F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1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7BB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D1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7BB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6D1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6D17BB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865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aenau-gwent.gov.uk/resident/emergencies-crime-prevention/community-safety/anti-social-behaviou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ommissioner@gwent.police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rfaen.gov.uk/en/CrimeEmergencies/CrimePrevention/Antisocialbehaviourandnuisance/Community-Trigger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ewport.gov.uk/documents/Transport-and-Streets/Anti-social-Behaviour-Community-Trigg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mouthshire.gov.uk/community-safety/community-trigg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 Caroline</dc:creator>
  <cp:lastModifiedBy>Latham, Christopher</cp:lastModifiedBy>
  <cp:revision>4</cp:revision>
  <dcterms:created xsi:type="dcterms:W3CDTF">2024-05-09T09:49:00Z</dcterms:created>
  <dcterms:modified xsi:type="dcterms:W3CDTF">2024-05-21T10:48:00Z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Enabled">
    <vt:lpwstr>true</vt:lpwstr>
  </property>
  <property fmtid="{D5CDD505-2E9C-101B-9397-08002B2CF9AE}" pid="3" name="MSIP_Label_f2acd28b-79a3-4a0f-b0ff-4b75658b1549_SetDate">
    <vt:lpwstr>2023-01-26T08:32:06Z</vt:lpwstr>
  </property>
  <property fmtid="{D5CDD505-2E9C-101B-9397-08002B2CF9AE}" pid="4" name="MSIP_Label_f2acd28b-79a3-4a0f-b0ff-4b75658b1549_Method">
    <vt:lpwstr>Standard</vt:lpwstr>
  </property>
  <property fmtid="{D5CDD505-2E9C-101B-9397-08002B2CF9AE}" pid="5" name="MSIP_Label_f2acd28b-79a3-4a0f-b0ff-4b75658b1549_Name">
    <vt:lpwstr>OFFICIAL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ActionId">
    <vt:lpwstr>446bf3a8-5d25-489e-9a2c-ad2603442d8b</vt:lpwstr>
  </property>
  <property fmtid="{D5CDD505-2E9C-101B-9397-08002B2CF9AE}" pid="8" name="MSIP_Label_f2acd28b-79a3-4a0f-b0ff-4b75658b1549_ContentBits">
    <vt:lpwstr>0</vt:lpwstr>
  </property>
</Properties>
</file>