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77A56" w14:textId="77777777" w:rsidR="00F83ECC" w:rsidRDefault="00F83ECC" w:rsidP="008F3B02">
      <w:pPr>
        <w:jc w:val="center"/>
        <w:rPr>
          <w:rFonts w:ascii="Arial" w:hAnsi="Arial" w:cs="Arial"/>
          <w:b/>
          <w:sz w:val="24"/>
          <w:szCs w:val="24"/>
          <w:u w:val="single"/>
        </w:rPr>
      </w:pPr>
    </w:p>
    <w:p w14:paraId="6DDB418D" w14:textId="72ECDAEE" w:rsidR="008F3B02" w:rsidRPr="00A553B7" w:rsidRDefault="008F3B02" w:rsidP="008F3B02">
      <w:pPr>
        <w:jc w:val="center"/>
        <w:rPr>
          <w:rFonts w:ascii="Arial" w:hAnsi="Arial" w:cs="Arial"/>
          <w:b/>
          <w:sz w:val="24"/>
          <w:szCs w:val="24"/>
          <w:u w:val="single"/>
        </w:rPr>
      </w:pPr>
      <w:r w:rsidRPr="00A553B7">
        <w:rPr>
          <w:rFonts w:ascii="Arial" w:hAnsi="Arial" w:cs="Arial"/>
          <w:b/>
          <w:sz w:val="24"/>
          <w:szCs w:val="24"/>
          <w:u w:val="single"/>
        </w:rPr>
        <w:t>OFFICE OF POLICE AND CRIME COMMISSIONER</w:t>
      </w:r>
      <w:r>
        <w:rPr>
          <w:rFonts w:ascii="Arial" w:hAnsi="Arial" w:cs="Arial"/>
          <w:b/>
          <w:sz w:val="24"/>
          <w:szCs w:val="24"/>
          <w:u w:val="single"/>
        </w:rPr>
        <w:br/>
        <w:t>OFFICE OF CHIEF CONSTABLE</w:t>
      </w:r>
    </w:p>
    <w:p w14:paraId="5A0A1559" w14:textId="045EA376" w:rsidR="00310A3C" w:rsidRDefault="00D26302" w:rsidP="000D3744">
      <w:pPr>
        <w:pStyle w:val="Default"/>
        <w:ind w:left="1440" w:hanging="1440"/>
        <w:rPr>
          <w:b/>
        </w:rPr>
      </w:pPr>
      <w:r w:rsidRPr="00A553B7">
        <w:rPr>
          <w:b/>
        </w:rPr>
        <w:t>TITLE:</w:t>
      </w:r>
      <w:r w:rsidR="00BC5418" w:rsidRPr="00A553B7">
        <w:rPr>
          <w:b/>
        </w:rPr>
        <w:t xml:space="preserve"> </w:t>
      </w:r>
      <w:r w:rsidR="00094DEF">
        <w:rPr>
          <w:b/>
        </w:rPr>
        <w:tab/>
      </w:r>
      <w:r w:rsidR="006949E2" w:rsidRPr="000D3744">
        <w:rPr>
          <w:b/>
          <w:bCs/>
        </w:rPr>
        <w:t>Manual of Corporate Governance Annual Review incorporating the Annual Review of the Joint Audit Committee Terms of Reference</w:t>
      </w:r>
    </w:p>
    <w:p w14:paraId="7FA2E92E" w14:textId="77777777" w:rsidR="000D3744" w:rsidRDefault="000D3744" w:rsidP="000D3744">
      <w:pPr>
        <w:spacing w:after="0" w:line="240" w:lineRule="auto"/>
        <w:ind w:left="1440" w:hanging="1440"/>
        <w:rPr>
          <w:rFonts w:ascii="Arial" w:hAnsi="Arial" w:cs="Arial"/>
          <w:b/>
          <w:sz w:val="24"/>
          <w:szCs w:val="24"/>
        </w:rPr>
      </w:pPr>
    </w:p>
    <w:p w14:paraId="4FE1D3F1" w14:textId="0A897FD3" w:rsidR="00BC5418" w:rsidRDefault="00BC5418" w:rsidP="000D3744">
      <w:pPr>
        <w:spacing w:after="0" w:line="240" w:lineRule="auto"/>
        <w:ind w:left="1440" w:hanging="1440"/>
        <w:rPr>
          <w:rFonts w:ascii="Arial" w:hAnsi="Arial" w:cs="Arial"/>
          <w:b/>
          <w:sz w:val="24"/>
          <w:szCs w:val="24"/>
        </w:rPr>
      </w:pPr>
      <w:r w:rsidRPr="00A553B7">
        <w:rPr>
          <w:rFonts w:ascii="Arial" w:hAnsi="Arial" w:cs="Arial"/>
          <w:b/>
          <w:sz w:val="24"/>
          <w:szCs w:val="24"/>
        </w:rPr>
        <w:t>DATE:</w:t>
      </w:r>
      <w:r w:rsidR="0022643F" w:rsidRPr="00A553B7">
        <w:rPr>
          <w:rFonts w:ascii="Arial" w:hAnsi="Arial" w:cs="Arial"/>
          <w:b/>
          <w:sz w:val="24"/>
          <w:szCs w:val="24"/>
        </w:rPr>
        <w:tab/>
      </w:r>
      <w:r w:rsidR="00DC6E87">
        <w:rPr>
          <w:rFonts w:ascii="Arial" w:hAnsi="Arial" w:cs="Arial"/>
          <w:b/>
          <w:sz w:val="24"/>
          <w:szCs w:val="24"/>
        </w:rPr>
        <w:t>2</w:t>
      </w:r>
      <w:r w:rsidR="00DC6E87" w:rsidRPr="00DC6E87">
        <w:rPr>
          <w:rFonts w:ascii="Arial" w:hAnsi="Arial" w:cs="Arial"/>
          <w:b/>
          <w:sz w:val="24"/>
          <w:szCs w:val="24"/>
          <w:vertAlign w:val="superscript"/>
        </w:rPr>
        <w:t>nd</w:t>
      </w:r>
      <w:r w:rsidR="00DC6E87">
        <w:rPr>
          <w:rFonts w:ascii="Arial" w:hAnsi="Arial" w:cs="Arial"/>
          <w:b/>
          <w:sz w:val="24"/>
          <w:szCs w:val="24"/>
        </w:rPr>
        <w:t xml:space="preserve"> </w:t>
      </w:r>
      <w:r w:rsidR="000D3744">
        <w:rPr>
          <w:rFonts w:ascii="Arial" w:hAnsi="Arial" w:cs="Arial"/>
          <w:b/>
          <w:sz w:val="24"/>
          <w:szCs w:val="24"/>
        </w:rPr>
        <w:t>March 202</w:t>
      </w:r>
      <w:r w:rsidR="00DC6E87">
        <w:rPr>
          <w:rFonts w:ascii="Arial" w:hAnsi="Arial" w:cs="Arial"/>
          <w:b/>
          <w:sz w:val="24"/>
          <w:szCs w:val="24"/>
        </w:rPr>
        <w:t>3</w:t>
      </w:r>
    </w:p>
    <w:p w14:paraId="5FDBD31D" w14:textId="77777777" w:rsidR="000D3744" w:rsidRPr="00A553B7" w:rsidRDefault="000D3744" w:rsidP="000D3744">
      <w:pPr>
        <w:spacing w:after="0" w:line="240" w:lineRule="auto"/>
        <w:ind w:left="1440" w:hanging="1440"/>
        <w:rPr>
          <w:rFonts w:ascii="Arial" w:hAnsi="Arial" w:cs="Arial"/>
          <w:b/>
          <w:sz w:val="24"/>
          <w:szCs w:val="24"/>
        </w:rPr>
      </w:pPr>
    </w:p>
    <w:p w14:paraId="258CB1E0" w14:textId="77777777" w:rsidR="00BC5418" w:rsidRPr="00A553B7" w:rsidRDefault="00BC5418" w:rsidP="00BC5418">
      <w:pPr>
        <w:spacing w:after="0" w:line="240" w:lineRule="auto"/>
        <w:jc w:val="both"/>
        <w:rPr>
          <w:rFonts w:ascii="Arial" w:hAnsi="Arial" w:cs="Arial"/>
          <w:b/>
          <w:sz w:val="24"/>
          <w:szCs w:val="24"/>
        </w:rPr>
      </w:pPr>
      <w:r w:rsidRPr="00A553B7">
        <w:rPr>
          <w:rFonts w:ascii="Arial" w:hAnsi="Arial" w:cs="Arial"/>
          <w:b/>
          <w:sz w:val="24"/>
          <w:szCs w:val="24"/>
        </w:rPr>
        <w:t xml:space="preserve">TIMING: </w:t>
      </w:r>
      <w:r w:rsidR="00554912" w:rsidRPr="00A553B7">
        <w:rPr>
          <w:rFonts w:ascii="Arial" w:hAnsi="Arial" w:cs="Arial"/>
          <w:sz w:val="24"/>
          <w:szCs w:val="24"/>
        </w:rPr>
        <w:tab/>
      </w:r>
      <w:r w:rsidR="00617F12" w:rsidRPr="00A553B7">
        <w:rPr>
          <w:rFonts w:ascii="Arial" w:hAnsi="Arial" w:cs="Arial"/>
          <w:b/>
          <w:sz w:val="24"/>
          <w:szCs w:val="24"/>
        </w:rPr>
        <w:t>Annual</w:t>
      </w:r>
    </w:p>
    <w:p w14:paraId="21909261" w14:textId="77777777" w:rsidR="00BC5418" w:rsidRPr="00A553B7" w:rsidRDefault="00BC5418" w:rsidP="00BC5418">
      <w:pPr>
        <w:spacing w:after="0" w:line="240" w:lineRule="auto"/>
        <w:jc w:val="both"/>
        <w:rPr>
          <w:rFonts w:ascii="Arial" w:hAnsi="Arial" w:cs="Arial"/>
          <w:b/>
          <w:sz w:val="24"/>
          <w:szCs w:val="24"/>
        </w:rPr>
      </w:pPr>
    </w:p>
    <w:p w14:paraId="424C48F6" w14:textId="3BFC40DC" w:rsidR="00BC5418" w:rsidRPr="00A553B7" w:rsidRDefault="00BC5418" w:rsidP="00BC5418">
      <w:pPr>
        <w:spacing w:after="0" w:line="240" w:lineRule="auto"/>
        <w:jc w:val="both"/>
        <w:rPr>
          <w:rFonts w:ascii="Arial" w:hAnsi="Arial" w:cs="Arial"/>
          <w:b/>
          <w:sz w:val="24"/>
          <w:szCs w:val="24"/>
        </w:rPr>
      </w:pPr>
      <w:r w:rsidRPr="00A553B7">
        <w:rPr>
          <w:rFonts w:ascii="Arial" w:hAnsi="Arial" w:cs="Arial"/>
          <w:b/>
          <w:sz w:val="24"/>
          <w:szCs w:val="24"/>
        </w:rPr>
        <w:t xml:space="preserve">PURPOSE: </w:t>
      </w:r>
      <w:r w:rsidR="00554912" w:rsidRPr="00A553B7">
        <w:rPr>
          <w:rFonts w:ascii="Arial" w:hAnsi="Arial" w:cs="Arial"/>
          <w:b/>
          <w:sz w:val="24"/>
          <w:szCs w:val="24"/>
        </w:rPr>
        <w:tab/>
      </w:r>
      <w:r w:rsidR="00D11EF1">
        <w:rPr>
          <w:rFonts w:ascii="Arial" w:hAnsi="Arial" w:cs="Arial"/>
          <w:b/>
          <w:sz w:val="24"/>
          <w:szCs w:val="24"/>
        </w:rPr>
        <w:t>Recommend</w:t>
      </w:r>
      <w:r w:rsidR="00554912" w:rsidRPr="00A553B7">
        <w:rPr>
          <w:rFonts w:ascii="Arial" w:hAnsi="Arial" w:cs="Arial"/>
          <w:b/>
          <w:sz w:val="24"/>
          <w:szCs w:val="24"/>
        </w:rPr>
        <w:t xml:space="preserve"> </w:t>
      </w:r>
      <w:r w:rsidR="00302E4A" w:rsidRPr="00A553B7">
        <w:rPr>
          <w:rFonts w:ascii="Arial" w:hAnsi="Arial" w:cs="Arial"/>
          <w:b/>
          <w:sz w:val="24"/>
          <w:szCs w:val="24"/>
        </w:rPr>
        <w:t>Approval</w:t>
      </w:r>
    </w:p>
    <w:p w14:paraId="0397E847" w14:textId="77777777" w:rsidR="00BC5418" w:rsidRPr="00A553B7" w:rsidRDefault="00BC5418" w:rsidP="00BC5418">
      <w:pPr>
        <w:spacing w:after="0" w:line="240" w:lineRule="auto"/>
        <w:jc w:val="both"/>
        <w:rPr>
          <w:rFonts w:ascii="Arial" w:hAnsi="Arial"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8312"/>
      </w:tblGrid>
      <w:tr w:rsidR="00D26302" w:rsidRPr="00A553B7" w14:paraId="1246E853" w14:textId="77777777" w:rsidTr="005D4534">
        <w:tc>
          <w:tcPr>
            <w:tcW w:w="748" w:type="dxa"/>
            <w:shd w:val="clear" w:color="auto" w:fill="auto"/>
          </w:tcPr>
          <w:p w14:paraId="75B69646" w14:textId="77777777" w:rsidR="00D26302" w:rsidRPr="00A553B7" w:rsidRDefault="005C173F" w:rsidP="00055BFA">
            <w:pPr>
              <w:spacing w:after="0"/>
              <w:rPr>
                <w:rFonts w:ascii="Arial" w:hAnsi="Arial" w:cs="Arial"/>
                <w:b/>
                <w:sz w:val="24"/>
                <w:szCs w:val="24"/>
              </w:rPr>
            </w:pPr>
            <w:r w:rsidRPr="00A553B7">
              <w:rPr>
                <w:rFonts w:ascii="Arial" w:hAnsi="Arial" w:cs="Arial"/>
                <w:b/>
                <w:sz w:val="24"/>
                <w:szCs w:val="24"/>
              </w:rPr>
              <w:t>1</w:t>
            </w:r>
            <w:r w:rsidR="00D26302" w:rsidRPr="00A553B7">
              <w:rPr>
                <w:rFonts w:ascii="Arial" w:hAnsi="Arial" w:cs="Arial"/>
                <w:b/>
                <w:sz w:val="24"/>
                <w:szCs w:val="24"/>
              </w:rPr>
              <w:t>.</w:t>
            </w:r>
          </w:p>
        </w:tc>
        <w:tc>
          <w:tcPr>
            <w:tcW w:w="8312" w:type="dxa"/>
            <w:shd w:val="clear" w:color="auto" w:fill="auto"/>
          </w:tcPr>
          <w:p w14:paraId="78AFFB41" w14:textId="77777777" w:rsidR="00554912" w:rsidRPr="00A553B7" w:rsidRDefault="007413DB" w:rsidP="007413DB">
            <w:pPr>
              <w:spacing w:after="0"/>
              <w:jc w:val="both"/>
              <w:rPr>
                <w:rFonts w:ascii="Arial" w:hAnsi="Arial" w:cs="Arial"/>
                <w:b/>
                <w:sz w:val="24"/>
                <w:szCs w:val="24"/>
                <w:u w:val="single"/>
              </w:rPr>
            </w:pPr>
            <w:r w:rsidRPr="00A553B7">
              <w:rPr>
                <w:rFonts w:ascii="Arial" w:hAnsi="Arial" w:cs="Arial"/>
                <w:b/>
                <w:sz w:val="24"/>
                <w:szCs w:val="24"/>
                <w:u w:val="single"/>
              </w:rPr>
              <w:t>RECOMMENDATION</w:t>
            </w:r>
          </w:p>
        </w:tc>
      </w:tr>
      <w:tr w:rsidR="007413DB" w:rsidRPr="00A553B7" w14:paraId="25BD9277" w14:textId="77777777" w:rsidTr="005D4534">
        <w:tc>
          <w:tcPr>
            <w:tcW w:w="748" w:type="dxa"/>
            <w:shd w:val="clear" w:color="auto" w:fill="auto"/>
          </w:tcPr>
          <w:p w14:paraId="454B676F" w14:textId="77777777" w:rsidR="007413DB" w:rsidRPr="00A553B7" w:rsidRDefault="007413DB" w:rsidP="00055BFA">
            <w:pPr>
              <w:spacing w:after="0"/>
              <w:rPr>
                <w:rFonts w:ascii="Arial" w:hAnsi="Arial" w:cs="Arial"/>
                <w:sz w:val="24"/>
                <w:szCs w:val="24"/>
              </w:rPr>
            </w:pPr>
            <w:r w:rsidRPr="00A553B7">
              <w:rPr>
                <w:rFonts w:ascii="Arial" w:hAnsi="Arial" w:cs="Arial"/>
                <w:sz w:val="24"/>
                <w:szCs w:val="24"/>
              </w:rPr>
              <w:t>1.1</w:t>
            </w:r>
          </w:p>
        </w:tc>
        <w:tc>
          <w:tcPr>
            <w:tcW w:w="8312" w:type="dxa"/>
            <w:shd w:val="clear" w:color="auto" w:fill="auto"/>
          </w:tcPr>
          <w:p w14:paraId="2ED368C2" w14:textId="77777777" w:rsidR="001203B6" w:rsidRPr="00617F12" w:rsidRDefault="001203B6" w:rsidP="001203B6">
            <w:pPr>
              <w:spacing w:after="0"/>
              <w:jc w:val="both"/>
              <w:rPr>
                <w:rFonts w:ascii="Arial" w:hAnsi="Arial" w:cs="Arial"/>
                <w:sz w:val="24"/>
                <w:szCs w:val="24"/>
              </w:rPr>
            </w:pPr>
            <w:r w:rsidRPr="00617F12">
              <w:rPr>
                <w:rFonts w:ascii="Arial" w:hAnsi="Arial" w:cs="Arial"/>
                <w:sz w:val="24"/>
                <w:szCs w:val="24"/>
              </w:rPr>
              <w:t>That the Joint Audit Committee (JAC):</w:t>
            </w:r>
          </w:p>
          <w:p w14:paraId="7F66B67C" w14:textId="77777777" w:rsidR="001203B6" w:rsidRPr="00617F12" w:rsidRDefault="001203B6" w:rsidP="001203B6">
            <w:pPr>
              <w:numPr>
                <w:ilvl w:val="0"/>
                <w:numId w:val="4"/>
              </w:numPr>
              <w:spacing w:after="0"/>
              <w:ind w:left="318" w:hanging="284"/>
              <w:jc w:val="both"/>
              <w:rPr>
                <w:rFonts w:ascii="Arial" w:hAnsi="Arial" w:cs="Arial"/>
                <w:sz w:val="24"/>
                <w:szCs w:val="24"/>
              </w:rPr>
            </w:pPr>
            <w:r w:rsidRPr="00617F12">
              <w:rPr>
                <w:rFonts w:ascii="Arial" w:hAnsi="Arial" w:cs="Arial"/>
                <w:sz w:val="24"/>
                <w:szCs w:val="24"/>
              </w:rPr>
              <w:t>Considers and recommends approval of the proposed amendments to the Manual of Corporate Governance (</w:t>
            </w:r>
            <w:proofErr w:type="spellStart"/>
            <w:r w:rsidRPr="00617F12">
              <w:rPr>
                <w:rFonts w:ascii="Arial" w:hAnsi="Arial" w:cs="Arial"/>
                <w:sz w:val="24"/>
                <w:szCs w:val="24"/>
              </w:rPr>
              <w:t>MoCG</w:t>
            </w:r>
            <w:proofErr w:type="spellEnd"/>
            <w:r w:rsidRPr="00617F12">
              <w:rPr>
                <w:rFonts w:ascii="Arial" w:hAnsi="Arial" w:cs="Arial"/>
                <w:sz w:val="24"/>
                <w:szCs w:val="24"/>
              </w:rPr>
              <w:t>) and provides any comments as appropriate (appendix 1)</w:t>
            </w:r>
            <w:r>
              <w:rPr>
                <w:rFonts w:ascii="Arial" w:hAnsi="Arial" w:cs="Arial"/>
                <w:sz w:val="24"/>
                <w:szCs w:val="24"/>
              </w:rPr>
              <w:t>; and</w:t>
            </w:r>
          </w:p>
          <w:p w14:paraId="2273B559" w14:textId="404F2439" w:rsidR="001203B6" w:rsidRDefault="00FF7EF9" w:rsidP="001203B6">
            <w:pPr>
              <w:numPr>
                <w:ilvl w:val="0"/>
                <w:numId w:val="4"/>
              </w:numPr>
              <w:spacing w:after="0"/>
              <w:ind w:left="318" w:hanging="284"/>
              <w:jc w:val="both"/>
              <w:rPr>
                <w:rFonts w:ascii="Arial" w:hAnsi="Arial" w:cs="Arial"/>
                <w:sz w:val="24"/>
                <w:szCs w:val="24"/>
              </w:rPr>
            </w:pPr>
            <w:r>
              <w:rPr>
                <w:rFonts w:ascii="Arial" w:hAnsi="Arial" w:cs="Arial"/>
                <w:sz w:val="24"/>
                <w:szCs w:val="24"/>
              </w:rPr>
              <w:t xml:space="preserve">Note the postponement </w:t>
            </w:r>
            <w:r w:rsidR="001203B6">
              <w:rPr>
                <w:rFonts w:ascii="Arial" w:hAnsi="Arial" w:cs="Arial"/>
                <w:sz w:val="24"/>
                <w:szCs w:val="24"/>
              </w:rPr>
              <w:t>to the</w:t>
            </w:r>
            <w:r>
              <w:rPr>
                <w:rFonts w:ascii="Arial" w:hAnsi="Arial" w:cs="Arial"/>
                <w:sz w:val="24"/>
                <w:szCs w:val="24"/>
              </w:rPr>
              <w:t xml:space="preserve"> review of the</w:t>
            </w:r>
            <w:r w:rsidR="001203B6">
              <w:rPr>
                <w:rFonts w:ascii="Arial" w:hAnsi="Arial" w:cs="Arial"/>
                <w:sz w:val="24"/>
                <w:szCs w:val="24"/>
              </w:rPr>
              <w:t xml:space="preserve"> JAC </w:t>
            </w:r>
            <w:r w:rsidR="00096609">
              <w:rPr>
                <w:rFonts w:ascii="Arial" w:hAnsi="Arial" w:cs="Arial"/>
                <w:sz w:val="24"/>
                <w:szCs w:val="24"/>
              </w:rPr>
              <w:t>T</w:t>
            </w:r>
            <w:r w:rsidR="001203B6">
              <w:rPr>
                <w:rFonts w:ascii="Arial" w:hAnsi="Arial" w:cs="Arial"/>
                <w:sz w:val="24"/>
                <w:szCs w:val="24"/>
              </w:rPr>
              <w:t xml:space="preserve">erms of </w:t>
            </w:r>
            <w:r w:rsidR="00096609">
              <w:rPr>
                <w:rFonts w:ascii="Arial" w:hAnsi="Arial" w:cs="Arial"/>
                <w:sz w:val="24"/>
                <w:szCs w:val="24"/>
              </w:rPr>
              <w:t>R</w:t>
            </w:r>
            <w:r w:rsidR="001203B6">
              <w:rPr>
                <w:rFonts w:ascii="Arial" w:hAnsi="Arial" w:cs="Arial"/>
                <w:sz w:val="24"/>
                <w:szCs w:val="24"/>
              </w:rPr>
              <w:t>eference</w:t>
            </w:r>
            <w:r w:rsidR="00096609">
              <w:rPr>
                <w:rFonts w:ascii="Arial" w:hAnsi="Arial" w:cs="Arial"/>
                <w:sz w:val="24"/>
                <w:szCs w:val="24"/>
              </w:rPr>
              <w:t xml:space="preserve"> (</w:t>
            </w:r>
            <w:proofErr w:type="spellStart"/>
            <w:r w:rsidR="00096609">
              <w:rPr>
                <w:rFonts w:ascii="Arial" w:hAnsi="Arial" w:cs="Arial"/>
                <w:sz w:val="24"/>
                <w:szCs w:val="24"/>
              </w:rPr>
              <w:t>ToR</w:t>
            </w:r>
            <w:proofErr w:type="spellEnd"/>
            <w:r w:rsidR="00096609">
              <w:rPr>
                <w:rFonts w:ascii="Arial" w:hAnsi="Arial" w:cs="Arial"/>
                <w:sz w:val="24"/>
                <w:szCs w:val="24"/>
              </w:rPr>
              <w:t>)</w:t>
            </w:r>
            <w:r w:rsidR="0069798B">
              <w:rPr>
                <w:rFonts w:ascii="Arial" w:hAnsi="Arial" w:cs="Arial"/>
                <w:sz w:val="24"/>
                <w:szCs w:val="24"/>
              </w:rPr>
              <w:t>.</w:t>
            </w:r>
          </w:p>
          <w:p w14:paraId="372D8523" w14:textId="402A865C" w:rsidR="00C313F8" w:rsidRDefault="00C313F8" w:rsidP="001203B6">
            <w:pPr>
              <w:numPr>
                <w:ilvl w:val="0"/>
                <w:numId w:val="4"/>
              </w:numPr>
              <w:spacing w:after="0"/>
              <w:ind w:left="318" w:hanging="284"/>
              <w:jc w:val="both"/>
              <w:rPr>
                <w:rFonts w:ascii="Arial" w:hAnsi="Arial" w:cs="Arial"/>
                <w:sz w:val="24"/>
                <w:szCs w:val="24"/>
              </w:rPr>
            </w:pPr>
            <w:r>
              <w:rPr>
                <w:rFonts w:ascii="Arial" w:hAnsi="Arial" w:cs="Arial"/>
                <w:sz w:val="24"/>
                <w:szCs w:val="24"/>
              </w:rPr>
              <w:t>Note the proposed extension to the tenure of the current JAC Chair for a further 1 year.</w:t>
            </w:r>
          </w:p>
          <w:p w14:paraId="3F39C168" w14:textId="77777777" w:rsidR="00046A4F" w:rsidRPr="00A553B7" w:rsidRDefault="00046A4F" w:rsidP="00310A3C">
            <w:pPr>
              <w:spacing w:after="0"/>
              <w:ind w:left="34"/>
              <w:jc w:val="both"/>
              <w:rPr>
                <w:rFonts w:ascii="Arial" w:hAnsi="Arial" w:cs="Arial"/>
                <w:sz w:val="24"/>
                <w:szCs w:val="24"/>
              </w:rPr>
            </w:pPr>
          </w:p>
        </w:tc>
      </w:tr>
      <w:tr w:rsidR="00D26302" w:rsidRPr="00A553B7" w14:paraId="050AA29A" w14:textId="77777777" w:rsidTr="005D4534">
        <w:tc>
          <w:tcPr>
            <w:tcW w:w="748" w:type="dxa"/>
            <w:shd w:val="clear" w:color="auto" w:fill="auto"/>
          </w:tcPr>
          <w:p w14:paraId="74A8B758" w14:textId="77777777" w:rsidR="00D26302" w:rsidRPr="00A553B7" w:rsidRDefault="005C173F" w:rsidP="00055BFA">
            <w:pPr>
              <w:spacing w:after="0"/>
              <w:rPr>
                <w:rFonts w:ascii="Arial" w:hAnsi="Arial" w:cs="Arial"/>
                <w:b/>
                <w:sz w:val="24"/>
                <w:szCs w:val="24"/>
              </w:rPr>
            </w:pPr>
            <w:r w:rsidRPr="00A553B7">
              <w:rPr>
                <w:rFonts w:ascii="Arial" w:hAnsi="Arial" w:cs="Arial"/>
                <w:b/>
                <w:sz w:val="24"/>
                <w:szCs w:val="24"/>
              </w:rPr>
              <w:t>2</w:t>
            </w:r>
            <w:r w:rsidR="00D26302" w:rsidRPr="00A553B7">
              <w:rPr>
                <w:rFonts w:ascii="Arial" w:hAnsi="Arial" w:cs="Arial"/>
                <w:b/>
                <w:sz w:val="24"/>
                <w:szCs w:val="24"/>
              </w:rPr>
              <w:t>.</w:t>
            </w:r>
          </w:p>
        </w:tc>
        <w:tc>
          <w:tcPr>
            <w:tcW w:w="8312" w:type="dxa"/>
            <w:shd w:val="clear" w:color="auto" w:fill="auto"/>
          </w:tcPr>
          <w:p w14:paraId="078E9C30" w14:textId="77777777" w:rsidR="00554912" w:rsidRPr="00A553B7" w:rsidRDefault="00D26302" w:rsidP="007413DB">
            <w:pPr>
              <w:spacing w:after="0"/>
              <w:jc w:val="both"/>
              <w:rPr>
                <w:rFonts w:ascii="Arial" w:hAnsi="Arial" w:cs="Arial"/>
                <w:b/>
                <w:sz w:val="24"/>
                <w:szCs w:val="24"/>
                <w:u w:val="single"/>
              </w:rPr>
            </w:pPr>
            <w:r w:rsidRPr="00A553B7">
              <w:rPr>
                <w:rFonts w:ascii="Arial" w:hAnsi="Arial" w:cs="Arial"/>
                <w:b/>
                <w:sz w:val="24"/>
                <w:szCs w:val="24"/>
                <w:u w:val="single"/>
              </w:rPr>
              <w:t>INTRODUCTION &amp; BACKGROUN</w:t>
            </w:r>
            <w:r w:rsidR="009E19DB" w:rsidRPr="00A553B7">
              <w:rPr>
                <w:rFonts w:ascii="Arial" w:hAnsi="Arial" w:cs="Arial"/>
                <w:b/>
                <w:sz w:val="24"/>
                <w:szCs w:val="24"/>
                <w:u w:val="single"/>
              </w:rPr>
              <w:t>D</w:t>
            </w:r>
          </w:p>
        </w:tc>
      </w:tr>
      <w:tr w:rsidR="007413DB" w:rsidRPr="00A553B7" w14:paraId="30F60FD3" w14:textId="77777777" w:rsidTr="005D4534">
        <w:tc>
          <w:tcPr>
            <w:tcW w:w="748" w:type="dxa"/>
            <w:shd w:val="clear" w:color="auto" w:fill="auto"/>
          </w:tcPr>
          <w:p w14:paraId="32DB7B5A" w14:textId="77777777" w:rsidR="007413DB" w:rsidRDefault="007413DB" w:rsidP="00055BFA">
            <w:pPr>
              <w:spacing w:after="0"/>
              <w:rPr>
                <w:rFonts w:ascii="Arial" w:hAnsi="Arial" w:cs="Arial"/>
                <w:sz w:val="24"/>
                <w:szCs w:val="24"/>
              </w:rPr>
            </w:pPr>
            <w:r w:rsidRPr="00A553B7">
              <w:rPr>
                <w:rFonts w:ascii="Arial" w:hAnsi="Arial" w:cs="Arial"/>
                <w:sz w:val="24"/>
                <w:szCs w:val="24"/>
              </w:rPr>
              <w:t>2.1</w:t>
            </w:r>
          </w:p>
          <w:p w14:paraId="1651D035" w14:textId="77777777" w:rsidR="004C243E" w:rsidRDefault="004C243E" w:rsidP="00055BFA">
            <w:pPr>
              <w:spacing w:after="0"/>
              <w:rPr>
                <w:rFonts w:ascii="Arial" w:hAnsi="Arial" w:cs="Arial"/>
                <w:sz w:val="24"/>
                <w:szCs w:val="24"/>
              </w:rPr>
            </w:pPr>
          </w:p>
          <w:p w14:paraId="20D7E412" w14:textId="77777777" w:rsidR="004C243E" w:rsidRDefault="004C243E" w:rsidP="00055BFA">
            <w:pPr>
              <w:spacing w:after="0"/>
              <w:rPr>
                <w:rFonts w:ascii="Arial" w:hAnsi="Arial" w:cs="Arial"/>
                <w:sz w:val="24"/>
                <w:szCs w:val="24"/>
              </w:rPr>
            </w:pPr>
          </w:p>
          <w:p w14:paraId="04236029" w14:textId="77777777" w:rsidR="004C243E" w:rsidRDefault="004C243E" w:rsidP="00055BFA">
            <w:pPr>
              <w:spacing w:after="0"/>
              <w:rPr>
                <w:rFonts w:ascii="Arial" w:hAnsi="Arial" w:cs="Arial"/>
                <w:sz w:val="24"/>
                <w:szCs w:val="24"/>
              </w:rPr>
            </w:pPr>
          </w:p>
          <w:p w14:paraId="040C942A" w14:textId="247805E4" w:rsidR="004C243E" w:rsidRPr="00A553B7" w:rsidRDefault="004C243E" w:rsidP="00055BFA">
            <w:pPr>
              <w:spacing w:after="0"/>
              <w:rPr>
                <w:rFonts w:ascii="Arial" w:hAnsi="Arial" w:cs="Arial"/>
                <w:sz w:val="24"/>
                <w:szCs w:val="24"/>
              </w:rPr>
            </w:pPr>
          </w:p>
        </w:tc>
        <w:tc>
          <w:tcPr>
            <w:tcW w:w="8312" w:type="dxa"/>
            <w:shd w:val="clear" w:color="auto" w:fill="auto"/>
          </w:tcPr>
          <w:p w14:paraId="719CB4CB" w14:textId="402936F2" w:rsidR="00146C56" w:rsidRDefault="00BF7C99" w:rsidP="003B3A67">
            <w:pPr>
              <w:spacing w:after="0"/>
              <w:jc w:val="both"/>
              <w:rPr>
                <w:rFonts w:ascii="Arial" w:hAnsi="Arial" w:cs="Arial"/>
                <w:sz w:val="24"/>
              </w:rPr>
            </w:pPr>
            <w:r>
              <w:rPr>
                <w:rFonts w:ascii="Arial" w:hAnsi="Arial" w:cs="Arial"/>
                <w:sz w:val="24"/>
              </w:rPr>
              <w:t xml:space="preserve">On </w:t>
            </w:r>
            <w:r w:rsidR="00DC6E87">
              <w:rPr>
                <w:rFonts w:ascii="Arial" w:hAnsi="Arial" w:cs="Arial"/>
                <w:sz w:val="24"/>
              </w:rPr>
              <w:t>23</w:t>
            </w:r>
            <w:r w:rsidR="00DC6E87" w:rsidRPr="00DC6E87">
              <w:rPr>
                <w:rFonts w:ascii="Arial" w:hAnsi="Arial" w:cs="Arial"/>
                <w:sz w:val="24"/>
                <w:vertAlign w:val="superscript"/>
              </w:rPr>
              <w:t>rd</w:t>
            </w:r>
            <w:r w:rsidR="00DC6E87">
              <w:rPr>
                <w:rFonts w:ascii="Arial" w:hAnsi="Arial" w:cs="Arial"/>
                <w:sz w:val="24"/>
              </w:rPr>
              <w:t xml:space="preserve"> December 2022</w:t>
            </w:r>
            <w:r>
              <w:rPr>
                <w:rFonts w:ascii="Arial" w:hAnsi="Arial" w:cs="Arial"/>
                <w:sz w:val="24"/>
              </w:rPr>
              <w:t>, the Head of Assurance and Compliance initi</w:t>
            </w:r>
            <w:r w:rsidR="004B4240">
              <w:rPr>
                <w:rFonts w:ascii="Arial" w:hAnsi="Arial" w:cs="Arial"/>
                <w:sz w:val="24"/>
              </w:rPr>
              <w:t xml:space="preserve">ated the annual review of the </w:t>
            </w:r>
            <w:proofErr w:type="spellStart"/>
            <w:r w:rsidR="004B4240">
              <w:rPr>
                <w:rFonts w:ascii="Arial" w:hAnsi="Arial" w:cs="Arial"/>
                <w:sz w:val="24"/>
              </w:rPr>
              <w:t>MoCG</w:t>
            </w:r>
            <w:proofErr w:type="spellEnd"/>
            <w:r w:rsidR="004B4240">
              <w:rPr>
                <w:rFonts w:ascii="Arial" w:hAnsi="Arial" w:cs="Arial"/>
                <w:sz w:val="24"/>
              </w:rPr>
              <w:t xml:space="preserve"> via email.  Relevant staff and officers were</w:t>
            </w:r>
            <w:r w:rsidR="00C325A3">
              <w:rPr>
                <w:rFonts w:ascii="Arial" w:hAnsi="Arial" w:cs="Arial"/>
                <w:sz w:val="24"/>
              </w:rPr>
              <w:t xml:space="preserve"> asked to review sections of the document and feed any proposed changes back to the Office of the Police and Crime Commissioner (OPCC).</w:t>
            </w:r>
            <w:r w:rsidR="00146C56">
              <w:rPr>
                <w:rFonts w:ascii="Arial" w:hAnsi="Arial" w:cs="Arial"/>
                <w:sz w:val="24"/>
              </w:rPr>
              <w:t xml:space="preserve"> </w:t>
            </w:r>
          </w:p>
          <w:p w14:paraId="27F9B088" w14:textId="77777777" w:rsidR="00617F12" w:rsidRPr="00A553B7" w:rsidRDefault="00617F12" w:rsidP="00DC6E87">
            <w:pPr>
              <w:spacing w:after="0"/>
              <w:jc w:val="both"/>
              <w:rPr>
                <w:rFonts w:ascii="Arial" w:hAnsi="Arial" w:cs="Arial"/>
                <w:sz w:val="24"/>
                <w:szCs w:val="24"/>
              </w:rPr>
            </w:pPr>
          </w:p>
        </w:tc>
      </w:tr>
      <w:tr w:rsidR="00D26302" w:rsidRPr="00A553B7" w14:paraId="7E97A1B1" w14:textId="77777777" w:rsidTr="005D4534">
        <w:tc>
          <w:tcPr>
            <w:tcW w:w="748" w:type="dxa"/>
            <w:shd w:val="clear" w:color="auto" w:fill="auto"/>
          </w:tcPr>
          <w:p w14:paraId="6AC9D0E4" w14:textId="77777777" w:rsidR="00D26302" w:rsidRPr="00A553B7" w:rsidRDefault="005C173F" w:rsidP="00055BFA">
            <w:pPr>
              <w:spacing w:after="0"/>
              <w:rPr>
                <w:rFonts w:ascii="Arial" w:hAnsi="Arial" w:cs="Arial"/>
                <w:b/>
                <w:sz w:val="24"/>
                <w:szCs w:val="24"/>
              </w:rPr>
            </w:pPr>
            <w:r w:rsidRPr="00A553B7">
              <w:rPr>
                <w:rFonts w:ascii="Arial" w:hAnsi="Arial" w:cs="Arial"/>
                <w:b/>
                <w:sz w:val="24"/>
                <w:szCs w:val="24"/>
              </w:rPr>
              <w:t>3</w:t>
            </w:r>
            <w:r w:rsidR="00D26302" w:rsidRPr="00A553B7">
              <w:rPr>
                <w:rFonts w:ascii="Arial" w:hAnsi="Arial" w:cs="Arial"/>
                <w:b/>
                <w:sz w:val="24"/>
                <w:szCs w:val="24"/>
              </w:rPr>
              <w:t>.</w:t>
            </w:r>
          </w:p>
        </w:tc>
        <w:tc>
          <w:tcPr>
            <w:tcW w:w="8312" w:type="dxa"/>
            <w:shd w:val="clear" w:color="auto" w:fill="auto"/>
          </w:tcPr>
          <w:p w14:paraId="5B5FA05B" w14:textId="77777777" w:rsidR="000A369B" w:rsidRPr="00A553B7" w:rsidRDefault="00544418" w:rsidP="007413DB">
            <w:pPr>
              <w:spacing w:after="0"/>
              <w:jc w:val="both"/>
              <w:rPr>
                <w:rFonts w:ascii="Arial" w:hAnsi="Arial" w:cs="Arial"/>
                <w:b/>
                <w:sz w:val="24"/>
                <w:szCs w:val="24"/>
                <w:u w:val="single"/>
              </w:rPr>
            </w:pPr>
            <w:r w:rsidRPr="00A553B7">
              <w:rPr>
                <w:rFonts w:ascii="Arial" w:hAnsi="Arial" w:cs="Arial"/>
                <w:b/>
                <w:sz w:val="24"/>
                <w:szCs w:val="24"/>
                <w:u w:val="single"/>
              </w:rPr>
              <w:t>ISSUES FOR CONSIDERATION</w:t>
            </w:r>
          </w:p>
        </w:tc>
      </w:tr>
      <w:tr w:rsidR="00544418" w:rsidRPr="00A553B7" w14:paraId="116E785B" w14:textId="77777777" w:rsidTr="005D4534">
        <w:tc>
          <w:tcPr>
            <w:tcW w:w="748" w:type="dxa"/>
            <w:shd w:val="clear" w:color="auto" w:fill="auto"/>
          </w:tcPr>
          <w:p w14:paraId="1A22ECF4" w14:textId="77777777" w:rsidR="00544418" w:rsidRPr="00A553B7" w:rsidRDefault="00697411" w:rsidP="00055BFA">
            <w:pPr>
              <w:spacing w:after="0"/>
              <w:rPr>
                <w:rFonts w:ascii="Arial" w:hAnsi="Arial" w:cs="Arial"/>
                <w:sz w:val="24"/>
                <w:szCs w:val="24"/>
              </w:rPr>
            </w:pPr>
            <w:r w:rsidRPr="00A553B7">
              <w:rPr>
                <w:rFonts w:ascii="Arial" w:hAnsi="Arial" w:cs="Arial"/>
                <w:sz w:val="24"/>
                <w:szCs w:val="24"/>
              </w:rPr>
              <w:t>3.1</w:t>
            </w:r>
          </w:p>
        </w:tc>
        <w:tc>
          <w:tcPr>
            <w:tcW w:w="8312" w:type="dxa"/>
            <w:shd w:val="clear" w:color="auto" w:fill="auto"/>
          </w:tcPr>
          <w:p w14:paraId="48E9049D" w14:textId="77777777" w:rsidR="00697411" w:rsidRPr="00A553B7" w:rsidRDefault="00697411" w:rsidP="00697411">
            <w:pPr>
              <w:spacing w:after="0"/>
              <w:jc w:val="both"/>
              <w:rPr>
                <w:rFonts w:ascii="Arial" w:hAnsi="Arial" w:cs="Arial"/>
                <w:b/>
                <w:sz w:val="24"/>
                <w:szCs w:val="24"/>
              </w:rPr>
            </w:pPr>
            <w:r w:rsidRPr="00A553B7">
              <w:rPr>
                <w:rFonts w:ascii="Arial" w:hAnsi="Arial" w:cs="Arial"/>
                <w:b/>
                <w:sz w:val="24"/>
                <w:szCs w:val="24"/>
              </w:rPr>
              <w:t>Amendments to Manual of Corporate Governance</w:t>
            </w:r>
          </w:p>
          <w:p w14:paraId="2E62C8D0" w14:textId="5C9A71F4" w:rsidR="00FB16F4" w:rsidRDefault="00DC266A" w:rsidP="00227BE8">
            <w:pPr>
              <w:spacing w:after="0"/>
              <w:jc w:val="both"/>
              <w:rPr>
                <w:rFonts w:ascii="Arial" w:hAnsi="Arial" w:cs="Arial"/>
                <w:sz w:val="24"/>
                <w:szCs w:val="24"/>
              </w:rPr>
            </w:pPr>
            <w:proofErr w:type="gramStart"/>
            <w:r w:rsidRPr="00A553B7">
              <w:rPr>
                <w:rFonts w:ascii="Arial" w:hAnsi="Arial" w:cs="Arial"/>
                <w:sz w:val="24"/>
                <w:szCs w:val="24"/>
              </w:rPr>
              <w:t>A number of</w:t>
            </w:r>
            <w:proofErr w:type="gramEnd"/>
            <w:r w:rsidRPr="00A553B7">
              <w:rPr>
                <w:rFonts w:ascii="Arial" w:hAnsi="Arial" w:cs="Arial"/>
                <w:sz w:val="24"/>
                <w:szCs w:val="24"/>
              </w:rPr>
              <w:t xml:space="preserve"> changes have been </w:t>
            </w:r>
            <w:r w:rsidRPr="00227BE8">
              <w:rPr>
                <w:rFonts w:ascii="Arial" w:hAnsi="Arial" w:cs="Arial"/>
                <w:sz w:val="24"/>
                <w:szCs w:val="24"/>
              </w:rPr>
              <w:t>identified as a result of the annual review process.  A detailed list of these can be found at appendix 1</w:t>
            </w:r>
            <w:r w:rsidR="00227BE8" w:rsidRPr="00227BE8">
              <w:rPr>
                <w:rFonts w:ascii="Arial" w:hAnsi="Arial" w:cs="Arial"/>
                <w:sz w:val="24"/>
                <w:szCs w:val="24"/>
              </w:rPr>
              <w:t>.</w:t>
            </w:r>
          </w:p>
          <w:p w14:paraId="2C1290A8" w14:textId="5ABA26B6" w:rsidR="00DD2F7A" w:rsidRDefault="00DD2F7A" w:rsidP="00227BE8">
            <w:pPr>
              <w:spacing w:after="0"/>
              <w:jc w:val="both"/>
              <w:rPr>
                <w:rFonts w:ascii="Arial" w:hAnsi="Arial" w:cs="Arial"/>
                <w:sz w:val="24"/>
                <w:szCs w:val="24"/>
              </w:rPr>
            </w:pPr>
          </w:p>
          <w:p w14:paraId="1CD7D74F" w14:textId="77777777" w:rsidR="00DD2F7A" w:rsidRPr="00DD2F7A" w:rsidRDefault="00DD2F7A" w:rsidP="00DD2F7A">
            <w:pPr>
              <w:spacing w:after="0"/>
              <w:jc w:val="both"/>
              <w:rPr>
                <w:rFonts w:ascii="Arial" w:hAnsi="Arial" w:cs="Arial"/>
                <w:b/>
                <w:bCs/>
                <w:sz w:val="24"/>
                <w:szCs w:val="24"/>
              </w:rPr>
            </w:pPr>
            <w:r w:rsidRPr="00DD2F7A">
              <w:rPr>
                <w:rFonts w:ascii="Arial" w:hAnsi="Arial" w:cs="Arial"/>
                <w:b/>
                <w:bCs/>
                <w:sz w:val="24"/>
                <w:szCs w:val="24"/>
              </w:rPr>
              <w:t>Review of Governance Arrangements</w:t>
            </w:r>
          </w:p>
          <w:p w14:paraId="1F6BA567" w14:textId="1C935DC8" w:rsidR="00DD2F7A" w:rsidRDefault="00DD2F7A" w:rsidP="00DD2F7A">
            <w:pPr>
              <w:spacing w:after="0"/>
              <w:jc w:val="both"/>
              <w:rPr>
                <w:rFonts w:ascii="Arial" w:hAnsi="Arial" w:cs="Arial"/>
                <w:sz w:val="24"/>
                <w:szCs w:val="24"/>
              </w:rPr>
            </w:pPr>
            <w:r w:rsidRPr="00DD2F7A">
              <w:rPr>
                <w:rFonts w:ascii="Arial" w:hAnsi="Arial" w:cs="Arial"/>
                <w:sz w:val="24"/>
                <w:szCs w:val="24"/>
              </w:rPr>
              <w:t xml:space="preserve">It must be noted that both the force and OPCC will be undertaking a review of their governance arrangements over the coming months.  As a result, changes will need to be made to </w:t>
            </w:r>
            <w:r w:rsidR="00C313F8">
              <w:rPr>
                <w:rFonts w:ascii="Arial" w:hAnsi="Arial" w:cs="Arial"/>
                <w:sz w:val="24"/>
                <w:szCs w:val="24"/>
              </w:rPr>
              <w:t xml:space="preserve">the </w:t>
            </w:r>
            <w:proofErr w:type="spellStart"/>
            <w:r w:rsidR="00C313F8">
              <w:rPr>
                <w:rFonts w:ascii="Arial" w:hAnsi="Arial" w:cs="Arial"/>
                <w:sz w:val="24"/>
                <w:szCs w:val="24"/>
              </w:rPr>
              <w:t>MoCG</w:t>
            </w:r>
            <w:proofErr w:type="spellEnd"/>
            <w:r w:rsidRPr="00DD2F7A">
              <w:rPr>
                <w:rFonts w:ascii="Arial" w:hAnsi="Arial" w:cs="Arial"/>
                <w:sz w:val="24"/>
                <w:szCs w:val="24"/>
              </w:rPr>
              <w:t xml:space="preserve"> during 2023/2024 to reflect this.  A report highlighting these changes will be presented </w:t>
            </w:r>
            <w:proofErr w:type="gramStart"/>
            <w:r w:rsidRPr="00DD2F7A">
              <w:rPr>
                <w:rFonts w:ascii="Arial" w:hAnsi="Arial" w:cs="Arial"/>
                <w:sz w:val="24"/>
                <w:szCs w:val="24"/>
              </w:rPr>
              <w:t xml:space="preserve">at </w:t>
            </w:r>
            <w:r w:rsidR="00C313F8">
              <w:rPr>
                <w:rFonts w:ascii="Arial" w:hAnsi="Arial" w:cs="Arial"/>
                <w:sz w:val="24"/>
                <w:szCs w:val="24"/>
              </w:rPr>
              <w:t>a later date</w:t>
            </w:r>
            <w:proofErr w:type="gramEnd"/>
            <w:r w:rsidR="00C313F8">
              <w:rPr>
                <w:rFonts w:ascii="Arial" w:hAnsi="Arial" w:cs="Arial"/>
                <w:sz w:val="24"/>
                <w:szCs w:val="24"/>
              </w:rPr>
              <w:t>.</w:t>
            </w:r>
          </w:p>
          <w:p w14:paraId="1EBE9BDF" w14:textId="77777777" w:rsidR="00227BE8" w:rsidRPr="00A553B7" w:rsidRDefault="00227BE8" w:rsidP="00227BE8">
            <w:pPr>
              <w:spacing w:after="0"/>
              <w:jc w:val="both"/>
              <w:rPr>
                <w:rFonts w:ascii="Arial" w:hAnsi="Arial" w:cs="Arial"/>
                <w:sz w:val="24"/>
                <w:szCs w:val="24"/>
              </w:rPr>
            </w:pPr>
          </w:p>
        </w:tc>
      </w:tr>
      <w:tr w:rsidR="00E50FC7" w:rsidRPr="00A553B7" w14:paraId="60133C75" w14:textId="77777777" w:rsidTr="005D4534">
        <w:tc>
          <w:tcPr>
            <w:tcW w:w="748" w:type="dxa"/>
            <w:shd w:val="clear" w:color="auto" w:fill="auto"/>
          </w:tcPr>
          <w:p w14:paraId="5D31CFE5" w14:textId="4C2C59E4" w:rsidR="00E50FC7" w:rsidRPr="00A553B7" w:rsidRDefault="00E50FC7" w:rsidP="00055BFA">
            <w:pPr>
              <w:spacing w:after="0"/>
              <w:rPr>
                <w:rFonts w:ascii="Arial" w:hAnsi="Arial" w:cs="Arial"/>
                <w:sz w:val="24"/>
                <w:szCs w:val="24"/>
              </w:rPr>
            </w:pPr>
            <w:r>
              <w:rPr>
                <w:rFonts w:ascii="Arial" w:hAnsi="Arial" w:cs="Arial"/>
                <w:sz w:val="24"/>
                <w:szCs w:val="24"/>
              </w:rPr>
              <w:t>3.2</w:t>
            </w:r>
          </w:p>
        </w:tc>
        <w:tc>
          <w:tcPr>
            <w:tcW w:w="8312" w:type="dxa"/>
            <w:shd w:val="clear" w:color="auto" w:fill="auto"/>
          </w:tcPr>
          <w:p w14:paraId="2D3CEC0C" w14:textId="77777777" w:rsidR="00096609" w:rsidRPr="00081DD5" w:rsidRDefault="00096609" w:rsidP="00096609">
            <w:pPr>
              <w:spacing w:after="0"/>
              <w:jc w:val="both"/>
              <w:rPr>
                <w:rFonts w:ascii="Arial" w:hAnsi="Arial" w:cs="Arial"/>
                <w:b/>
                <w:sz w:val="24"/>
              </w:rPr>
            </w:pPr>
            <w:r w:rsidRPr="00081DD5">
              <w:rPr>
                <w:rFonts w:ascii="Arial" w:hAnsi="Arial" w:cs="Arial"/>
                <w:b/>
                <w:sz w:val="24"/>
              </w:rPr>
              <w:t xml:space="preserve">Annual Review of JAC Operating Principles and </w:t>
            </w:r>
            <w:proofErr w:type="spellStart"/>
            <w:r w:rsidRPr="00081DD5">
              <w:rPr>
                <w:rFonts w:ascii="Arial" w:hAnsi="Arial" w:cs="Arial"/>
                <w:b/>
                <w:sz w:val="24"/>
              </w:rPr>
              <w:t>ToR</w:t>
            </w:r>
            <w:proofErr w:type="spellEnd"/>
          </w:p>
          <w:p w14:paraId="70642361" w14:textId="77777777" w:rsidR="00C938CA" w:rsidRDefault="00096609" w:rsidP="00096609">
            <w:pPr>
              <w:spacing w:after="0"/>
              <w:jc w:val="both"/>
              <w:rPr>
                <w:rFonts w:ascii="Arial" w:hAnsi="Arial" w:cs="Arial"/>
                <w:sz w:val="24"/>
              </w:rPr>
            </w:pPr>
            <w:r w:rsidRPr="00081DD5">
              <w:rPr>
                <w:rFonts w:ascii="Arial" w:hAnsi="Arial" w:cs="Arial"/>
                <w:sz w:val="24"/>
              </w:rPr>
              <w:t xml:space="preserve">This report also covers the requirement for the JAC to annually review their Operating Principles and </w:t>
            </w:r>
            <w:proofErr w:type="spellStart"/>
            <w:r w:rsidRPr="00081DD5">
              <w:rPr>
                <w:rFonts w:ascii="Arial" w:hAnsi="Arial" w:cs="Arial"/>
                <w:sz w:val="24"/>
              </w:rPr>
              <w:t>ToR</w:t>
            </w:r>
            <w:proofErr w:type="spellEnd"/>
            <w:r w:rsidRPr="00081DD5">
              <w:rPr>
                <w:rFonts w:ascii="Arial" w:hAnsi="Arial" w:cs="Arial"/>
                <w:sz w:val="24"/>
              </w:rPr>
              <w:t>.</w:t>
            </w:r>
          </w:p>
          <w:p w14:paraId="2F9712C4" w14:textId="77777777" w:rsidR="00C938CA" w:rsidRDefault="00C938CA" w:rsidP="00096609">
            <w:pPr>
              <w:spacing w:after="0"/>
              <w:jc w:val="both"/>
              <w:rPr>
                <w:rFonts w:ascii="Arial" w:hAnsi="Arial" w:cs="Arial"/>
                <w:sz w:val="24"/>
              </w:rPr>
            </w:pPr>
          </w:p>
          <w:p w14:paraId="15385CA8" w14:textId="2D70195B" w:rsidR="00096609" w:rsidRDefault="00C938CA" w:rsidP="00096609">
            <w:pPr>
              <w:spacing w:after="0"/>
              <w:jc w:val="both"/>
              <w:rPr>
                <w:rFonts w:ascii="Arial" w:hAnsi="Arial" w:cs="Arial"/>
                <w:sz w:val="24"/>
              </w:rPr>
            </w:pPr>
            <w:r>
              <w:rPr>
                <w:rFonts w:ascii="Arial" w:hAnsi="Arial" w:cs="Arial"/>
                <w:sz w:val="24"/>
              </w:rPr>
              <w:t>In November 2022, CIPFA published updated guidance for Police Audit Committees.  Joint Legal Services have undertaken a</w:t>
            </w:r>
            <w:r w:rsidR="00811F01">
              <w:rPr>
                <w:rFonts w:ascii="Arial" w:hAnsi="Arial" w:cs="Arial"/>
                <w:sz w:val="24"/>
              </w:rPr>
              <w:t>n</w:t>
            </w:r>
            <w:r>
              <w:rPr>
                <w:rFonts w:ascii="Arial" w:hAnsi="Arial" w:cs="Arial"/>
                <w:sz w:val="24"/>
              </w:rPr>
              <w:t xml:space="preserve"> </w:t>
            </w:r>
            <w:r w:rsidR="00811F01">
              <w:rPr>
                <w:rFonts w:ascii="Arial" w:hAnsi="Arial" w:cs="Arial"/>
                <w:sz w:val="24"/>
              </w:rPr>
              <w:t>evaluation</w:t>
            </w:r>
            <w:r>
              <w:rPr>
                <w:rFonts w:ascii="Arial" w:hAnsi="Arial" w:cs="Arial"/>
                <w:sz w:val="24"/>
              </w:rPr>
              <w:t xml:space="preserve"> of this </w:t>
            </w:r>
            <w:r>
              <w:rPr>
                <w:rFonts w:ascii="Arial" w:hAnsi="Arial" w:cs="Arial"/>
                <w:sz w:val="24"/>
              </w:rPr>
              <w:lastRenderedPageBreak/>
              <w:t xml:space="preserve">guidance and have </w:t>
            </w:r>
            <w:r w:rsidR="00CE5B67">
              <w:rPr>
                <w:rFonts w:ascii="Arial" w:hAnsi="Arial" w:cs="Arial"/>
                <w:sz w:val="24"/>
              </w:rPr>
              <w:t xml:space="preserve">mapped the </w:t>
            </w:r>
            <w:r>
              <w:rPr>
                <w:rFonts w:ascii="Arial" w:hAnsi="Arial" w:cs="Arial"/>
                <w:sz w:val="24"/>
              </w:rPr>
              <w:t xml:space="preserve">suggested </w:t>
            </w:r>
            <w:r w:rsidR="00CE5B67">
              <w:rPr>
                <w:rFonts w:ascii="Arial" w:hAnsi="Arial" w:cs="Arial"/>
                <w:sz w:val="24"/>
              </w:rPr>
              <w:t xml:space="preserve">changes on </w:t>
            </w:r>
            <w:r>
              <w:rPr>
                <w:rFonts w:ascii="Arial" w:hAnsi="Arial" w:cs="Arial"/>
                <w:sz w:val="24"/>
              </w:rPr>
              <w:t xml:space="preserve">to the </w:t>
            </w:r>
            <w:r w:rsidR="00CE5B67">
              <w:rPr>
                <w:rFonts w:ascii="Arial" w:hAnsi="Arial" w:cs="Arial"/>
                <w:sz w:val="24"/>
              </w:rPr>
              <w:t xml:space="preserve">existing </w:t>
            </w:r>
            <w:proofErr w:type="spellStart"/>
            <w:r>
              <w:rPr>
                <w:rFonts w:ascii="Arial" w:hAnsi="Arial" w:cs="Arial"/>
                <w:sz w:val="24"/>
              </w:rPr>
              <w:t>T</w:t>
            </w:r>
            <w:r w:rsidR="00FF7EF9">
              <w:rPr>
                <w:rFonts w:ascii="Arial" w:hAnsi="Arial" w:cs="Arial"/>
                <w:sz w:val="24"/>
              </w:rPr>
              <w:t>oRs</w:t>
            </w:r>
            <w:proofErr w:type="spellEnd"/>
            <w:r>
              <w:rPr>
                <w:rFonts w:ascii="Arial" w:hAnsi="Arial" w:cs="Arial"/>
                <w:sz w:val="24"/>
              </w:rPr>
              <w:t>.</w:t>
            </w:r>
            <w:r w:rsidR="00CE5B67">
              <w:rPr>
                <w:rFonts w:ascii="Arial" w:hAnsi="Arial" w:cs="Arial"/>
                <w:sz w:val="24"/>
              </w:rPr>
              <w:t xml:space="preserve">  An initial review of these changes raises some concern that the role of the JAC would be curtailed.  As such it is proposed that a further discussion on the changes takes place at </w:t>
            </w:r>
            <w:proofErr w:type="gramStart"/>
            <w:r w:rsidR="00CE5B67">
              <w:rPr>
                <w:rFonts w:ascii="Arial" w:hAnsi="Arial" w:cs="Arial"/>
                <w:sz w:val="24"/>
              </w:rPr>
              <w:t>the all</w:t>
            </w:r>
            <w:proofErr w:type="gramEnd"/>
            <w:r w:rsidR="00CE5B67">
              <w:rPr>
                <w:rFonts w:ascii="Arial" w:hAnsi="Arial" w:cs="Arial"/>
                <w:sz w:val="24"/>
              </w:rPr>
              <w:t xml:space="preserve"> Wales</w:t>
            </w:r>
            <w:r w:rsidR="00811F01">
              <w:rPr>
                <w:rFonts w:ascii="Arial" w:hAnsi="Arial" w:cs="Arial"/>
                <w:sz w:val="24"/>
              </w:rPr>
              <w:t xml:space="preserve"> JAC</w:t>
            </w:r>
            <w:r w:rsidR="00CE5B67">
              <w:rPr>
                <w:rFonts w:ascii="Arial" w:hAnsi="Arial" w:cs="Arial"/>
                <w:sz w:val="24"/>
              </w:rPr>
              <w:t xml:space="preserve"> training day in April 2023.  The </w:t>
            </w:r>
            <w:proofErr w:type="spellStart"/>
            <w:r w:rsidR="00CE5B67">
              <w:rPr>
                <w:rFonts w:ascii="Arial" w:hAnsi="Arial" w:cs="Arial"/>
                <w:sz w:val="24"/>
              </w:rPr>
              <w:t>HoAC</w:t>
            </w:r>
            <w:proofErr w:type="spellEnd"/>
            <w:r w:rsidR="00CE5B67">
              <w:rPr>
                <w:rFonts w:ascii="Arial" w:hAnsi="Arial" w:cs="Arial"/>
                <w:sz w:val="24"/>
              </w:rPr>
              <w:t xml:space="preserve"> will share the comparison of the </w:t>
            </w:r>
            <w:proofErr w:type="spellStart"/>
            <w:r w:rsidR="00FF7EF9">
              <w:rPr>
                <w:rFonts w:ascii="Arial" w:hAnsi="Arial" w:cs="Arial"/>
                <w:sz w:val="24"/>
              </w:rPr>
              <w:t>ToRs</w:t>
            </w:r>
            <w:proofErr w:type="spellEnd"/>
            <w:r w:rsidR="00CE5B67">
              <w:rPr>
                <w:rFonts w:ascii="Arial" w:hAnsi="Arial" w:cs="Arial"/>
                <w:sz w:val="24"/>
              </w:rPr>
              <w:t xml:space="preserve"> with JAC members outside of this meeting.</w:t>
            </w:r>
            <w:r w:rsidR="00D03475">
              <w:rPr>
                <w:rFonts w:ascii="Arial" w:hAnsi="Arial" w:cs="Arial"/>
                <w:sz w:val="24"/>
              </w:rPr>
              <w:t xml:space="preserve">  It is currently planned that an updated </w:t>
            </w:r>
            <w:proofErr w:type="spellStart"/>
            <w:r w:rsidR="00FF7EF9">
              <w:rPr>
                <w:rFonts w:ascii="Arial" w:hAnsi="Arial" w:cs="Arial"/>
                <w:sz w:val="24"/>
              </w:rPr>
              <w:t>ToR</w:t>
            </w:r>
            <w:proofErr w:type="spellEnd"/>
            <w:r w:rsidR="00D03475">
              <w:rPr>
                <w:rFonts w:ascii="Arial" w:hAnsi="Arial" w:cs="Arial"/>
                <w:sz w:val="24"/>
              </w:rPr>
              <w:t xml:space="preserve"> will be presented to the September meeting.</w:t>
            </w:r>
          </w:p>
          <w:p w14:paraId="34D178F9" w14:textId="77777777" w:rsidR="00D03475" w:rsidRPr="00DC6E87" w:rsidRDefault="00D03475" w:rsidP="00096609">
            <w:pPr>
              <w:spacing w:after="0"/>
              <w:jc w:val="both"/>
              <w:rPr>
                <w:rFonts w:ascii="Arial" w:hAnsi="Arial" w:cs="Arial"/>
                <w:sz w:val="24"/>
                <w:highlight w:val="yellow"/>
              </w:rPr>
            </w:pPr>
          </w:p>
          <w:p w14:paraId="1667E298" w14:textId="152B7C60" w:rsidR="008356D3" w:rsidRDefault="00DD2F7A" w:rsidP="00C938CA">
            <w:pPr>
              <w:spacing w:after="0"/>
              <w:jc w:val="both"/>
              <w:rPr>
                <w:rFonts w:ascii="Arial" w:hAnsi="Arial" w:cs="Arial"/>
                <w:bCs/>
                <w:sz w:val="24"/>
                <w:szCs w:val="24"/>
              </w:rPr>
            </w:pPr>
            <w:r w:rsidRPr="00C313F8">
              <w:rPr>
                <w:rFonts w:ascii="Arial" w:hAnsi="Arial" w:cs="Arial"/>
                <w:bCs/>
                <w:sz w:val="24"/>
                <w:szCs w:val="24"/>
              </w:rPr>
              <w:t xml:space="preserve">It must also be noted that the updated CIPFA guidance made suggested changes to the terms and tenure of the JAC Chair.  After discussions with other Welsh OPCC's </w:t>
            </w:r>
            <w:r w:rsidR="007912A0" w:rsidRPr="00C313F8">
              <w:rPr>
                <w:rFonts w:ascii="Arial" w:hAnsi="Arial" w:cs="Arial"/>
                <w:bCs/>
                <w:sz w:val="24"/>
                <w:szCs w:val="24"/>
              </w:rPr>
              <w:t xml:space="preserve">and </w:t>
            </w:r>
            <w:proofErr w:type="gramStart"/>
            <w:r w:rsidRPr="00C313F8">
              <w:rPr>
                <w:rFonts w:ascii="Arial" w:hAnsi="Arial" w:cs="Arial"/>
                <w:bCs/>
                <w:sz w:val="24"/>
                <w:szCs w:val="24"/>
              </w:rPr>
              <w:t>in light of</w:t>
            </w:r>
            <w:proofErr w:type="gramEnd"/>
            <w:r w:rsidRPr="00C313F8">
              <w:rPr>
                <w:rFonts w:ascii="Arial" w:hAnsi="Arial" w:cs="Arial"/>
                <w:bCs/>
                <w:sz w:val="24"/>
                <w:szCs w:val="24"/>
              </w:rPr>
              <w:t xml:space="preserve"> these proposed changes, we have determined that further discussion</w:t>
            </w:r>
            <w:r w:rsidR="00487A0D" w:rsidRPr="00C313F8">
              <w:rPr>
                <w:rFonts w:ascii="Arial" w:hAnsi="Arial" w:cs="Arial"/>
                <w:bCs/>
                <w:sz w:val="24"/>
                <w:szCs w:val="24"/>
              </w:rPr>
              <w:t>s</w:t>
            </w:r>
            <w:r w:rsidRPr="00C313F8">
              <w:rPr>
                <w:rFonts w:ascii="Arial" w:hAnsi="Arial" w:cs="Arial"/>
                <w:bCs/>
                <w:sz w:val="24"/>
                <w:szCs w:val="24"/>
              </w:rPr>
              <w:t xml:space="preserve"> need to take place internally regarding the </w:t>
            </w:r>
            <w:r w:rsidR="008356D3" w:rsidRPr="00C313F8">
              <w:rPr>
                <w:rFonts w:ascii="Arial" w:hAnsi="Arial" w:cs="Arial"/>
                <w:bCs/>
                <w:sz w:val="24"/>
                <w:szCs w:val="24"/>
              </w:rPr>
              <w:t>appointment, tenure</w:t>
            </w:r>
            <w:r w:rsidRPr="00C313F8">
              <w:rPr>
                <w:rFonts w:ascii="Arial" w:hAnsi="Arial" w:cs="Arial"/>
                <w:bCs/>
                <w:sz w:val="24"/>
                <w:szCs w:val="24"/>
              </w:rPr>
              <w:t xml:space="preserve"> </w:t>
            </w:r>
            <w:r w:rsidR="00487A0D" w:rsidRPr="00C313F8">
              <w:rPr>
                <w:rFonts w:ascii="Arial" w:hAnsi="Arial" w:cs="Arial"/>
                <w:bCs/>
                <w:sz w:val="24"/>
                <w:szCs w:val="24"/>
              </w:rPr>
              <w:t xml:space="preserve">and remuneration </w:t>
            </w:r>
            <w:r w:rsidRPr="00C313F8">
              <w:rPr>
                <w:rFonts w:ascii="Arial" w:hAnsi="Arial" w:cs="Arial"/>
                <w:bCs/>
                <w:sz w:val="24"/>
                <w:szCs w:val="24"/>
              </w:rPr>
              <w:t xml:space="preserve">of the Chair.  These discussions will take place during 2023/24 </w:t>
            </w:r>
            <w:r w:rsidR="007912A0" w:rsidRPr="00C313F8">
              <w:rPr>
                <w:rFonts w:ascii="Arial" w:hAnsi="Arial" w:cs="Arial"/>
                <w:bCs/>
                <w:sz w:val="24"/>
                <w:szCs w:val="24"/>
              </w:rPr>
              <w:t xml:space="preserve">with </w:t>
            </w:r>
            <w:r w:rsidRPr="00C313F8">
              <w:rPr>
                <w:rFonts w:ascii="Arial" w:hAnsi="Arial" w:cs="Arial"/>
                <w:bCs/>
                <w:sz w:val="24"/>
                <w:szCs w:val="24"/>
              </w:rPr>
              <w:t>JAC member</w:t>
            </w:r>
            <w:r w:rsidR="007912A0" w:rsidRPr="00C313F8">
              <w:rPr>
                <w:rFonts w:ascii="Arial" w:hAnsi="Arial" w:cs="Arial"/>
                <w:bCs/>
                <w:sz w:val="24"/>
                <w:szCs w:val="24"/>
              </w:rPr>
              <w:t>s</w:t>
            </w:r>
            <w:r w:rsidRPr="00C313F8">
              <w:rPr>
                <w:rFonts w:ascii="Arial" w:hAnsi="Arial" w:cs="Arial"/>
                <w:bCs/>
                <w:sz w:val="24"/>
                <w:szCs w:val="24"/>
              </w:rPr>
              <w:t xml:space="preserve"> updated accordingly</w:t>
            </w:r>
            <w:r w:rsidR="00C313F8">
              <w:rPr>
                <w:rFonts w:ascii="Arial" w:hAnsi="Arial" w:cs="Arial"/>
                <w:bCs/>
                <w:sz w:val="24"/>
                <w:szCs w:val="24"/>
              </w:rPr>
              <w:t>.  To</w:t>
            </w:r>
            <w:r w:rsidR="008356D3" w:rsidRPr="00C313F8">
              <w:rPr>
                <w:rFonts w:ascii="Arial" w:hAnsi="Arial" w:cs="Arial"/>
                <w:bCs/>
                <w:sz w:val="24"/>
                <w:szCs w:val="24"/>
              </w:rPr>
              <w:t xml:space="preserve"> enable this</w:t>
            </w:r>
            <w:r w:rsidR="00C313F8">
              <w:rPr>
                <w:rFonts w:ascii="Arial" w:hAnsi="Arial" w:cs="Arial"/>
                <w:bCs/>
                <w:sz w:val="24"/>
                <w:szCs w:val="24"/>
              </w:rPr>
              <w:t>,</w:t>
            </w:r>
            <w:r w:rsidR="008356D3" w:rsidRPr="00C313F8">
              <w:rPr>
                <w:rFonts w:ascii="Arial" w:hAnsi="Arial" w:cs="Arial"/>
                <w:bCs/>
                <w:sz w:val="24"/>
                <w:szCs w:val="24"/>
              </w:rPr>
              <w:t xml:space="preserve"> it is recommended that the current JAC chair is extended by 1 year as per the current terms of reference</w:t>
            </w:r>
            <w:r w:rsidRPr="00C313F8">
              <w:rPr>
                <w:rFonts w:ascii="Arial" w:hAnsi="Arial" w:cs="Arial"/>
                <w:bCs/>
                <w:sz w:val="24"/>
                <w:szCs w:val="24"/>
              </w:rPr>
              <w:t>.</w:t>
            </w:r>
          </w:p>
          <w:p w14:paraId="5B016882" w14:textId="04D63386" w:rsidR="00DD2F7A" w:rsidRPr="00A553B7" w:rsidRDefault="00DD2F7A" w:rsidP="0003790A">
            <w:pPr>
              <w:spacing w:after="0"/>
              <w:jc w:val="both"/>
              <w:rPr>
                <w:rFonts w:ascii="Arial" w:hAnsi="Arial" w:cs="Arial"/>
                <w:b/>
                <w:sz w:val="24"/>
                <w:szCs w:val="24"/>
              </w:rPr>
            </w:pPr>
          </w:p>
        </w:tc>
      </w:tr>
      <w:tr w:rsidR="00B913D2" w:rsidRPr="00A553B7" w14:paraId="4D431FD9" w14:textId="77777777" w:rsidTr="005D4534">
        <w:tc>
          <w:tcPr>
            <w:tcW w:w="748" w:type="dxa"/>
            <w:shd w:val="clear" w:color="auto" w:fill="auto"/>
          </w:tcPr>
          <w:p w14:paraId="560BF354" w14:textId="77777777" w:rsidR="00B913D2" w:rsidRPr="00A553B7" w:rsidRDefault="005C173F" w:rsidP="00055BFA">
            <w:pPr>
              <w:spacing w:after="0"/>
              <w:rPr>
                <w:rFonts w:ascii="Arial" w:hAnsi="Arial" w:cs="Arial"/>
                <w:b/>
                <w:sz w:val="24"/>
                <w:szCs w:val="24"/>
              </w:rPr>
            </w:pPr>
            <w:r w:rsidRPr="00A553B7">
              <w:rPr>
                <w:rFonts w:ascii="Arial" w:hAnsi="Arial" w:cs="Arial"/>
                <w:b/>
                <w:sz w:val="24"/>
                <w:szCs w:val="24"/>
              </w:rPr>
              <w:lastRenderedPageBreak/>
              <w:t>4</w:t>
            </w:r>
            <w:r w:rsidR="00B913D2" w:rsidRPr="00A553B7">
              <w:rPr>
                <w:rFonts w:ascii="Arial" w:hAnsi="Arial" w:cs="Arial"/>
                <w:b/>
                <w:sz w:val="24"/>
                <w:szCs w:val="24"/>
              </w:rPr>
              <w:t>.</w:t>
            </w:r>
          </w:p>
          <w:p w14:paraId="2382C72B" w14:textId="77777777" w:rsidR="003B3A67" w:rsidRPr="00A553B7" w:rsidRDefault="003B3A67" w:rsidP="00055BFA">
            <w:pPr>
              <w:spacing w:after="0"/>
              <w:rPr>
                <w:rFonts w:ascii="Arial" w:hAnsi="Arial" w:cs="Arial"/>
                <w:sz w:val="24"/>
                <w:szCs w:val="24"/>
              </w:rPr>
            </w:pPr>
            <w:r w:rsidRPr="00A553B7">
              <w:rPr>
                <w:rFonts w:ascii="Arial" w:hAnsi="Arial" w:cs="Arial"/>
                <w:sz w:val="24"/>
                <w:szCs w:val="24"/>
              </w:rPr>
              <w:t>4.1</w:t>
            </w:r>
          </w:p>
        </w:tc>
        <w:tc>
          <w:tcPr>
            <w:tcW w:w="8312" w:type="dxa"/>
            <w:shd w:val="clear" w:color="auto" w:fill="auto"/>
          </w:tcPr>
          <w:p w14:paraId="6B1F7471" w14:textId="77777777" w:rsidR="00B913D2" w:rsidRPr="00A553B7" w:rsidRDefault="00B913D2" w:rsidP="009E19DB">
            <w:pPr>
              <w:spacing w:after="0"/>
              <w:jc w:val="both"/>
              <w:rPr>
                <w:rFonts w:ascii="Arial" w:hAnsi="Arial" w:cs="Arial"/>
                <w:b/>
                <w:sz w:val="24"/>
                <w:szCs w:val="24"/>
                <w:u w:val="single"/>
              </w:rPr>
            </w:pPr>
            <w:r w:rsidRPr="00A553B7">
              <w:rPr>
                <w:rFonts w:ascii="Arial" w:hAnsi="Arial" w:cs="Arial"/>
                <w:b/>
                <w:sz w:val="24"/>
                <w:szCs w:val="24"/>
                <w:u w:val="single"/>
              </w:rPr>
              <w:t>NEXT STEPS</w:t>
            </w:r>
          </w:p>
          <w:p w14:paraId="1A78BCE1" w14:textId="22B93F3B" w:rsidR="0073403D" w:rsidRPr="00BD1C5B" w:rsidRDefault="0073403D" w:rsidP="0073403D">
            <w:pPr>
              <w:spacing w:after="0"/>
              <w:jc w:val="both"/>
              <w:rPr>
                <w:rFonts w:ascii="Arial" w:hAnsi="Arial" w:cs="Arial"/>
                <w:sz w:val="24"/>
                <w:szCs w:val="24"/>
              </w:rPr>
            </w:pPr>
            <w:r>
              <w:rPr>
                <w:rFonts w:ascii="Arial" w:hAnsi="Arial" w:cs="Arial"/>
                <w:sz w:val="24"/>
                <w:szCs w:val="24"/>
              </w:rPr>
              <w:t>Once</w:t>
            </w:r>
            <w:r w:rsidRPr="00617F12">
              <w:rPr>
                <w:rFonts w:ascii="Arial" w:hAnsi="Arial" w:cs="Arial"/>
                <w:sz w:val="24"/>
                <w:szCs w:val="24"/>
              </w:rPr>
              <w:t xml:space="preserve"> approval has been received from the </w:t>
            </w:r>
            <w:r>
              <w:rPr>
                <w:rFonts w:ascii="Arial" w:hAnsi="Arial" w:cs="Arial"/>
                <w:sz w:val="24"/>
                <w:szCs w:val="24"/>
              </w:rPr>
              <w:t>PCC</w:t>
            </w:r>
            <w:r w:rsidRPr="00617F12">
              <w:rPr>
                <w:rFonts w:ascii="Arial" w:hAnsi="Arial" w:cs="Arial"/>
                <w:sz w:val="24"/>
                <w:szCs w:val="24"/>
              </w:rPr>
              <w:t xml:space="preserve"> and Chief Constable, the</w:t>
            </w:r>
            <w:r>
              <w:rPr>
                <w:rFonts w:ascii="Arial" w:hAnsi="Arial" w:cs="Arial"/>
                <w:sz w:val="24"/>
                <w:szCs w:val="24"/>
              </w:rPr>
              <w:t xml:space="preserve"> </w:t>
            </w:r>
            <w:proofErr w:type="spellStart"/>
            <w:r w:rsidRPr="00617F12">
              <w:rPr>
                <w:rFonts w:ascii="Arial" w:hAnsi="Arial" w:cs="Arial"/>
                <w:sz w:val="24"/>
                <w:szCs w:val="24"/>
              </w:rPr>
              <w:t>MoCG</w:t>
            </w:r>
            <w:proofErr w:type="spellEnd"/>
            <w:r w:rsidRPr="00617F12">
              <w:rPr>
                <w:rFonts w:ascii="Arial" w:hAnsi="Arial" w:cs="Arial"/>
                <w:sz w:val="24"/>
                <w:szCs w:val="24"/>
              </w:rPr>
              <w:t xml:space="preserve"> will be</w:t>
            </w:r>
            <w:r>
              <w:rPr>
                <w:rFonts w:ascii="Arial" w:hAnsi="Arial" w:cs="Arial"/>
                <w:sz w:val="24"/>
                <w:szCs w:val="24"/>
              </w:rPr>
              <w:t xml:space="preserve"> amended in both English and Welsh, circulated to relevant officers and</w:t>
            </w:r>
            <w:r w:rsidRPr="00617F12">
              <w:rPr>
                <w:rFonts w:ascii="Arial" w:hAnsi="Arial" w:cs="Arial"/>
                <w:sz w:val="24"/>
                <w:szCs w:val="24"/>
              </w:rPr>
              <w:t xml:space="preserve"> </w:t>
            </w:r>
            <w:r w:rsidRPr="00BD1C5B">
              <w:rPr>
                <w:rFonts w:ascii="Arial" w:hAnsi="Arial" w:cs="Arial"/>
                <w:sz w:val="24"/>
                <w:szCs w:val="24"/>
              </w:rPr>
              <w:t>published to the OPCC’s website.</w:t>
            </w:r>
          </w:p>
          <w:p w14:paraId="37BB8FED" w14:textId="3715A535" w:rsidR="007912A0" w:rsidRPr="00BD1C5B" w:rsidRDefault="007912A0" w:rsidP="0073403D">
            <w:pPr>
              <w:spacing w:after="0"/>
              <w:jc w:val="both"/>
              <w:rPr>
                <w:rFonts w:ascii="Arial" w:hAnsi="Arial" w:cs="Arial"/>
                <w:sz w:val="24"/>
                <w:szCs w:val="24"/>
              </w:rPr>
            </w:pPr>
          </w:p>
          <w:p w14:paraId="546FBA72" w14:textId="505D51F3" w:rsidR="007912A0" w:rsidRPr="00617F12" w:rsidRDefault="007912A0" w:rsidP="0073403D">
            <w:pPr>
              <w:spacing w:after="0"/>
              <w:jc w:val="both"/>
              <w:rPr>
                <w:rFonts w:ascii="Arial" w:hAnsi="Arial" w:cs="Arial"/>
                <w:sz w:val="24"/>
                <w:szCs w:val="24"/>
              </w:rPr>
            </w:pPr>
            <w:r w:rsidRPr="00BD1C5B">
              <w:rPr>
                <w:rFonts w:ascii="Arial" w:hAnsi="Arial" w:cs="Arial"/>
                <w:sz w:val="24"/>
                <w:szCs w:val="24"/>
              </w:rPr>
              <w:t>Internal meetings will be arranged to discuss the proposed changes to the role of the JAC Chair</w:t>
            </w:r>
            <w:r w:rsidR="00BD1C5B" w:rsidRPr="00BD1C5B">
              <w:rPr>
                <w:rFonts w:ascii="Arial" w:hAnsi="Arial" w:cs="Arial"/>
                <w:sz w:val="24"/>
                <w:szCs w:val="24"/>
              </w:rPr>
              <w:t xml:space="preserve"> and the </w:t>
            </w:r>
            <w:proofErr w:type="spellStart"/>
            <w:r w:rsidR="00BD1C5B" w:rsidRPr="00BD1C5B">
              <w:rPr>
                <w:rFonts w:ascii="Arial" w:hAnsi="Arial" w:cs="Arial"/>
                <w:sz w:val="24"/>
                <w:szCs w:val="24"/>
              </w:rPr>
              <w:t>ToR</w:t>
            </w:r>
            <w:proofErr w:type="spellEnd"/>
            <w:r w:rsidR="00BD1C5B" w:rsidRPr="00BD1C5B">
              <w:rPr>
                <w:rFonts w:ascii="Arial" w:hAnsi="Arial" w:cs="Arial"/>
                <w:sz w:val="24"/>
                <w:szCs w:val="24"/>
              </w:rPr>
              <w:t xml:space="preserve"> amendments.</w:t>
            </w:r>
          </w:p>
          <w:p w14:paraId="42E10329" w14:textId="62379562" w:rsidR="0069798B" w:rsidRPr="00A553B7" w:rsidRDefault="0069798B" w:rsidP="00310A3C">
            <w:pPr>
              <w:spacing w:after="0"/>
              <w:jc w:val="both"/>
              <w:rPr>
                <w:rFonts w:ascii="Arial" w:hAnsi="Arial" w:cs="Arial"/>
                <w:sz w:val="24"/>
                <w:szCs w:val="24"/>
              </w:rPr>
            </w:pPr>
          </w:p>
        </w:tc>
      </w:tr>
      <w:tr w:rsidR="00D26302" w:rsidRPr="00A553B7" w14:paraId="4D8AA122" w14:textId="77777777" w:rsidTr="005D4534">
        <w:tc>
          <w:tcPr>
            <w:tcW w:w="748" w:type="dxa"/>
            <w:shd w:val="clear" w:color="auto" w:fill="auto"/>
          </w:tcPr>
          <w:p w14:paraId="3BA63C75" w14:textId="77777777" w:rsidR="00D26302" w:rsidRDefault="005C173F" w:rsidP="00055BFA">
            <w:pPr>
              <w:spacing w:after="0"/>
              <w:rPr>
                <w:rFonts w:ascii="Arial" w:hAnsi="Arial" w:cs="Arial"/>
                <w:b/>
                <w:sz w:val="24"/>
                <w:szCs w:val="24"/>
              </w:rPr>
            </w:pPr>
            <w:r w:rsidRPr="00A553B7">
              <w:rPr>
                <w:rFonts w:ascii="Arial" w:hAnsi="Arial" w:cs="Arial"/>
                <w:b/>
                <w:sz w:val="24"/>
                <w:szCs w:val="24"/>
              </w:rPr>
              <w:t>5</w:t>
            </w:r>
            <w:r w:rsidR="00F8795E" w:rsidRPr="00A553B7">
              <w:rPr>
                <w:rFonts w:ascii="Arial" w:hAnsi="Arial" w:cs="Arial"/>
                <w:b/>
                <w:sz w:val="24"/>
                <w:szCs w:val="24"/>
              </w:rPr>
              <w:t>.</w:t>
            </w:r>
          </w:p>
          <w:p w14:paraId="736A2A72" w14:textId="77777777" w:rsidR="00796C82" w:rsidRPr="00796C82" w:rsidRDefault="00796C82" w:rsidP="00055BFA">
            <w:pPr>
              <w:spacing w:after="0"/>
              <w:rPr>
                <w:rFonts w:ascii="Arial" w:hAnsi="Arial" w:cs="Arial"/>
                <w:bCs/>
                <w:sz w:val="24"/>
                <w:szCs w:val="24"/>
              </w:rPr>
            </w:pPr>
            <w:r>
              <w:rPr>
                <w:rFonts w:ascii="Arial" w:hAnsi="Arial" w:cs="Arial"/>
                <w:bCs/>
                <w:sz w:val="24"/>
                <w:szCs w:val="24"/>
              </w:rPr>
              <w:t>5.1</w:t>
            </w:r>
          </w:p>
        </w:tc>
        <w:tc>
          <w:tcPr>
            <w:tcW w:w="8312" w:type="dxa"/>
            <w:shd w:val="clear" w:color="auto" w:fill="auto"/>
          </w:tcPr>
          <w:p w14:paraId="4AEB3E5D" w14:textId="77777777" w:rsidR="00D26302" w:rsidRPr="00A553B7" w:rsidRDefault="00F8795E" w:rsidP="00055BFA">
            <w:pPr>
              <w:spacing w:after="0"/>
              <w:rPr>
                <w:rFonts w:ascii="Arial" w:hAnsi="Arial" w:cs="Arial"/>
                <w:b/>
                <w:sz w:val="24"/>
                <w:szCs w:val="24"/>
                <w:u w:val="single"/>
              </w:rPr>
            </w:pPr>
            <w:r w:rsidRPr="00A553B7">
              <w:rPr>
                <w:rFonts w:ascii="Arial" w:hAnsi="Arial" w:cs="Arial"/>
                <w:b/>
                <w:sz w:val="24"/>
                <w:szCs w:val="24"/>
                <w:u w:val="single"/>
              </w:rPr>
              <w:t>FINANCIAL CONSIDERATIONS</w:t>
            </w:r>
          </w:p>
          <w:p w14:paraId="3DC465CE" w14:textId="77777777" w:rsidR="00F8795E" w:rsidRDefault="00B3484A" w:rsidP="00737D64">
            <w:pPr>
              <w:spacing w:after="0"/>
              <w:rPr>
                <w:rFonts w:ascii="Arial" w:hAnsi="Arial" w:cs="Arial"/>
                <w:sz w:val="24"/>
                <w:szCs w:val="24"/>
              </w:rPr>
            </w:pPr>
            <w:r w:rsidRPr="00A553B7">
              <w:rPr>
                <w:rFonts w:ascii="Arial" w:hAnsi="Arial" w:cs="Arial"/>
                <w:sz w:val="24"/>
                <w:szCs w:val="24"/>
              </w:rPr>
              <w:t xml:space="preserve">There are no financial considerations </w:t>
            </w:r>
            <w:proofErr w:type="gramStart"/>
            <w:r w:rsidRPr="00A553B7">
              <w:rPr>
                <w:rFonts w:ascii="Arial" w:hAnsi="Arial" w:cs="Arial"/>
                <w:sz w:val="24"/>
                <w:szCs w:val="24"/>
              </w:rPr>
              <w:t>as a result of</w:t>
            </w:r>
            <w:proofErr w:type="gramEnd"/>
            <w:r w:rsidRPr="00A553B7">
              <w:rPr>
                <w:rFonts w:ascii="Arial" w:hAnsi="Arial" w:cs="Arial"/>
                <w:sz w:val="24"/>
                <w:szCs w:val="24"/>
              </w:rPr>
              <w:t xml:space="preserve"> this report.</w:t>
            </w:r>
          </w:p>
          <w:p w14:paraId="32825884" w14:textId="77777777" w:rsidR="00796C82" w:rsidRPr="00A553B7" w:rsidRDefault="00796C82" w:rsidP="00737D64">
            <w:pPr>
              <w:spacing w:after="0"/>
              <w:rPr>
                <w:rFonts w:ascii="Arial" w:hAnsi="Arial" w:cs="Arial"/>
                <w:sz w:val="24"/>
                <w:szCs w:val="24"/>
              </w:rPr>
            </w:pPr>
          </w:p>
        </w:tc>
      </w:tr>
      <w:tr w:rsidR="00F8795E" w:rsidRPr="00A553B7" w14:paraId="39C2C683" w14:textId="77777777" w:rsidTr="005D4534">
        <w:tc>
          <w:tcPr>
            <w:tcW w:w="748" w:type="dxa"/>
            <w:shd w:val="clear" w:color="auto" w:fill="auto"/>
          </w:tcPr>
          <w:p w14:paraId="5A5485BE" w14:textId="77777777" w:rsidR="00F8795E" w:rsidRDefault="005C173F" w:rsidP="00055BFA">
            <w:pPr>
              <w:spacing w:after="0"/>
              <w:rPr>
                <w:rFonts w:ascii="Arial" w:hAnsi="Arial" w:cs="Arial"/>
                <w:b/>
                <w:sz w:val="24"/>
                <w:szCs w:val="24"/>
              </w:rPr>
            </w:pPr>
            <w:r w:rsidRPr="00A553B7">
              <w:rPr>
                <w:rFonts w:ascii="Arial" w:hAnsi="Arial" w:cs="Arial"/>
                <w:b/>
                <w:sz w:val="24"/>
                <w:szCs w:val="24"/>
              </w:rPr>
              <w:t>6</w:t>
            </w:r>
            <w:r w:rsidR="00F8795E" w:rsidRPr="00A553B7">
              <w:rPr>
                <w:rFonts w:ascii="Arial" w:hAnsi="Arial" w:cs="Arial"/>
                <w:b/>
                <w:sz w:val="24"/>
                <w:szCs w:val="24"/>
              </w:rPr>
              <w:t>.</w:t>
            </w:r>
          </w:p>
          <w:p w14:paraId="779BB58B" w14:textId="77777777" w:rsidR="00796C82" w:rsidRPr="00796C82" w:rsidRDefault="00796C82" w:rsidP="00055BFA">
            <w:pPr>
              <w:spacing w:after="0"/>
              <w:rPr>
                <w:rFonts w:ascii="Arial" w:hAnsi="Arial" w:cs="Arial"/>
                <w:bCs/>
                <w:sz w:val="24"/>
                <w:szCs w:val="24"/>
              </w:rPr>
            </w:pPr>
            <w:r>
              <w:rPr>
                <w:rFonts w:ascii="Arial" w:hAnsi="Arial" w:cs="Arial"/>
                <w:bCs/>
                <w:sz w:val="24"/>
                <w:szCs w:val="24"/>
              </w:rPr>
              <w:t>6.1</w:t>
            </w:r>
          </w:p>
        </w:tc>
        <w:tc>
          <w:tcPr>
            <w:tcW w:w="8312" w:type="dxa"/>
            <w:shd w:val="clear" w:color="auto" w:fill="auto"/>
          </w:tcPr>
          <w:p w14:paraId="2B908870" w14:textId="77777777" w:rsidR="00F8795E" w:rsidRPr="00A553B7" w:rsidRDefault="00F8795E" w:rsidP="00055BFA">
            <w:pPr>
              <w:spacing w:after="0"/>
              <w:rPr>
                <w:rFonts w:ascii="Arial" w:hAnsi="Arial" w:cs="Arial"/>
                <w:b/>
                <w:sz w:val="24"/>
                <w:szCs w:val="24"/>
                <w:u w:val="single"/>
              </w:rPr>
            </w:pPr>
            <w:r w:rsidRPr="00A553B7">
              <w:rPr>
                <w:rFonts w:ascii="Arial" w:hAnsi="Arial" w:cs="Arial"/>
                <w:b/>
                <w:sz w:val="24"/>
                <w:szCs w:val="24"/>
                <w:u w:val="single"/>
              </w:rPr>
              <w:t>PERSO</w:t>
            </w:r>
            <w:r w:rsidR="00A262EF" w:rsidRPr="00A553B7">
              <w:rPr>
                <w:rFonts w:ascii="Arial" w:hAnsi="Arial" w:cs="Arial"/>
                <w:b/>
                <w:sz w:val="24"/>
                <w:szCs w:val="24"/>
                <w:u w:val="single"/>
              </w:rPr>
              <w:t>N</w:t>
            </w:r>
            <w:r w:rsidRPr="00A553B7">
              <w:rPr>
                <w:rFonts w:ascii="Arial" w:hAnsi="Arial" w:cs="Arial"/>
                <w:b/>
                <w:sz w:val="24"/>
                <w:szCs w:val="24"/>
                <w:u w:val="single"/>
              </w:rPr>
              <w:t>N</w:t>
            </w:r>
            <w:r w:rsidR="00A262EF" w:rsidRPr="00A553B7">
              <w:rPr>
                <w:rFonts w:ascii="Arial" w:hAnsi="Arial" w:cs="Arial"/>
                <w:b/>
                <w:sz w:val="24"/>
                <w:szCs w:val="24"/>
                <w:u w:val="single"/>
              </w:rPr>
              <w:t>E</w:t>
            </w:r>
            <w:r w:rsidRPr="00A553B7">
              <w:rPr>
                <w:rFonts w:ascii="Arial" w:hAnsi="Arial" w:cs="Arial"/>
                <w:b/>
                <w:sz w:val="24"/>
                <w:szCs w:val="24"/>
                <w:u w:val="single"/>
              </w:rPr>
              <w:t>L CONSIDERATION</w:t>
            </w:r>
            <w:r w:rsidR="00A262EF" w:rsidRPr="00A553B7">
              <w:rPr>
                <w:rFonts w:ascii="Arial" w:hAnsi="Arial" w:cs="Arial"/>
                <w:b/>
                <w:sz w:val="24"/>
                <w:szCs w:val="24"/>
                <w:u w:val="single"/>
              </w:rPr>
              <w:t>S</w:t>
            </w:r>
          </w:p>
          <w:p w14:paraId="62CEFCBD" w14:textId="5D1B70EF" w:rsidR="005D4534" w:rsidRPr="00A553B7" w:rsidRDefault="00B3484A" w:rsidP="00737D64">
            <w:pPr>
              <w:spacing w:after="0"/>
              <w:rPr>
                <w:rFonts w:ascii="Arial" w:hAnsi="Arial" w:cs="Arial"/>
                <w:b/>
                <w:i/>
                <w:sz w:val="24"/>
                <w:szCs w:val="24"/>
                <w:u w:val="single"/>
              </w:rPr>
            </w:pPr>
            <w:r w:rsidRPr="00A553B7">
              <w:rPr>
                <w:rFonts w:ascii="Arial" w:hAnsi="Arial" w:cs="Arial"/>
                <w:sz w:val="24"/>
                <w:szCs w:val="24"/>
              </w:rPr>
              <w:t xml:space="preserve">There are no personnel considerations </w:t>
            </w:r>
            <w:proofErr w:type="gramStart"/>
            <w:r w:rsidRPr="00A553B7">
              <w:rPr>
                <w:rFonts w:ascii="Arial" w:hAnsi="Arial" w:cs="Arial"/>
                <w:sz w:val="24"/>
                <w:szCs w:val="24"/>
              </w:rPr>
              <w:t>as a result of</w:t>
            </w:r>
            <w:proofErr w:type="gramEnd"/>
            <w:r w:rsidRPr="00A553B7">
              <w:rPr>
                <w:rFonts w:ascii="Arial" w:hAnsi="Arial" w:cs="Arial"/>
                <w:sz w:val="24"/>
                <w:szCs w:val="24"/>
              </w:rPr>
              <w:t xml:space="preserve"> this report.</w:t>
            </w:r>
            <w:r w:rsidR="00737D64" w:rsidRPr="00A553B7">
              <w:rPr>
                <w:rFonts w:ascii="Arial" w:hAnsi="Arial" w:cs="Arial"/>
                <w:sz w:val="24"/>
                <w:szCs w:val="24"/>
              </w:rPr>
              <w:br/>
            </w:r>
          </w:p>
        </w:tc>
      </w:tr>
      <w:tr w:rsidR="00F8795E" w:rsidRPr="00A553B7" w14:paraId="7D36D4A2" w14:textId="77777777" w:rsidTr="005D4534">
        <w:tc>
          <w:tcPr>
            <w:tcW w:w="748" w:type="dxa"/>
            <w:shd w:val="clear" w:color="auto" w:fill="auto"/>
          </w:tcPr>
          <w:p w14:paraId="00465FFE" w14:textId="77777777" w:rsidR="00F8795E" w:rsidRDefault="005C173F" w:rsidP="00055BFA">
            <w:pPr>
              <w:spacing w:after="0"/>
              <w:rPr>
                <w:rFonts w:ascii="Arial" w:hAnsi="Arial" w:cs="Arial"/>
                <w:b/>
                <w:sz w:val="24"/>
                <w:szCs w:val="24"/>
              </w:rPr>
            </w:pPr>
            <w:r w:rsidRPr="00A553B7">
              <w:rPr>
                <w:rFonts w:ascii="Arial" w:hAnsi="Arial" w:cs="Arial"/>
                <w:b/>
                <w:sz w:val="24"/>
                <w:szCs w:val="24"/>
              </w:rPr>
              <w:t>7</w:t>
            </w:r>
            <w:r w:rsidR="00F8795E" w:rsidRPr="00A553B7">
              <w:rPr>
                <w:rFonts w:ascii="Arial" w:hAnsi="Arial" w:cs="Arial"/>
                <w:b/>
                <w:sz w:val="24"/>
                <w:szCs w:val="24"/>
              </w:rPr>
              <w:t>.</w:t>
            </w:r>
          </w:p>
          <w:p w14:paraId="26DD42EE" w14:textId="77777777" w:rsidR="00796C82" w:rsidRPr="00796C82" w:rsidRDefault="00796C82" w:rsidP="00055BFA">
            <w:pPr>
              <w:spacing w:after="0"/>
              <w:rPr>
                <w:rFonts w:ascii="Arial" w:hAnsi="Arial" w:cs="Arial"/>
                <w:bCs/>
                <w:sz w:val="24"/>
                <w:szCs w:val="24"/>
              </w:rPr>
            </w:pPr>
            <w:r>
              <w:rPr>
                <w:rFonts w:ascii="Arial" w:hAnsi="Arial" w:cs="Arial"/>
                <w:bCs/>
                <w:sz w:val="24"/>
                <w:szCs w:val="24"/>
              </w:rPr>
              <w:t>7.1</w:t>
            </w:r>
          </w:p>
        </w:tc>
        <w:tc>
          <w:tcPr>
            <w:tcW w:w="8312" w:type="dxa"/>
            <w:shd w:val="clear" w:color="auto" w:fill="auto"/>
          </w:tcPr>
          <w:p w14:paraId="115D6C06" w14:textId="77777777" w:rsidR="00F8795E" w:rsidRPr="00A553B7" w:rsidRDefault="00F8795E" w:rsidP="00055BFA">
            <w:pPr>
              <w:spacing w:after="0"/>
              <w:rPr>
                <w:rFonts w:ascii="Arial" w:hAnsi="Arial" w:cs="Arial"/>
                <w:b/>
                <w:sz w:val="24"/>
                <w:szCs w:val="24"/>
                <w:u w:val="single"/>
              </w:rPr>
            </w:pPr>
            <w:r w:rsidRPr="00A553B7">
              <w:rPr>
                <w:rFonts w:ascii="Arial" w:hAnsi="Arial" w:cs="Arial"/>
                <w:b/>
                <w:sz w:val="24"/>
                <w:szCs w:val="24"/>
                <w:u w:val="single"/>
              </w:rPr>
              <w:t>LEGAL IMPLICATIONS</w:t>
            </w:r>
          </w:p>
          <w:p w14:paraId="4805CF96" w14:textId="1780D933" w:rsidR="00737D64" w:rsidRDefault="00CC1728" w:rsidP="00737D64">
            <w:pPr>
              <w:spacing w:after="0"/>
              <w:jc w:val="both"/>
              <w:rPr>
                <w:rFonts w:ascii="Arial" w:hAnsi="Arial" w:cs="Arial"/>
                <w:sz w:val="24"/>
                <w:szCs w:val="24"/>
              </w:rPr>
            </w:pPr>
            <w:r w:rsidRPr="00A553B7">
              <w:rPr>
                <w:rFonts w:ascii="Arial" w:hAnsi="Arial" w:cs="Arial"/>
                <w:sz w:val="24"/>
                <w:szCs w:val="24"/>
              </w:rPr>
              <w:t xml:space="preserve">The </w:t>
            </w:r>
            <w:r w:rsidR="00C27AB1">
              <w:rPr>
                <w:rFonts w:ascii="Arial" w:hAnsi="Arial" w:cs="Arial"/>
                <w:sz w:val="24"/>
                <w:szCs w:val="24"/>
              </w:rPr>
              <w:t>J</w:t>
            </w:r>
            <w:r w:rsidR="00301D1F">
              <w:rPr>
                <w:rFonts w:ascii="Arial" w:hAnsi="Arial" w:cs="Arial"/>
                <w:sz w:val="24"/>
                <w:szCs w:val="24"/>
              </w:rPr>
              <w:t xml:space="preserve">oint </w:t>
            </w:r>
            <w:r w:rsidR="00C27AB1">
              <w:rPr>
                <w:rFonts w:ascii="Arial" w:hAnsi="Arial" w:cs="Arial"/>
                <w:sz w:val="24"/>
                <w:szCs w:val="24"/>
              </w:rPr>
              <w:t>L</w:t>
            </w:r>
            <w:r w:rsidR="00301D1F">
              <w:rPr>
                <w:rFonts w:ascii="Arial" w:hAnsi="Arial" w:cs="Arial"/>
                <w:sz w:val="24"/>
                <w:szCs w:val="24"/>
              </w:rPr>
              <w:t xml:space="preserve">egal </w:t>
            </w:r>
            <w:r w:rsidR="00C27AB1">
              <w:rPr>
                <w:rFonts w:ascii="Arial" w:hAnsi="Arial" w:cs="Arial"/>
                <w:sz w:val="24"/>
                <w:szCs w:val="24"/>
              </w:rPr>
              <w:t>S</w:t>
            </w:r>
            <w:r w:rsidR="00301D1F">
              <w:rPr>
                <w:rFonts w:ascii="Arial" w:hAnsi="Arial" w:cs="Arial"/>
                <w:sz w:val="24"/>
                <w:szCs w:val="24"/>
              </w:rPr>
              <w:t>ervices (JLS)</w:t>
            </w:r>
            <w:r w:rsidRPr="00A553B7">
              <w:rPr>
                <w:rFonts w:ascii="Arial" w:hAnsi="Arial" w:cs="Arial"/>
                <w:sz w:val="24"/>
                <w:szCs w:val="24"/>
              </w:rPr>
              <w:t xml:space="preserve"> department h</w:t>
            </w:r>
            <w:r w:rsidR="00E64D38" w:rsidRPr="00A553B7">
              <w:rPr>
                <w:rFonts w:ascii="Arial" w:hAnsi="Arial" w:cs="Arial"/>
                <w:sz w:val="24"/>
                <w:szCs w:val="24"/>
              </w:rPr>
              <w:t>as</w:t>
            </w:r>
            <w:r w:rsidRPr="00A553B7">
              <w:rPr>
                <w:rFonts w:ascii="Arial" w:hAnsi="Arial" w:cs="Arial"/>
                <w:sz w:val="24"/>
                <w:szCs w:val="24"/>
              </w:rPr>
              <w:t xml:space="preserve"> been involved in the review of the </w:t>
            </w:r>
            <w:proofErr w:type="spellStart"/>
            <w:r w:rsidRPr="00A553B7">
              <w:rPr>
                <w:rFonts w:ascii="Arial" w:hAnsi="Arial" w:cs="Arial"/>
                <w:sz w:val="24"/>
                <w:szCs w:val="24"/>
              </w:rPr>
              <w:t>MoCG</w:t>
            </w:r>
            <w:proofErr w:type="spellEnd"/>
            <w:r w:rsidRPr="00A553B7">
              <w:rPr>
                <w:rFonts w:ascii="Arial" w:hAnsi="Arial" w:cs="Arial"/>
                <w:sz w:val="24"/>
                <w:szCs w:val="24"/>
              </w:rPr>
              <w:t>, ensuring that any legal implications that have arisen have been resolved during the review process.</w:t>
            </w:r>
          </w:p>
          <w:p w14:paraId="21F98A2E" w14:textId="77777777" w:rsidR="00FA0F14" w:rsidRPr="00A553B7" w:rsidRDefault="00FA0F14" w:rsidP="00737D64">
            <w:pPr>
              <w:spacing w:after="0"/>
              <w:jc w:val="both"/>
              <w:rPr>
                <w:rFonts w:ascii="Arial" w:hAnsi="Arial" w:cs="Arial"/>
                <w:sz w:val="24"/>
                <w:szCs w:val="24"/>
              </w:rPr>
            </w:pPr>
          </w:p>
        </w:tc>
      </w:tr>
      <w:tr w:rsidR="00F8795E" w:rsidRPr="00A553B7" w14:paraId="652F9B9E" w14:textId="77777777" w:rsidTr="005D4534">
        <w:tc>
          <w:tcPr>
            <w:tcW w:w="748" w:type="dxa"/>
            <w:shd w:val="clear" w:color="auto" w:fill="auto"/>
          </w:tcPr>
          <w:p w14:paraId="3B884775" w14:textId="77777777" w:rsidR="00F8795E" w:rsidRDefault="005C173F" w:rsidP="00055BFA">
            <w:pPr>
              <w:spacing w:after="0"/>
              <w:rPr>
                <w:rFonts w:ascii="Arial" w:hAnsi="Arial" w:cs="Arial"/>
                <w:b/>
                <w:sz w:val="24"/>
                <w:szCs w:val="24"/>
              </w:rPr>
            </w:pPr>
            <w:r w:rsidRPr="00A553B7">
              <w:rPr>
                <w:rFonts w:ascii="Arial" w:hAnsi="Arial" w:cs="Arial"/>
                <w:b/>
                <w:sz w:val="24"/>
                <w:szCs w:val="24"/>
              </w:rPr>
              <w:t>8</w:t>
            </w:r>
            <w:r w:rsidR="00F8795E" w:rsidRPr="00A553B7">
              <w:rPr>
                <w:rFonts w:ascii="Arial" w:hAnsi="Arial" w:cs="Arial"/>
                <w:b/>
                <w:sz w:val="24"/>
                <w:szCs w:val="24"/>
              </w:rPr>
              <w:t>.</w:t>
            </w:r>
          </w:p>
          <w:p w14:paraId="762A300A" w14:textId="77777777" w:rsidR="00796C82" w:rsidRDefault="00796C82" w:rsidP="00055BFA">
            <w:pPr>
              <w:spacing w:after="0"/>
              <w:rPr>
                <w:rFonts w:ascii="Arial" w:hAnsi="Arial" w:cs="Arial"/>
                <w:bCs/>
                <w:sz w:val="24"/>
                <w:szCs w:val="24"/>
              </w:rPr>
            </w:pPr>
            <w:r>
              <w:rPr>
                <w:rFonts w:ascii="Arial" w:hAnsi="Arial" w:cs="Arial"/>
                <w:bCs/>
                <w:sz w:val="24"/>
                <w:szCs w:val="24"/>
              </w:rPr>
              <w:t>8.1</w:t>
            </w:r>
          </w:p>
          <w:p w14:paraId="4B81D5FC" w14:textId="77777777" w:rsidR="00796C82" w:rsidRDefault="00796C82" w:rsidP="00055BFA">
            <w:pPr>
              <w:spacing w:after="0"/>
              <w:rPr>
                <w:rFonts w:ascii="Arial" w:hAnsi="Arial" w:cs="Arial"/>
                <w:bCs/>
                <w:sz w:val="24"/>
                <w:szCs w:val="24"/>
              </w:rPr>
            </w:pPr>
          </w:p>
          <w:p w14:paraId="4EFB032E" w14:textId="77777777" w:rsidR="00796C82" w:rsidRDefault="00796C82" w:rsidP="00055BFA">
            <w:pPr>
              <w:spacing w:after="0"/>
              <w:rPr>
                <w:rFonts w:ascii="Arial" w:hAnsi="Arial" w:cs="Arial"/>
                <w:bCs/>
                <w:sz w:val="24"/>
                <w:szCs w:val="24"/>
              </w:rPr>
            </w:pPr>
          </w:p>
          <w:p w14:paraId="0EB5E55D" w14:textId="77777777" w:rsidR="00796C82" w:rsidRDefault="00796C82" w:rsidP="00055BFA">
            <w:pPr>
              <w:spacing w:after="0"/>
              <w:rPr>
                <w:rFonts w:ascii="Arial" w:hAnsi="Arial" w:cs="Arial"/>
                <w:bCs/>
                <w:sz w:val="24"/>
                <w:szCs w:val="24"/>
              </w:rPr>
            </w:pPr>
          </w:p>
          <w:p w14:paraId="732CD89B" w14:textId="77777777" w:rsidR="00796C82" w:rsidRPr="00796C82" w:rsidRDefault="00796C82" w:rsidP="00055BFA">
            <w:pPr>
              <w:spacing w:after="0"/>
              <w:rPr>
                <w:rFonts w:ascii="Arial" w:hAnsi="Arial" w:cs="Arial"/>
                <w:bCs/>
                <w:sz w:val="24"/>
                <w:szCs w:val="24"/>
              </w:rPr>
            </w:pPr>
            <w:r>
              <w:rPr>
                <w:rFonts w:ascii="Arial" w:hAnsi="Arial" w:cs="Arial"/>
                <w:bCs/>
                <w:sz w:val="24"/>
                <w:szCs w:val="24"/>
              </w:rPr>
              <w:t>8.2</w:t>
            </w:r>
          </w:p>
        </w:tc>
        <w:tc>
          <w:tcPr>
            <w:tcW w:w="8312" w:type="dxa"/>
            <w:shd w:val="clear" w:color="auto" w:fill="auto"/>
          </w:tcPr>
          <w:p w14:paraId="1A7E9883" w14:textId="77777777" w:rsidR="00F8795E" w:rsidRPr="00A553B7" w:rsidRDefault="00BC5418" w:rsidP="00055BFA">
            <w:pPr>
              <w:spacing w:after="0"/>
              <w:rPr>
                <w:rFonts w:ascii="Arial" w:hAnsi="Arial" w:cs="Arial"/>
                <w:b/>
                <w:sz w:val="24"/>
                <w:szCs w:val="24"/>
                <w:u w:val="single"/>
              </w:rPr>
            </w:pPr>
            <w:r w:rsidRPr="00A553B7">
              <w:rPr>
                <w:rFonts w:ascii="Arial" w:hAnsi="Arial" w:cs="Arial"/>
                <w:b/>
                <w:sz w:val="24"/>
                <w:szCs w:val="24"/>
                <w:u w:val="single"/>
              </w:rPr>
              <w:t xml:space="preserve">EQUALITIES AND </w:t>
            </w:r>
            <w:r w:rsidR="00F8795E" w:rsidRPr="00A553B7">
              <w:rPr>
                <w:rFonts w:ascii="Arial" w:hAnsi="Arial" w:cs="Arial"/>
                <w:b/>
                <w:sz w:val="24"/>
                <w:szCs w:val="24"/>
                <w:u w:val="single"/>
              </w:rPr>
              <w:t>HUMAN RIGHTS CONSIDERATIONS</w:t>
            </w:r>
          </w:p>
          <w:p w14:paraId="05ADAA24" w14:textId="77777777" w:rsidR="001F41AD" w:rsidRPr="00A553B7" w:rsidRDefault="001F41AD" w:rsidP="00B3484A">
            <w:pPr>
              <w:spacing w:after="0"/>
              <w:jc w:val="both"/>
              <w:rPr>
                <w:rFonts w:ascii="Arial" w:hAnsi="Arial" w:cs="Arial"/>
                <w:snapToGrid w:val="0"/>
                <w:sz w:val="24"/>
                <w:szCs w:val="24"/>
              </w:rPr>
            </w:pPr>
            <w:r w:rsidRPr="00A553B7">
              <w:rPr>
                <w:rFonts w:ascii="Arial" w:hAnsi="Arial" w:cs="Arial"/>
                <w:snapToGrid w:val="0"/>
                <w:sz w:val="24"/>
                <w:szCs w:val="24"/>
              </w:rPr>
              <w:t xml:space="preserve">This </w:t>
            </w:r>
            <w:r w:rsidR="00B3484A" w:rsidRPr="00A553B7">
              <w:rPr>
                <w:rFonts w:ascii="Arial" w:hAnsi="Arial" w:cs="Arial"/>
                <w:snapToGrid w:val="0"/>
                <w:sz w:val="24"/>
                <w:szCs w:val="24"/>
              </w:rPr>
              <w:t>report</w:t>
            </w:r>
            <w:r w:rsidRPr="00A553B7">
              <w:rPr>
                <w:rFonts w:ascii="Arial" w:hAnsi="Arial" w:cs="Arial"/>
                <w:snapToGrid w:val="0"/>
                <w:sz w:val="24"/>
                <w:szCs w:val="24"/>
              </w:rPr>
              <w:t xml:space="preserve"> has been considered against the general duty to promote equality, as stipulated under the </w:t>
            </w:r>
            <w:r w:rsidR="00950DC7" w:rsidRPr="00A553B7">
              <w:rPr>
                <w:rFonts w:ascii="Arial" w:hAnsi="Arial" w:cs="Arial"/>
                <w:snapToGrid w:val="0"/>
                <w:sz w:val="24"/>
                <w:szCs w:val="24"/>
              </w:rPr>
              <w:t>Strategic Equality Plan</w:t>
            </w:r>
            <w:r w:rsidRPr="00A553B7">
              <w:rPr>
                <w:rFonts w:ascii="Arial" w:hAnsi="Arial" w:cs="Arial"/>
                <w:snapToGrid w:val="0"/>
                <w:sz w:val="24"/>
                <w:szCs w:val="24"/>
              </w:rPr>
              <w:t xml:space="preserve"> and has been assessed not to discriminate against any </w:t>
            </w:r>
            <w:proofErr w:type="gramStart"/>
            <w:r w:rsidRPr="00A553B7">
              <w:rPr>
                <w:rFonts w:ascii="Arial" w:hAnsi="Arial" w:cs="Arial"/>
                <w:snapToGrid w:val="0"/>
                <w:sz w:val="24"/>
                <w:szCs w:val="24"/>
              </w:rPr>
              <w:t>particular group</w:t>
            </w:r>
            <w:proofErr w:type="gramEnd"/>
            <w:r w:rsidRPr="00A553B7">
              <w:rPr>
                <w:rFonts w:ascii="Arial" w:hAnsi="Arial" w:cs="Arial"/>
                <w:snapToGrid w:val="0"/>
                <w:sz w:val="24"/>
                <w:szCs w:val="24"/>
              </w:rPr>
              <w:t xml:space="preserve">. </w:t>
            </w:r>
          </w:p>
          <w:p w14:paraId="7264E4AB" w14:textId="77777777" w:rsidR="00F8795E" w:rsidRPr="00A553B7" w:rsidRDefault="001F41AD" w:rsidP="00B3484A">
            <w:pPr>
              <w:spacing w:after="0"/>
              <w:jc w:val="both"/>
              <w:rPr>
                <w:rFonts w:ascii="Arial" w:hAnsi="Arial" w:cs="Arial"/>
                <w:b/>
                <w:sz w:val="24"/>
                <w:szCs w:val="24"/>
                <w:u w:val="single"/>
              </w:rPr>
            </w:pPr>
            <w:r w:rsidRPr="00A553B7">
              <w:rPr>
                <w:rFonts w:ascii="Arial" w:hAnsi="Arial" w:cs="Arial"/>
                <w:snapToGrid w:val="0"/>
                <w:sz w:val="24"/>
                <w:szCs w:val="24"/>
              </w:rPr>
              <w:t xml:space="preserve"> </w:t>
            </w:r>
          </w:p>
          <w:p w14:paraId="23A559CD" w14:textId="3A714F50" w:rsidR="00737D64" w:rsidRDefault="001F41AD" w:rsidP="00B3484A">
            <w:pPr>
              <w:spacing w:after="0"/>
              <w:jc w:val="both"/>
              <w:rPr>
                <w:rFonts w:ascii="Arial" w:hAnsi="Arial" w:cs="Arial"/>
                <w:bCs/>
                <w:iCs/>
                <w:sz w:val="24"/>
                <w:szCs w:val="24"/>
              </w:rPr>
            </w:pPr>
            <w:r w:rsidRPr="00A553B7">
              <w:rPr>
                <w:rFonts w:ascii="Arial" w:hAnsi="Arial" w:cs="Arial"/>
                <w:bCs/>
                <w:iCs/>
                <w:sz w:val="24"/>
                <w:szCs w:val="24"/>
              </w:rPr>
              <w:t>Consideration has been given to requirements of the Articles contained in the European Convention on Human Rights and the Human Rights Act 1998 in preparing this report.</w:t>
            </w:r>
          </w:p>
          <w:p w14:paraId="27FC8C60" w14:textId="77777777" w:rsidR="00C313F8" w:rsidRPr="00A553B7" w:rsidRDefault="00C313F8" w:rsidP="00B3484A">
            <w:pPr>
              <w:spacing w:after="0"/>
              <w:jc w:val="both"/>
              <w:rPr>
                <w:rFonts w:ascii="Arial" w:hAnsi="Arial" w:cs="Arial"/>
                <w:bCs/>
                <w:iCs/>
                <w:sz w:val="24"/>
                <w:szCs w:val="24"/>
              </w:rPr>
            </w:pPr>
          </w:p>
          <w:p w14:paraId="1972D3AF" w14:textId="77777777" w:rsidR="00F8795E" w:rsidRPr="00A553B7" w:rsidRDefault="00F8795E" w:rsidP="00B3484A">
            <w:pPr>
              <w:spacing w:after="0"/>
              <w:jc w:val="both"/>
              <w:rPr>
                <w:rFonts w:ascii="Arial" w:hAnsi="Arial" w:cs="Arial"/>
                <w:sz w:val="24"/>
                <w:szCs w:val="24"/>
              </w:rPr>
            </w:pPr>
          </w:p>
        </w:tc>
      </w:tr>
      <w:tr w:rsidR="00D22780" w:rsidRPr="00A553B7" w14:paraId="12523D44" w14:textId="77777777" w:rsidTr="005D4534">
        <w:tc>
          <w:tcPr>
            <w:tcW w:w="748" w:type="dxa"/>
            <w:shd w:val="clear" w:color="auto" w:fill="auto"/>
          </w:tcPr>
          <w:p w14:paraId="6E71DB54" w14:textId="77777777" w:rsidR="00D22780" w:rsidRDefault="005C173F" w:rsidP="00055BFA">
            <w:pPr>
              <w:spacing w:after="0"/>
              <w:rPr>
                <w:rFonts w:ascii="Arial" w:hAnsi="Arial" w:cs="Arial"/>
                <w:b/>
                <w:sz w:val="24"/>
                <w:szCs w:val="24"/>
              </w:rPr>
            </w:pPr>
            <w:r w:rsidRPr="00A553B7">
              <w:rPr>
                <w:rFonts w:ascii="Arial" w:hAnsi="Arial" w:cs="Arial"/>
                <w:b/>
                <w:sz w:val="24"/>
                <w:szCs w:val="24"/>
              </w:rPr>
              <w:lastRenderedPageBreak/>
              <w:t>9</w:t>
            </w:r>
            <w:r w:rsidR="00D22780" w:rsidRPr="00A553B7">
              <w:rPr>
                <w:rFonts w:ascii="Arial" w:hAnsi="Arial" w:cs="Arial"/>
                <w:b/>
                <w:sz w:val="24"/>
                <w:szCs w:val="24"/>
              </w:rPr>
              <w:t>.</w:t>
            </w:r>
          </w:p>
          <w:p w14:paraId="20F82B0A" w14:textId="77777777" w:rsidR="00796C82" w:rsidRPr="00796C82" w:rsidRDefault="00796C82" w:rsidP="00055BFA">
            <w:pPr>
              <w:spacing w:after="0"/>
              <w:rPr>
                <w:rFonts w:ascii="Arial" w:hAnsi="Arial" w:cs="Arial"/>
                <w:bCs/>
                <w:sz w:val="24"/>
                <w:szCs w:val="24"/>
              </w:rPr>
            </w:pPr>
            <w:r>
              <w:rPr>
                <w:rFonts w:ascii="Arial" w:hAnsi="Arial" w:cs="Arial"/>
                <w:bCs/>
                <w:sz w:val="24"/>
                <w:szCs w:val="24"/>
              </w:rPr>
              <w:t>9.1</w:t>
            </w:r>
          </w:p>
        </w:tc>
        <w:tc>
          <w:tcPr>
            <w:tcW w:w="8312" w:type="dxa"/>
            <w:shd w:val="clear" w:color="auto" w:fill="auto"/>
          </w:tcPr>
          <w:p w14:paraId="6B97EC7B" w14:textId="77777777" w:rsidR="00D22780" w:rsidRPr="00A553B7" w:rsidRDefault="00D22780" w:rsidP="00055BFA">
            <w:pPr>
              <w:spacing w:after="0"/>
              <w:rPr>
                <w:rFonts w:ascii="Arial" w:hAnsi="Arial" w:cs="Arial"/>
                <w:b/>
                <w:sz w:val="24"/>
                <w:szCs w:val="24"/>
                <w:u w:val="single"/>
              </w:rPr>
            </w:pPr>
            <w:r w:rsidRPr="00A553B7">
              <w:rPr>
                <w:rFonts w:ascii="Arial" w:hAnsi="Arial" w:cs="Arial"/>
                <w:b/>
                <w:sz w:val="24"/>
                <w:szCs w:val="24"/>
                <w:u w:val="single"/>
              </w:rPr>
              <w:t>RISK</w:t>
            </w:r>
          </w:p>
          <w:p w14:paraId="3E582052" w14:textId="77777777" w:rsidR="00737D64" w:rsidRPr="00A553B7" w:rsidRDefault="00CC1728" w:rsidP="00B3484A">
            <w:pPr>
              <w:spacing w:after="0"/>
              <w:jc w:val="both"/>
              <w:rPr>
                <w:rFonts w:ascii="Arial" w:hAnsi="Arial" w:cs="Arial"/>
                <w:sz w:val="24"/>
                <w:szCs w:val="24"/>
              </w:rPr>
            </w:pPr>
            <w:r w:rsidRPr="00A553B7">
              <w:rPr>
                <w:rFonts w:ascii="Arial" w:hAnsi="Arial" w:cs="Arial"/>
                <w:sz w:val="24"/>
                <w:szCs w:val="24"/>
              </w:rPr>
              <w:t xml:space="preserve">Any risks identified </w:t>
            </w:r>
            <w:r w:rsidR="00DF17CD" w:rsidRPr="00A553B7">
              <w:rPr>
                <w:rFonts w:ascii="Arial" w:hAnsi="Arial" w:cs="Arial"/>
                <w:sz w:val="24"/>
                <w:szCs w:val="24"/>
              </w:rPr>
              <w:t xml:space="preserve">during the review of the </w:t>
            </w:r>
            <w:proofErr w:type="spellStart"/>
            <w:r w:rsidR="00DF17CD" w:rsidRPr="00A553B7">
              <w:rPr>
                <w:rFonts w:ascii="Arial" w:hAnsi="Arial" w:cs="Arial"/>
                <w:sz w:val="24"/>
                <w:szCs w:val="24"/>
              </w:rPr>
              <w:t>MoCG</w:t>
            </w:r>
            <w:proofErr w:type="spellEnd"/>
            <w:r w:rsidR="00DF17CD" w:rsidRPr="00A553B7">
              <w:rPr>
                <w:rFonts w:ascii="Arial" w:hAnsi="Arial" w:cs="Arial"/>
                <w:sz w:val="24"/>
                <w:szCs w:val="24"/>
              </w:rPr>
              <w:t xml:space="preserve"> will be</w:t>
            </w:r>
            <w:r w:rsidRPr="00A553B7">
              <w:rPr>
                <w:rFonts w:ascii="Arial" w:hAnsi="Arial" w:cs="Arial"/>
                <w:sz w:val="24"/>
                <w:szCs w:val="24"/>
              </w:rPr>
              <w:t xml:space="preserve"> neg</w:t>
            </w:r>
            <w:r w:rsidR="00024F8F">
              <w:rPr>
                <w:rFonts w:ascii="Arial" w:hAnsi="Arial" w:cs="Arial"/>
                <w:sz w:val="24"/>
                <w:szCs w:val="24"/>
              </w:rPr>
              <w:t>ated by</w:t>
            </w:r>
            <w:r w:rsidR="00DF17CD" w:rsidRPr="00A553B7">
              <w:rPr>
                <w:rFonts w:ascii="Arial" w:hAnsi="Arial" w:cs="Arial"/>
                <w:sz w:val="24"/>
                <w:szCs w:val="24"/>
              </w:rPr>
              <w:t xml:space="preserve"> the approval of the amended document.</w:t>
            </w:r>
          </w:p>
          <w:p w14:paraId="55DCCA85" w14:textId="77777777" w:rsidR="00D22780" w:rsidRPr="00A553B7" w:rsidRDefault="00D22780" w:rsidP="00B3484A">
            <w:pPr>
              <w:spacing w:after="0"/>
              <w:jc w:val="both"/>
              <w:rPr>
                <w:rFonts w:ascii="Arial" w:hAnsi="Arial" w:cs="Arial"/>
                <w:sz w:val="24"/>
                <w:szCs w:val="24"/>
              </w:rPr>
            </w:pPr>
          </w:p>
        </w:tc>
      </w:tr>
      <w:tr w:rsidR="00D22780" w:rsidRPr="00A553B7" w14:paraId="06D3776F" w14:textId="77777777" w:rsidTr="005D4534">
        <w:tc>
          <w:tcPr>
            <w:tcW w:w="748" w:type="dxa"/>
            <w:shd w:val="clear" w:color="auto" w:fill="auto"/>
          </w:tcPr>
          <w:p w14:paraId="78051139" w14:textId="77777777" w:rsidR="00D22780" w:rsidRDefault="00B913D2" w:rsidP="005C173F">
            <w:pPr>
              <w:spacing w:after="0"/>
              <w:rPr>
                <w:rFonts w:ascii="Arial" w:hAnsi="Arial" w:cs="Arial"/>
                <w:b/>
                <w:sz w:val="24"/>
                <w:szCs w:val="24"/>
              </w:rPr>
            </w:pPr>
            <w:r w:rsidRPr="00A553B7">
              <w:rPr>
                <w:rFonts w:ascii="Arial" w:hAnsi="Arial" w:cs="Arial"/>
                <w:b/>
                <w:sz w:val="24"/>
                <w:szCs w:val="24"/>
              </w:rPr>
              <w:t>1</w:t>
            </w:r>
            <w:r w:rsidR="005C173F" w:rsidRPr="00A553B7">
              <w:rPr>
                <w:rFonts w:ascii="Arial" w:hAnsi="Arial" w:cs="Arial"/>
                <w:b/>
                <w:sz w:val="24"/>
                <w:szCs w:val="24"/>
              </w:rPr>
              <w:t>0</w:t>
            </w:r>
            <w:r w:rsidR="00D22780" w:rsidRPr="00A553B7">
              <w:rPr>
                <w:rFonts w:ascii="Arial" w:hAnsi="Arial" w:cs="Arial"/>
                <w:b/>
                <w:sz w:val="24"/>
                <w:szCs w:val="24"/>
              </w:rPr>
              <w:t>.</w:t>
            </w:r>
          </w:p>
          <w:p w14:paraId="7572A865" w14:textId="77777777" w:rsidR="00796C82" w:rsidRPr="00796C82" w:rsidRDefault="00796C82" w:rsidP="005C173F">
            <w:pPr>
              <w:spacing w:after="0"/>
              <w:rPr>
                <w:rFonts w:ascii="Arial" w:hAnsi="Arial" w:cs="Arial"/>
                <w:bCs/>
                <w:sz w:val="24"/>
                <w:szCs w:val="24"/>
              </w:rPr>
            </w:pPr>
            <w:r>
              <w:rPr>
                <w:rFonts w:ascii="Arial" w:hAnsi="Arial" w:cs="Arial"/>
                <w:bCs/>
                <w:sz w:val="24"/>
                <w:szCs w:val="24"/>
              </w:rPr>
              <w:t>10.1</w:t>
            </w:r>
          </w:p>
        </w:tc>
        <w:tc>
          <w:tcPr>
            <w:tcW w:w="8312" w:type="dxa"/>
            <w:shd w:val="clear" w:color="auto" w:fill="auto"/>
          </w:tcPr>
          <w:p w14:paraId="4AB33216" w14:textId="77777777" w:rsidR="00D22780" w:rsidRPr="00A553B7" w:rsidRDefault="00D22780" w:rsidP="00055BFA">
            <w:pPr>
              <w:spacing w:after="0"/>
              <w:rPr>
                <w:rFonts w:ascii="Arial" w:hAnsi="Arial" w:cs="Arial"/>
                <w:b/>
                <w:sz w:val="24"/>
                <w:szCs w:val="24"/>
                <w:u w:val="single"/>
              </w:rPr>
            </w:pPr>
            <w:r w:rsidRPr="00A553B7">
              <w:rPr>
                <w:rFonts w:ascii="Arial" w:hAnsi="Arial" w:cs="Arial"/>
                <w:b/>
                <w:sz w:val="24"/>
                <w:szCs w:val="24"/>
                <w:u w:val="single"/>
              </w:rPr>
              <w:t>PUBLIC INTEREST</w:t>
            </w:r>
          </w:p>
          <w:p w14:paraId="57955886" w14:textId="77777777" w:rsidR="00D22780" w:rsidRDefault="00B3484A" w:rsidP="00055BFA">
            <w:pPr>
              <w:spacing w:after="0"/>
              <w:rPr>
                <w:rFonts w:ascii="Arial" w:hAnsi="Arial" w:cs="Arial"/>
                <w:sz w:val="24"/>
                <w:szCs w:val="24"/>
              </w:rPr>
            </w:pPr>
            <w:r w:rsidRPr="00A553B7">
              <w:rPr>
                <w:rFonts w:ascii="Arial" w:hAnsi="Arial" w:cs="Arial"/>
                <w:sz w:val="24"/>
                <w:szCs w:val="24"/>
              </w:rPr>
              <w:t>This document can be made available to the public.</w:t>
            </w:r>
          </w:p>
          <w:p w14:paraId="1771E10D" w14:textId="77777777" w:rsidR="00604FBA" w:rsidRPr="00A553B7" w:rsidRDefault="00604FBA" w:rsidP="00055BFA">
            <w:pPr>
              <w:spacing w:after="0"/>
              <w:rPr>
                <w:rFonts w:ascii="Arial" w:hAnsi="Arial" w:cs="Arial"/>
                <w:sz w:val="24"/>
                <w:szCs w:val="24"/>
              </w:rPr>
            </w:pPr>
          </w:p>
        </w:tc>
      </w:tr>
      <w:tr w:rsidR="00D22780" w:rsidRPr="00A553B7" w14:paraId="15B339DA" w14:textId="77777777" w:rsidTr="005D4534">
        <w:tc>
          <w:tcPr>
            <w:tcW w:w="748" w:type="dxa"/>
            <w:shd w:val="clear" w:color="auto" w:fill="auto"/>
          </w:tcPr>
          <w:p w14:paraId="79998A47" w14:textId="77777777" w:rsidR="00D22780" w:rsidRDefault="005C173F" w:rsidP="00055BFA">
            <w:pPr>
              <w:spacing w:after="0"/>
              <w:rPr>
                <w:rFonts w:ascii="Arial" w:hAnsi="Arial" w:cs="Arial"/>
                <w:b/>
                <w:sz w:val="24"/>
                <w:szCs w:val="24"/>
              </w:rPr>
            </w:pPr>
            <w:r w:rsidRPr="00A553B7">
              <w:rPr>
                <w:rFonts w:ascii="Arial" w:hAnsi="Arial" w:cs="Arial"/>
                <w:b/>
                <w:sz w:val="24"/>
                <w:szCs w:val="24"/>
              </w:rPr>
              <w:t>11</w:t>
            </w:r>
            <w:r w:rsidR="00D22780" w:rsidRPr="00A553B7">
              <w:rPr>
                <w:rFonts w:ascii="Arial" w:hAnsi="Arial" w:cs="Arial"/>
                <w:b/>
                <w:sz w:val="24"/>
                <w:szCs w:val="24"/>
              </w:rPr>
              <w:t>.</w:t>
            </w:r>
          </w:p>
          <w:p w14:paraId="125AC566" w14:textId="77777777" w:rsidR="00796C82" w:rsidRPr="00796C82" w:rsidRDefault="00796C82" w:rsidP="00055BFA">
            <w:pPr>
              <w:spacing w:after="0"/>
              <w:rPr>
                <w:rFonts w:ascii="Arial" w:hAnsi="Arial" w:cs="Arial"/>
                <w:bCs/>
                <w:sz w:val="24"/>
                <w:szCs w:val="24"/>
              </w:rPr>
            </w:pPr>
            <w:r>
              <w:rPr>
                <w:rFonts w:ascii="Arial" w:hAnsi="Arial" w:cs="Arial"/>
                <w:bCs/>
                <w:sz w:val="24"/>
                <w:szCs w:val="24"/>
              </w:rPr>
              <w:t>11.1</w:t>
            </w:r>
          </w:p>
        </w:tc>
        <w:tc>
          <w:tcPr>
            <w:tcW w:w="8312" w:type="dxa"/>
            <w:shd w:val="clear" w:color="auto" w:fill="auto"/>
          </w:tcPr>
          <w:p w14:paraId="3F539A6B" w14:textId="77777777" w:rsidR="00D22780" w:rsidRPr="00A553B7" w:rsidRDefault="00D22780" w:rsidP="00055BFA">
            <w:pPr>
              <w:spacing w:after="0"/>
              <w:rPr>
                <w:rFonts w:ascii="Arial" w:hAnsi="Arial" w:cs="Arial"/>
                <w:b/>
                <w:sz w:val="24"/>
                <w:szCs w:val="24"/>
                <w:u w:val="single"/>
              </w:rPr>
            </w:pPr>
            <w:r w:rsidRPr="00A553B7">
              <w:rPr>
                <w:rFonts w:ascii="Arial" w:hAnsi="Arial" w:cs="Arial"/>
                <w:b/>
                <w:sz w:val="24"/>
                <w:szCs w:val="24"/>
                <w:u w:val="single"/>
              </w:rPr>
              <w:t>CONTACT OFFICER</w:t>
            </w:r>
          </w:p>
          <w:p w14:paraId="0557D5D7" w14:textId="77777777" w:rsidR="00603F69" w:rsidRPr="00A553B7" w:rsidRDefault="00C27AB1" w:rsidP="00C27AB1">
            <w:pPr>
              <w:spacing w:after="0"/>
              <w:rPr>
                <w:rFonts w:ascii="Arial" w:hAnsi="Arial" w:cs="Arial"/>
                <w:sz w:val="24"/>
                <w:szCs w:val="24"/>
              </w:rPr>
            </w:pPr>
            <w:r>
              <w:rPr>
                <w:rFonts w:ascii="Arial" w:hAnsi="Arial" w:cs="Arial"/>
                <w:sz w:val="24"/>
                <w:szCs w:val="24"/>
              </w:rPr>
              <w:t>Joanne Regan</w:t>
            </w:r>
            <w:r w:rsidR="00953D5F">
              <w:rPr>
                <w:rFonts w:ascii="Arial" w:hAnsi="Arial" w:cs="Arial"/>
                <w:sz w:val="24"/>
                <w:szCs w:val="24"/>
              </w:rPr>
              <w:t xml:space="preserve">, </w:t>
            </w:r>
            <w:r>
              <w:rPr>
                <w:rFonts w:ascii="Arial" w:hAnsi="Arial" w:cs="Arial"/>
                <w:sz w:val="24"/>
                <w:szCs w:val="24"/>
              </w:rPr>
              <w:t>Head of Assurance and Compliance.</w:t>
            </w:r>
            <w:r w:rsidR="00737D64" w:rsidRPr="00A553B7">
              <w:rPr>
                <w:rFonts w:ascii="Arial" w:hAnsi="Arial" w:cs="Arial"/>
                <w:sz w:val="24"/>
                <w:szCs w:val="24"/>
              </w:rPr>
              <w:br/>
            </w:r>
          </w:p>
        </w:tc>
      </w:tr>
      <w:tr w:rsidR="00B45594" w:rsidRPr="00A553B7" w14:paraId="4EFFF056" w14:textId="77777777" w:rsidTr="005D4534">
        <w:tc>
          <w:tcPr>
            <w:tcW w:w="748" w:type="dxa"/>
            <w:shd w:val="clear" w:color="auto" w:fill="auto"/>
          </w:tcPr>
          <w:p w14:paraId="17BF2223" w14:textId="77777777" w:rsidR="00B45594" w:rsidRDefault="005C173F" w:rsidP="00055BFA">
            <w:pPr>
              <w:spacing w:after="0"/>
              <w:rPr>
                <w:rFonts w:ascii="Arial" w:hAnsi="Arial" w:cs="Arial"/>
                <w:b/>
                <w:sz w:val="24"/>
                <w:szCs w:val="24"/>
              </w:rPr>
            </w:pPr>
            <w:r w:rsidRPr="00A553B7">
              <w:rPr>
                <w:rFonts w:ascii="Arial" w:hAnsi="Arial" w:cs="Arial"/>
                <w:b/>
                <w:sz w:val="24"/>
                <w:szCs w:val="24"/>
              </w:rPr>
              <w:t>12</w:t>
            </w:r>
            <w:r w:rsidR="00B45594" w:rsidRPr="00A553B7">
              <w:rPr>
                <w:rFonts w:ascii="Arial" w:hAnsi="Arial" w:cs="Arial"/>
                <w:b/>
                <w:sz w:val="24"/>
                <w:szCs w:val="24"/>
              </w:rPr>
              <w:t>.</w:t>
            </w:r>
          </w:p>
          <w:p w14:paraId="1A8D4633" w14:textId="77777777" w:rsidR="00796C82" w:rsidRPr="00796C82" w:rsidRDefault="00796C82" w:rsidP="00055BFA">
            <w:pPr>
              <w:spacing w:after="0"/>
              <w:rPr>
                <w:rFonts w:ascii="Arial" w:hAnsi="Arial" w:cs="Arial"/>
                <w:bCs/>
                <w:sz w:val="24"/>
                <w:szCs w:val="24"/>
              </w:rPr>
            </w:pPr>
            <w:r>
              <w:rPr>
                <w:rFonts w:ascii="Arial" w:hAnsi="Arial" w:cs="Arial"/>
                <w:bCs/>
                <w:sz w:val="24"/>
                <w:szCs w:val="24"/>
              </w:rPr>
              <w:t>12.1</w:t>
            </w:r>
          </w:p>
        </w:tc>
        <w:tc>
          <w:tcPr>
            <w:tcW w:w="8312" w:type="dxa"/>
            <w:shd w:val="clear" w:color="auto" w:fill="auto"/>
          </w:tcPr>
          <w:p w14:paraId="38CACFD2" w14:textId="77777777" w:rsidR="00B45594" w:rsidRPr="00A553B7" w:rsidRDefault="00B45594" w:rsidP="00055BFA">
            <w:pPr>
              <w:spacing w:after="0"/>
              <w:rPr>
                <w:rFonts w:ascii="Arial" w:hAnsi="Arial" w:cs="Arial"/>
                <w:b/>
                <w:sz w:val="24"/>
                <w:szCs w:val="24"/>
                <w:u w:val="single"/>
              </w:rPr>
            </w:pPr>
            <w:r w:rsidRPr="00A553B7">
              <w:rPr>
                <w:rFonts w:ascii="Arial" w:hAnsi="Arial" w:cs="Arial"/>
                <w:b/>
                <w:sz w:val="24"/>
                <w:szCs w:val="24"/>
                <w:u w:val="single"/>
              </w:rPr>
              <w:t>ANNEXES</w:t>
            </w:r>
          </w:p>
          <w:p w14:paraId="25C5E9D5" w14:textId="0EB4A5E0" w:rsidR="003B3A67" w:rsidRDefault="003B3A67" w:rsidP="00E64D38">
            <w:pPr>
              <w:spacing w:after="0"/>
              <w:rPr>
                <w:rFonts w:ascii="Arial" w:hAnsi="Arial" w:cs="Arial"/>
                <w:sz w:val="24"/>
                <w:szCs w:val="24"/>
              </w:rPr>
            </w:pPr>
            <w:r w:rsidRPr="00A553B7">
              <w:rPr>
                <w:rFonts w:ascii="Arial" w:hAnsi="Arial" w:cs="Arial"/>
                <w:sz w:val="24"/>
                <w:szCs w:val="24"/>
              </w:rPr>
              <w:t xml:space="preserve">Appendix 1 – </w:t>
            </w:r>
            <w:r w:rsidR="009637EF" w:rsidRPr="00A553B7">
              <w:rPr>
                <w:rFonts w:ascii="Arial" w:hAnsi="Arial" w:cs="Arial"/>
                <w:sz w:val="24"/>
                <w:szCs w:val="24"/>
              </w:rPr>
              <w:t xml:space="preserve">Details of proposed changes to the </w:t>
            </w:r>
            <w:proofErr w:type="spellStart"/>
            <w:r w:rsidR="009637EF" w:rsidRPr="00A553B7">
              <w:rPr>
                <w:rFonts w:ascii="Arial" w:hAnsi="Arial" w:cs="Arial"/>
                <w:sz w:val="24"/>
                <w:szCs w:val="24"/>
              </w:rPr>
              <w:t>MoCG</w:t>
            </w:r>
            <w:proofErr w:type="spellEnd"/>
            <w:r w:rsidR="009637EF" w:rsidRPr="00A553B7">
              <w:rPr>
                <w:rFonts w:ascii="Arial" w:hAnsi="Arial" w:cs="Arial"/>
                <w:sz w:val="24"/>
                <w:szCs w:val="24"/>
              </w:rPr>
              <w:t>.</w:t>
            </w:r>
          </w:p>
          <w:p w14:paraId="57937518" w14:textId="00C87890" w:rsidR="00B42BB8" w:rsidRPr="00A553B7" w:rsidRDefault="00B42BB8" w:rsidP="007B5348">
            <w:pPr>
              <w:spacing w:after="0"/>
              <w:rPr>
                <w:rFonts w:ascii="Arial" w:hAnsi="Arial" w:cs="Arial"/>
                <w:sz w:val="24"/>
                <w:szCs w:val="24"/>
              </w:rPr>
            </w:pPr>
          </w:p>
        </w:tc>
      </w:tr>
    </w:tbl>
    <w:p w14:paraId="4BB3EC2F" w14:textId="77777777" w:rsidR="00E3332C" w:rsidRPr="00A553B7" w:rsidRDefault="00E3332C">
      <w:pPr>
        <w:rPr>
          <w:rFonts w:ascii="Arial" w:hAnsi="Arial" w:cs="Arial"/>
          <w:b/>
          <w:sz w:val="24"/>
          <w:szCs w:val="24"/>
        </w:rPr>
        <w:sectPr w:rsidR="00E3332C" w:rsidRPr="00A553B7" w:rsidSect="00E3332C">
          <w:headerReference w:type="even" r:id="rId8"/>
          <w:headerReference w:type="default" r:id="rId9"/>
          <w:footerReference w:type="even" r:id="rId10"/>
          <w:footerReference w:type="default" r:id="rId11"/>
          <w:headerReference w:type="first" r:id="rId12"/>
          <w:footerReference w:type="first" r:id="rId13"/>
          <w:pgSz w:w="11906" w:h="16838" w:code="9"/>
          <w:pgMar w:top="454" w:right="1418" w:bottom="340" w:left="1418" w:header="284" w:footer="0" w:gutter="0"/>
          <w:cols w:space="708"/>
          <w:docGrid w:linePitch="360"/>
        </w:sectPr>
      </w:pPr>
    </w:p>
    <w:p w14:paraId="507891DA" w14:textId="77777777" w:rsidR="00E3332C" w:rsidRPr="00A553B7" w:rsidRDefault="00E3332C">
      <w:pPr>
        <w:rPr>
          <w:rFonts w:ascii="Arial" w:hAnsi="Arial" w:cs="Arial"/>
          <w:b/>
          <w:sz w:val="24"/>
          <w:szCs w:val="24"/>
        </w:rPr>
      </w:pPr>
      <w:r w:rsidRPr="00CE36A0">
        <w:rPr>
          <w:rFonts w:ascii="Arial" w:hAnsi="Arial" w:cs="Arial"/>
          <w:b/>
          <w:sz w:val="24"/>
          <w:szCs w:val="24"/>
        </w:rPr>
        <w:lastRenderedPageBreak/>
        <w:t>Appendix 1</w:t>
      </w:r>
    </w:p>
    <w:p w14:paraId="3C803CAD" w14:textId="77777777" w:rsidR="009637EF" w:rsidRPr="00A553B7" w:rsidRDefault="009637EF" w:rsidP="009637EF">
      <w:pPr>
        <w:rPr>
          <w:rFonts w:ascii="Arial" w:hAnsi="Arial" w:cs="Arial"/>
          <w:b/>
          <w:sz w:val="24"/>
          <w:szCs w:val="24"/>
          <w:u w:val="single"/>
        </w:rPr>
      </w:pPr>
      <w:r w:rsidRPr="00A553B7">
        <w:rPr>
          <w:rFonts w:ascii="Arial" w:hAnsi="Arial" w:cs="Arial"/>
          <w:b/>
          <w:sz w:val="24"/>
          <w:szCs w:val="24"/>
          <w:u w:val="single"/>
        </w:rPr>
        <w:t>Review of the Manual of Corporate Governance</w:t>
      </w:r>
    </w:p>
    <w:p w14:paraId="1EA48294" w14:textId="77777777" w:rsidR="009637EF" w:rsidRPr="00A553B7" w:rsidRDefault="009637EF" w:rsidP="009637EF">
      <w:pPr>
        <w:rPr>
          <w:rFonts w:ascii="Arial" w:hAnsi="Arial" w:cs="Arial"/>
          <w:sz w:val="24"/>
          <w:szCs w:val="24"/>
        </w:rPr>
      </w:pPr>
      <w:r w:rsidRPr="00A553B7">
        <w:rPr>
          <w:rFonts w:ascii="Arial" w:hAnsi="Arial" w:cs="Arial"/>
          <w:sz w:val="24"/>
          <w:szCs w:val="24"/>
        </w:rPr>
        <w:t xml:space="preserve">Below are the key changes that are </w:t>
      </w:r>
      <w:r w:rsidR="00E3332C" w:rsidRPr="00A553B7">
        <w:rPr>
          <w:rFonts w:ascii="Arial" w:hAnsi="Arial" w:cs="Arial"/>
          <w:sz w:val="24"/>
          <w:szCs w:val="24"/>
        </w:rPr>
        <w:t>proposed</w:t>
      </w:r>
      <w:r w:rsidRPr="00A553B7">
        <w:rPr>
          <w:rFonts w:ascii="Arial" w:hAnsi="Arial" w:cs="Arial"/>
          <w:sz w:val="24"/>
          <w:szCs w:val="24"/>
        </w:rPr>
        <w:t xml:space="preserve"> in relation to the annual review of the </w:t>
      </w:r>
      <w:proofErr w:type="spellStart"/>
      <w:r w:rsidRPr="00A553B7">
        <w:rPr>
          <w:rFonts w:ascii="Arial" w:hAnsi="Arial" w:cs="Arial"/>
          <w:sz w:val="24"/>
          <w:szCs w:val="24"/>
        </w:rPr>
        <w:t>MoCG</w:t>
      </w:r>
      <w:proofErr w:type="spellEnd"/>
      <w:r w:rsidRPr="00A553B7">
        <w:rPr>
          <w:rFonts w:ascii="Arial" w:hAnsi="Arial"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3697"/>
      </w:tblGrid>
      <w:tr w:rsidR="00972057" w:rsidRPr="00A553B7" w14:paraId="343CBAB2" w14:textId="77777777" w:rsidTr="00ED0E41">
        <w:tc>
          <w:tcPr>
            <w:tcW w:w="1124" w:type="dxa"/>
            <w:shd w:val="clear" w:color="auto" w:fill="auto"/>
          </w:tcPr>
          <w:p w14:paraId="0033B665" w14:textId="77777777" w:rsidR="00972057" w:rsidRPr="00DC6E87" w:rsidRDefault="00972057" w:rsidP="00AE307F">
            <w:pPr>
              <w:rPr>
                <w:rFonts w:ascii="Arial" w:hAnsi="Arial" w:cs="Arial"/>
                <w:b/>
                <w:sz w:val="24"/>
                <w:szCs w:val="24"/>
              </w:rPr>
            </w:pPr>
            <w:r w:rsidRPr="00DC6E87">
              <w:rPr>
                <w:rFonts w:ascii="Arial" w:hAnsi="Arial" w:cs="Arial"/>
                <w:b/>
                <w:sz w:val="24"/>
                <w:szCs w:val="24"/>
              </w:rPr>
              <w:t>Page Number</w:t>
            </w:r>
          </w:p>
        </w:tc>
        <w:tc>
          <w:tcPr>
            <w:tcW w:w="14910" w:type="dxa"/>
            <w:shd w:val="clear" w:color="auto" w:fill="auto"/>
          </w:tcPr>
          <w:p w14:paraId="5AE8E8ED" w14:textId="77777777" w:rsidR="00972057" w:rsidRPr="00DC6E87" w:rsidRDefault="00972057" w:rsidP="00AE307F">
            <w:pPr>
              <w:rPr>
                <w:rFonts w:ascii="Arial" w:hAnsi="Arial" w:cs="Arial"/>
                <w:b/>
                <w:sz w:val="24"/>
                <w:szCs w:val="24"/>
              </w:rPr>
            </w:pPr>
            <w:r w:rsidRPr="00DC6E87">
              <w:rPr>
                <w:rFonts w:ascii="Arial" w:hAnsi="Arial" w:cs="Arial"/>
                <w:b/>
                <w:sz w:val="24"/>
                <w:szCs w:val="24"/>
              </w:rPr>
              <w:t xml:space="preserve">Proposed Change </w:t>
            </w:r>
          </w:p>
        </w:tc>
      </w:tr>
      <w:tr w:rsidR="00C938CA" w:rsidRPr="00A553B7" w14:paraId="59862C85" w14:textId="77777777" w:rsidTr="00ED0E41">
        <w:tc>
          <w:tcPr>
            <w:tcW w:w="1124" w:type="dxa"/>
            <w:shd w:val="clear" w:color="auto" w:fill="auto"/>
          </w:tcPr>
          <w:p w14:paraId="6DC557FE" w14:textId="4121FD1D" w:rsidR="00C938CA" w:rsidRPr="00131418" w:rsidRDefault="00C938CA" w:rsidP="00C938CA">
            <w:pPr>
              <w:rPr>
                <w:rFonts w:ascii="Arial" w:hAnsi="Arial" w:cs="Arial"/>
                <w:sz w:val="24"/>
                <w:szCs w:val="24"/>
              </w:rPr>
            </w:pPr>
            <w:r w:rsidRPr="00131418">
              <w:rPr>
                <w:rFonts w:ascii="Arial" w:hAnsi="Arial" w:cs="Arial"/>
                <w:sz w:val="24"/>
                <w:szCs w:val="24"/>
              </w:rPr>
              <w:t>8</w:t>
            </w:r>
          </w:p>
        </w:tc>
        <w:tc>
          <w:tcPr>
            <w:tcW w:w="14910" w:type="dxa"/>
            <w:shd w:val="clear" w:color="auto" w:fill="auto"/>
          </w:tcPr>
          <w:p w14:paraId="46CDA029" w14:textId="4FF811B5" w:rsidR="00C938CA" w:rsidRPr="00DC6E87" w:rsidRDefault="00C938CA" w:rsidP="00C938CA">
            <w:pPr>
              <w:spacing w:after="0" w:line="240" w:lineRule="auto"/>
              <w:jc w:val="both"/>
              <w:rPr>
                <w:rFonts w:ascii="Arial" w:hAnsi="Arial" w:cs="Arial"/>
                <w:sz w:val="24"/>
                <w:szCs w:val="24"/>
              </w:rPr>
            </w:pPr>
            <w:r>
              <w:rPr>
                <w:rFonts w:ascii="Arial" w:hAnsi="Arial" w:cs="Arial"/>
                <w:sz w:val="24"/>
                <w:szCs w:val="24"/>
              </w:rPr>
              <w:t>Inclusion of the Deputy Police and Crime Commissioner in the Chief Officer Team for the Commissioner.</w:t>
            </w:r>
          </w:p>
        </w:tc>
      </w:tr>
      <w:tr w:rsidR="00C938CA" w:rsidRPr="00A553B7" w14:paraId="6860E048" w14:textId="77777777" w:rsidTr="00ED0E41">
        <w:tc>
          <w:tcPr>
            <w:tcW w:w="1124" w:type="dxa"/>
            <w:shd w:val="clear" w:color="auto" w:fill="auto"/>
          </w:tcPr>
          <w:p w14:paraId="4B3586E0" w14:textId="7ACC343A" w:rsidR="00C938CA" w:rsidRPr="00131418" w:rsidRDefault="00C938CA" w:rsidP="00C938CA">
            <w:pPr>
              <w:rPr>
                <w:rFonts w:ascii="Arial" w:hAnsi="Arial" w:cs="Arial"/>
                <w:sz w:val="24"/>
                <w:szCs w:val="24"/>
              </w:rPr>
            </w:pPr>
            <w:r w:rsidRPr="00131418">
              <w:rPr>
                <w:rFonts w:ascii="Arial" w:hAnsi="Arial" w:cs="Arial"/>
                <w:sz w:val="24"/>
                <w:szCs w:val="24"/>
              </w:rPr>
              <w:t>13</w:t>
            </w:r>
          </w:p>
        </w:tc>
        <w:tc>
          <w:tcPr>
            <w:tcW w:w="14910" w:type="dxa"/>
            <w:shd w:val="clear" w:color="auto" w:fill="auto"/>
          </w:tcPr>
          <w:p w14:paraId="0B361BDC" w14:textId="77777777" w:rsidR="00C938CA" w:rsidRDefault="00C938CA" w:rsidP="00C938CA">
            <w:pPr>
              <w:spacing w:after="0" w:line="240" w:lineRule="auto"/>
              <w:jc w:val="both"/>
              <w:rPr>
                <w:rFonts w:ascii="Arial" w:eastAsia="Times New Roman" w:hAnsi="Arial" w:cs="Arial"/>
                <w:sz w:val="24"/>
                <w:szCs w:val="24"/>
              </w:rPr>
            </w:pPr>
            <w:r w:rsidRPr="00FC4793">
              <w:rPr>
                <w:rFonts w:ascii="Arial" w:eastAsia="Times New Roman" w:hAnsi="Arial" w:cs="Arial"/>
                <w:sz w:val="24"/>
                <w:szCs w:val="24"/>
              </w:rPr>
              <w:t>The Principal Statutory Framework has been amended to include references to the Police Act 1996 and the Policing and Crime Act 2017.</w:t>
            </w:r>
          </w:p>
          <w:p w14:paraId="5F840FD9" w14:textId="7232355D" w:rsidR="00811F01" w:rsidRPr="00DC6E87" w:rsidRDefault="00811F01" w:rsidP="00C938CA">
            <w:pPr>
              <w:spacing w:after="0" w:line="240" w:lineRule="auto"/>
              <w:jc w:val="both"/>
              <w:rPr>
                <w:rFonts w:ascii="Arial" w:hAnsi="Arial" w:cs="Arial"/>
                <w:sz w:val="24"/>
                <w:szCs w:val="24"/>
              </w:rPr>
            </w:pPr>
          </w:p>
        </w:tc>
      </w:tr>
      <w:tr w:rsidR="0010590F" w:rsidRPr="00A553B7" w14:paraId="238FAE60" w14:textId="77777777" w:rsidTr="00ED0E41">
        <w:tc>
          <w:tcPr>
            <w:tcW w:w="1124" w:type="dxa"/>
            <w:shd w:val="clear" w:color="auto" w:fill="auto"/>
          </w:tcPr>
          <w:p w14:paraId="0F711823" w14:textId="4733C634" w:rsidR="0010590F" w:rsidRPr="00DC6E87" w:rsidRDefault="00FF7B5C" w:rsidP="00AE307F">
            <w:pPr>
              <w:rPr>
                <w:rFonts w:ascii="Arial" w:hAnsi="Arial" w:cs="Arial"/>
                <w:sz w:val="24"/>
                <w:szCs w:val="24"/>
              </w:rPr>
            </w:pPr>
            <w:r>
              <w:rPr>
                <w:rFonts w:ascii="Arial" w:hAnsi="Arial" w:cs="Arial"/>
                <w:sz w:val="24"/>
                <w:szCs w:val="24"/>
              </w:rPr>
              <w:t>22 &amp; 5</w:t>
            </w:r>
            <w:r w:rsidR="00131418">
              <w:rPr>
                <w:rFonts w:ascii="Arial" w:hAnsi="Arial" w:cs="Arial"/>
                <w:sz w:val="24"/>
                <w:szCs w:val="24"/>
              </w:rPr>
              <w:t>8</w:t>
            </w:r>
          </w:p>
        </w:tc>
        <w:tc>
          <w:tcPr>
            <w:tcW w:w="14910" w:type="dxa"/>
            <w:shd w:val="clear" w:color="auto" w:fill="auto"/>
          </w:tcPr>
          <w:p w14:paraId="00B7BB0E" w14:textId="29420EAB" w:rsidR="0010590F" w:rsidRPr="00DC6E87" w:rsidRDefault="00DC6E87" w:rsidP="00AE307F">
            <w:pPr>
              <w:spacing w:after="0" w:line="240" w:lineRule="auto"/>
              <w:jc w:val="both"/>
              <w:rPr>
                <w:rFonts w:ascii="Arial" w:hAnsi="Arial" w:cs="Arial"/>
                <w:sz w:val="24"/>
                <w:szCs w:val="24"/>
              </w:rPr>
            </w:pPr>
            <w:r w:rsidRPr="00DC6E87">
              <w:rPr>
                <w:rFonts w:ascii="Arial" w:hAnsi="Arial" w:cs="Arial"/>
                <w:sz w:val="24"/>
                <w:szCs w:val="24"/>
              </w:rPr>
              <w:t>References to the Queen</w:t>
            </w:r>
            <w:r w:rsidR="00FF7B5C">
              <w:rPr>
                <w:rFonts w:ascii="Arial" w:hAnsi="Arial" w:cs="Arial"/>
                <w:sz w:val="24"/>
                <w:szCs w:val="24"/>
              </w:rPr>
              <w:t>’s Peace</w:t>
            </w:r>
            <w:r w:rsidRPr="00DC6E87">
              <w:rPr>
                <w:rFonts w:ascii="Arial" w:hAnsi="Arial" w:cs="Arial"/>
                <w:sz w:val="24"/>
                <w:szCs w:val="24"/>
              </w:rPr>
              <w:t xml:space="preserve"> changed to the King</w:t>
            </w:r>
            <w:r w:rsidR="00FF7B5C">
              <w:rPr>
                <w:rFonts w:ascii="Arial" w:hAnsi="Arial" w:cs="Arial"/>
                <w:sz w:val="24"/>
                <w:szCs w:val="24"/>
              </w:rPr>
              <w:t>’s Peace</w:t>
            </w:r>
            <w:r w:rsidRPr="00DC6E87">
              <w:rPr>
                <w:rFonts w:ascii="Arial" w:hAnsi="Arial" w:cs="Arial"/>
                <w:sz w:val="24"/>
                <w:szCs w:val="24"/>
              </w:rPr>
              <w:t>.</w:t>
            </w:r>
          </w:p>
        </w:tc>
      </w:tr>
      <w:tr w:rsidR="00C938CA" w:rsidRPr="00A553B7" w14:paraId="192D99C5" w14:textId="77777777" w:rsidTr="00ED0E41">
        <w:tc>
          <w:tcPr>
            <w:tcW w:w="1124" w:type="dxa"/>
            <w:shd w:val="clear" w:color="auto" w:fill="auto"/>
          </w:tcPr>
          <w:p w14:paraId="7CF60E5A" w14:textId="471C9A1A" w:rsidR="00C938CA" w:rsidRDefault="00C938CA" w:rsidP="00C938CA">
            <w:pPr>
              <w:rPr>
                <w:rFonts w:ascii="Arial" w:hAnsi="Arial" w:cs="Arial"/>
                <w:sz w:val="24"/>
                <w:szCs w:val="24"/>
              </w:rPr>
            </w:pPr>
            <w:r w:rsidRPr="001A7472">
              <w:rPr>
                <w:rFonts w:ascii="Arial" w:hAnsi="Arial" w:cs="Arial"/>
                <w:sz w:val="24"/>
                <w:szCs w:val="24"/>
              </w:rPr>
              <w:t>25</w:t>
            </w:r>
          </w:p>
        </w:tc>
        <w:tc>
          <w:tcPr>
            <w:tcW w:w="14910" w:type="dxa"/>
            <w:shd w:val="clear" w:color="auto" w:fill="auto"/>
          </w:tcPr>
          <w:p w14:paraId="29C10739" w14:textId="77777777" w:rsidR="00C938CA" w:rsidRDefault="00C938CA" w:rsidP="00C938CA">
            <w:pPr>
              <w:spacing w:after="0" w:line="240" w:lineRule="auto"/>
              <w:jc w:val="both"/>
              <w:rPr>
                <w:rFonts w:ascii="Arial" w:eastAsia="Times New Roman" w:hAnsi="Arial" w:cs="Arial"/>
                <w:sz w:val="24"/>
                <w:szCs w:val="24"/>
              </w:rPr>
            </w:pPr>
            <w:r w:rsidRPr="00FB2BDA">
              <w:rPr>
                <w:rFonts w:ascii="Arial" w:eastAsia="Times New Roman" w:hAnsi="Arial" w:cs="Arial"/>
                <w:sz w:val="24"/>
                <w:szCs w:val="24"/>
              </w:rPr>
              <w:t>Paragraph 1.1.26 which references the Joint Audit Committee has been amended to reflect the new CIPFA November 2022 edition of the guidance for audit committees as follows: “</w:t>
            </w:r>
            <w:r w:rsidRPr="00FB2BDA">
              <w:rPr>
                <w:rFonts w:ascii="Arial" w:eastAsia="Times New Roman" w:hAnsi="Arial" w:cs="Arial"/>
                <w:i/>
                <w:iCs/>
                <w:sz w:val="24"/>
                <w:szCs w:val="24"/>
              </w:rPr>
              <w:t xml:space="preserve">The committee’s purpose is to provide an independent and high-level focus on the adequacy of governance, </w:t>
            </w:r>
            <w:proofErr w:type="gramStart"/>
            <w:r w:rsidRPr="00FB2BDA">
              <w:rPr>
                <w:rFonts w:ascii="Arial" w:eastAsia="Times New Roman" w:hAnsi="Arial" w:cs="Arial"/>
                <w:i/>
                <w:iCs/>
                <w:sz w:val="24"/>
                <w:szCs w:val="24"/>
              </w:rPr>
              <w:t>risk</w:t>
            </w:r>
            <w:proofErr w:type="gramEnd"/>
            <w:r w:rsidRPr="00FB2BDA">
              <w:rPr>
                <w:rFonts w:ascii="Arial" w:eastAsia="Times New Roman" w:hAnsi="Arial" w:cs="Arial"/>
                <w:i/>
                <w:iCs/>
                <w:sz w:val="24"/>
                <w:szCs w:val="24"/>
              </w:rPr>
              <w:t xml:space="preserve"> and control arrangements. Its role in ensuring there is sufficient assurance over governance risk and control gives greater confidence to the PCC and chief constable that those arrangements are effective. The committee has oversight of both internal and external audit, together with the financial and governance reports, helping to ensure there are adequate arrangements in place for both internal challenge and public accountability</w:t>
            </w:r>
            <w:r w:rsidRPr="00FB2BDA">
              <w:rPr>
                <w:rFonts w:ascii="Arial" w:eastAsia="Times New Roman" w:hAnsi="Arial" w:cs="Arial"/>
                <w:sz w:val="24"/>
                <w:szCs w:val="24"/>
              </w:rPr>
              <w:t xml:space="preserve">.” </w:t>
            </w:r>
          </w:p>
          <w:p w14:paraId="06918F28" w14:textId="35D79021" w:rsidR="00811F01" w:rsidRPr="00DC6E87" w:rsidRDefault="00811F01" w:rsidP="00C938CA">
            <w:pPr>
              <w:spacing w:after="0" w:line="240" w:lineRule="auto"/>
              <w:jc w:val="both"/>
              <w:rPr>
                <w:rFonts w:ascii="Arial" w:hAnsi="Arial" w:cs="Arial"/>
                <w:sz w:val="24"/>
                <w:szCs w:val="24"/>
              </w:rPr>
            </w:pPr>
          </w:p>
        </w:tc>
      </w:tr>
      <w:tr w:rsidR="00C938CA" w:rsidRPr="00A553B7" w14:paraId="4A4F9008" w14:textId="77777777" w:rsidTr="00ED0E41">
        <w:tc>
          <w:tcPr>
            <w:tcW w:w="1124" w:type="dxa"/>
            <w:shd w:val="clear" w:color="auto" w:fill="auto"/>
          </w:tcPr>
          <w:p w14:paraId="5380B49F" w14:textId="47ECF553" w:rsidR="00C938CA" w:rsidRDefault="00C938CA" w:rsidP="00C938CA">
            <w:pPr>
              <w:rPr>
                <w:rFonts w:ascii="Arial" w:hAnsi="Arial" w:cs="Arial"/>
                <w:sz w:val="24"/>
                <w:szCs w:val="24"/>
              </w:rPr>
            </w:pPr>
            <w:r w:rsidRPr="001A7472">
              <w:rPr>
                <w:rFonts w:ascii="Arial" w:hAnsi="Arial" w:cs="Arial"/>
                <w:sz w:val="24"/>
                <w:szCs w:val="24"/>
              </w:rPr>
              <w:t>37</w:t>
            </w:r>
          </w:p>
        </w:tc>
        <w:tc>
          <w:tcPr>
            <w:tcW w:w="14910" w:type="dxa"/>
            <w:shd w:val="clear" w:color="auto" w:fill="auto"/>
          </w:tcPr>
          <w:p w14:paraId="0B9E131A" w14:textId="688C5E52" w:rsidR="00C938CA" w:rsidRPr="00DC6E87" w:rsidRDefault="00C938CA" w:rsidP="00C938CA">
            <w:pPr>
              <w:spacing w:after="0" w:line="240" w:lineRule="auto"/>
              <w:jc w:val="both"/>
              <w:rPr>
                <w:rFonts w:ascii="Arial" w:hAnsi="Arial" w:cs="Arial"/>
                <w:sz w:val="24"/>
                <w:szCs w:val="24"/>
              </w:rPr>
            </w:pPr>
            <w:r>
              <w:rPr>
                <w:rFonts w:ascii="Arial" w:hAnsi="Arial" w:cs="Arial"/>
                <w:sz w:val="24"/>
                <w:szCs w:val="24"/>
              </w:rPr>
              <w:t>Reserves Strategy added into Strategy and Performance Board Terms of Reference</w:t>
            </w:r>
          </w:p>
        </w:tc>
      </w:tr>
      <w:tr w:rsidR="007E766F" w:rsidRPr="00A553B7" w14:paraId="02C3A677" w14:textId="77777777" w:rsidTr="00ED0E41">
        <w:tc>
          <w:tcPr>
            <w:tcW w:w="1124" w:type="dxa"/>
            <w:shd w:val="clear" w:color="auto" w:fill="auto"/>
          </w:tcPr>
          <w:p w14:paraId="3D8E3072" w14:textId="7325003D" w:rsidR="007E766F" w:rsidRDefault="007E766F" w:rsidP="00AE307F">
            <w:pPr>
              <w:rPr>
                <w:rFonts w:ascii="Arial" w:hAnsi="Arial" w:cs="Arial"/>
                <w:sz w:val="24"/>
                <w:szCs w:val="24"/>
              </w:rPr>
            </w:pPr>
            <w:r>
              <w:rPr>
                <w:rFonts w:ascii="Arial" w:hAnsi="Arial" w:cs="Arial"/>
                <w:sz w:val="24"/>
                <w:szCs w:val="24"/>
              </w:rPr>
              <w:t>45</w:t>
            </w:r>
          </w:p>
        </w:tc>
        <w:tc>
          <w:tcPr>
            <w:tcW w:w="14910" w:type="dxa"/>
            <w:shd w:val="clear" w:color="auto" w:fill="auto"/>
          </w:tcPr>
          <w:p w14:paraId="12E55391" w14:textId="403308AF" w:rsidR="007E766F" w:rsidRPr="00DC6E87" w:rsidRDefault="007E766F" w:rsidP="00AE307F">
            <w:pPr>
              <w:spacing w:after="0" w:line="240" w:lineRule="auto"/>
              <w:jc w:val="both"/>
              <w:rPr>
                <w:rFonts w:ascii="Arial" w:hAnsi="Arial" w:cs="Arial"/>
                <w:sz w:val="24"/>
                <w:szCs w:val="24"/>
              </w:rPr>
            </w:pPr>
            <w:r>
              <w:rPr>
                <w:rFonts w:ascii="Arial" w:hAnsi="Arial" w:cs="Arial"/>
                <w:sz w:val="24"/>
                <w:szCs w:val="24"/>
              </w:rPr>
              <w:t>The OPCC Management Board has been replaced by the Strategic Management Board.  New terms of reference included.</w:t>
            </w:r>
          </w:p>
        </w:tc>
      </w:tr>
      <w:tr w:rsidR="00972057" w:rsidRPr="00A553B7" w14:paraId="08322C77" w14:textId="77777777" w:rsidTr="00ED0E41">
        <w:tc>
          <w:tcPr>
            <w:tcW w:w="1124" w:type="dxa"/>
            <w:shd w:val="clear" w:color="auto" w:fill="auto"/>
          </w:tcPr>
          <w:p w14:paraId="18D3046D" w14:textId="3320B395" w:rsidR="00972057" w:rsidRPr="001A7472" w:rsidRDefault="001A7472" w:rsidP="00AE307F">
            <w:pPr>
              <w:rPr>
                <w:rFonts w:ascii="Arial" w:hAnsi="Arial" w:cs="Arial"/>
                <w:sz w:val="24"/>
                <w:szCs w:val="24"/>
              </w:rPr>
            </w:pPr>
            <w:r w:rsidRPr="001A7472">
              <w:rPr>
                <w:rFonts w:ascii="Arial" w:hAnsi="Arial" w:cs="Arial"/>
                <w:sz w:val="24"/>
                <w:szCs w:val="24"/>
              </w:rPr>
              <w:t>49</w:t>
            </w:r>
          </w:p>
        </w:tc>
        <w:tc>
          <w:tcPr>
            <w:tcW w:w="14910" w:type="dxa"/>
            <w:shd w:val="clear" w:color="auto" w:fill="auto"/>
          </w:tcPr>
          <w:p w14:paraId="725D8131" w14:textId="33521D6A" w:rsidR="00972057" w:rsidRPr="003F54D1" w:rsidRDefault="003F54D1" w:rsidP="00AE307F">
            <w:pPr>
              <w:spacing w:after="0" w:line="240" w:lineRule="auto"/>
              <w:jc w:val="both"/>
              <w:rPr>
                <w:rFonts w:ascii="Arial" w:hAnsi="Arial" w:cs="Arial"/>
                <w:sz w:val="24"/>
                <w:szCs w:val="24"/>
              </w:rPr>
            </w:pPr>
            <w:r w:rsidRPr="003F54D1">
              <w:rPr>
                <w:rFonts w:ascii="Arial" w:hAnsi="Arial" w:cs="Arial"/>
                <w:sz w:val="24"/>
                <w:szCs w:val="24"/>
              </w:rPr>
              <w:t xml:space="preserve">Estate Strategy Board Terms of Reference – removal of </w:t>
            </w:r>
            <w:r>
              <w:rPr>
                <w:rFonts w:ascii="Arial" w:hAnsi="Arial" w:cs="Arial"/>
                <w:sz w:val="24"/>
                <w:szCs w:val="24"/>
              </w:rPr>
              <w:t xml:space="preserve">references to the HQ Project Board as this meeting </w:t>
            </w:r>
            <w:r w:rsidRPr="003F54D1">
              <w:rPr>
                <w:rFonts w:ascii="Arial" w:hAnsi="Arial" w:cs="Arial"/>
                <w:sz w:val="24"/>
                <w:szCs w:val="24"/>
              </w:rPr>
              <w:t xml:space="preserve">is due to </w:t>
            </w:r>
            <w:r>
              <w:rPr>
                <w:rFonts w:ascii="Arial" w:hAnsi="Arial" w:cs="Arial"/>
                <w:sz w:val="24"/>
                <w:szCs w:val="24"/>
              </w:rPr>
              <w:t>end</w:t>
            </w:r>
            <w:r w:rsidRPr="003F54D1">
              <w:rPr>
                <w:rFonts w:ascii="Arial" w:hAnsi="Arial" w:cs="Arial"/>
                <w:sz w:val="24"/>
                <w:szCs w:val="24"/>
              </w:rPr>
              <w:t xml:space="preserve"> in March 2023.</w:t>
            </w:r>
          </w:p>
        </w:tc>
      </w:tr>
      <w:tr w:rsidR="00C938CA" w:rsidRPr="00A553B7" w14:paraId="1AF58E8E" w14:textId="77777777" w:rsidTr="00ED0E41">
        <w:tc>
          <w:tcPr>
            <w:tcW w:w="1124" w:type="dxa"/>
            <w:shd w:val="clear" w:color="auto" w:fill="auto"/>
          </w:tcPr>
          <w:p w14:paraId="06FD2DC0" w14:textId="056F6049" w:rsidR="00C938CA" w:rsidRPr="001A7472" w:rsidRDefault="00C938CA" w:rsidP="00C938CA">
            <w:pPr>
              <w:rPr>
                <w:rFonts w:ascii="Arial" w:hAnsi="Arial" w:cs="Arial"/>
                <w:sz w:val="24"/>
                <w:szCs w:val="24"/>
              </w:rPr>
            </w:pPr>
            <w:r w:rsidRPr="001A7472">
              <w:rPr>
                <w:rFonts w:ascii="Arial" w:hAnsi="Arial" w:cs="Arial"/>
                <w:sz w:val="24"/>
                <w:szCs w:val="24"/>
              </w:rPr>
              <w:t>5</w:t>
            </w:r>
            <w:r w:rsidR="001A7472" w:rsidRPr="001A7472">
              <w:rPr>
                <w:rFonts w:ascii="Arial" w:hAnsi="Arial" w:cs="Arial"/>
                <w:sz w:val="24"/>
                <w:szCs w:val="24"/>
              </w:rPr>
              <w:t>0</w:t>
            </w:r>
          </w:p>
        </w:tc>
        <w:tc>
          <w:tcPr>
            <w:tcW w:w="14910" w:type="dxa"/>
            <w:shd w:val="clear" w:color="auto" w:fill="auto"/>
          </w:tcPr>
          <w:p w14:paraId="39D0D12D" w14:textId="148113B6" w:rsidR="00C938CA" w:rsidRPr="003F54D1" w:rsidRDefault="00C938CA" w:rsidP="00C938CA">
            <w:pPr>
              <w:spacing w:after="0" w:line="240" w:lineRule="auto"/>
              <w:jc w:val="both"/>
              <w:rPr>
                <w:rFonts w:ascii="Arial" w:hAnsi="Arial" w:cs="Arial"/>
                <w:sz w:val="24"/>
                <w:szCs w:val="24"/>
              </w:rPr>
            </w:pPr>
            <w:r w:rsidRPr="0031408C">
              <w:rPr>
                <w:rFonts w:ascii="Arial" w:eastAsia="Times New Roman" w:hAnsi="Arial" w:cs="Arial"/>
                <w:sz w:val="24"/>
                <w:szCs w:val="24"/>
              </w:rPr>
              <w:t>Chief Officer Team Meeting Terms of Reference amended to show that the minutes are now recorded by the Chief Constable’s staff officer and not the Head of Joint Legal Services.</w:t>
            </w:r>
          </w:p>
        </w:tc>
      </w:tr>
      <w:tr w:rsidR="00972057" w:rsidRPr="00A553B7" w14:paraId="4CF163A7" w14:textId="77777777" w:rsidTr="00ED0E41">
        <w:tc>
          <w:tcPr>
            <w:tcW w:w="1124" w:type="dxa"/>
            <w:shd w:val="clear" w:color="auto" w:fill="auto"/>
          </w:tcPr>
          <w:p w14:paraId="07E087DB" w14:textId="3058E1C5" w:rsidR="00972057" w:rsidRPr="007E766F" w:rsidRDefault="000B71B0" w:rsidP="00AE307F">
            <w:pPr>
              <w:rPr>
                <w:rFonts w:ascii="Arial" w:hAnsi="Arial" w:cs="Arial"/>
                <w:sz w:val="24"/>
                <w:szCs w:val="24"/>
              </w:rPr>
            </w:pPr>
            <w:r w:rsidRPr="007E766F">
              <w:rPr>
                <w:rFonts w:ascii="Arial" w:hAnsi="Arial" w:cs="Arial"/>
                <w:sz w:val="24"/>
                <w:szCs w:val="24"/>
              </w:rPr>
              <w:lastRenderedPageBreak/>
              <w:t>5</w:t>
            </w:r>
            <w:r w:rsidR="001A7472">
              <w:rPr>
                <w:rFonts w:ascii="Arial" w:hAnsi="Arial" w:cs="Arial"/>
                <w:sz w:val="24"/>
                <w:szCs w:val="24"/>
              </w:rPr>
              <w:t>2</w:t>
            </w:r>
          </w:p>
        </w:tc>
        <w:tc>
          <w:tcPr>
            <w:tcW w:w="14910" w:type="dxa"/>
            <w:shd w:val="clear" w:color="auto" w:fill="auto"/>
          </w:tcPr>
          <w:p w14:paraId="4BC89FFE" w14:textId="58456A34" w:rsidR="00972057" w:rsidRPr="007E766F" w:rsidRDefault="000B71B0" w:rsidP="00AE307F">
            <w:pPr>
              <w:autoSpaceDE w:val="0"/>
              <w:autoSpaceDN w:val="0"/>
              <w:adjustRightInd w:val="0"/>
              <w:spacing w:after="0" w:line="240" w:lineRule="auto"/>
              <w:rPr>
                <w:rFonts w:ascii="Arial" w:hAnsi="Arial" w:cs="Arial"/>
                <w:color w:val="000000"/>
              </w:rPr>
            </w:pPr>
            <w:r w:rsidRPr="007E766F">
              <w:rPr>
                <w:rFonts w:ascii="Arial" w:hAnsi="Arial" w:cs="Arial"/>
                <w:sz w:val="24"/>
                <w:szCs w:val="24"/>
              </w:rPr>
              <w:t>Ethics Committee Terms of Reference to be included.</w:t>
            </w:r>
          </w:p>
          <w:p w14:paraId="6AAEBF65" w14:textId="77777777" w:rsidR="00972057" w:rsidRPr="007E766F" w:rsidRDefault="00972057" w:rsidP="00AE307F">
            <w:pPr>
              <w:pStyle w:val="Body"/>
              <w:spacing w:line="280" w:lineRule="exact"/>
              <w:ind w:right="0"/>
              <w:rPr>
                <w:rFonts w:ascii="Arial" w:hAnsi="Arial" w:cs="Arial"/>
                <w:sz w:val="24"/>
                <w:szCs w:val="24"/>
              </w:rPr>
            </w:pPr>
          </w:p>
        </w:tc>
      </w:tr>
      <w:tr w:rsidR="00C938CA" w:rsidRPr="00A553B7" w14:paraId="568F7163" w14:textId="77777777" w:rsidTr="00ED0E41">
        <w:tc>
          <w:tcPr>
            <w:tcW w:w="1124" w:type="dxa"/>
            <w:shd w:val="clear" w:color="auto" w:fill="auto"/>
          </w:tcPr>
          <w:p w14:paraId="31A07C18" w14:textId="2B78F6FF" w:rsidR="00C938CA" w:rsidRPr="007E766F" w:rsidRDefault="001A7472" w:rsidP="00C938CA">
            <w:pPr>
              <w:rPr>
                <w:rFonts w:ascii="Arial" w:hAnsi="Arial" w:cs="Arial"/>
                <w:sz w:val="24"/>
                <w:szCs w:val="24"/>
              </w:rPr>
            </w:pPr>
            <w:r>
              <w:rPr>
                <w:rFonts w:ascii="Arial" w:hAnsi="Arial" w:cs="Arial"/>
                <w:sz w:val="24"/>
                <w:szCs w:val="24"/>
              </w:rPr>
              <w:t>54</w:t>
            </w:r>
          </w:p>
        </w:tc>
        <w:tc>
          <w:tcPr>
            <w:tcW w:w="14910" w:type="dxa"/>
            <w:shd w:val="clear" w:color="auto" w:fill="auto"/>
          </w:tcPr>
          <w:p w14:paraId="21872A66" w14:textId="77777777" w:rsidR="00C938CA" w:rsidRDefault="00C938CA" w:rsidP="00C938CA">
            <w:pPr>
              <w:autoSpaceDE w:val="0"/>
              <w:autoSpaceDN w:val="0"/>
              <w:adjustRightInd w:val="0"/>
              <w:spacing w:after="0" w:line="240" w:lineRule="auto"/>
              <w:rPr>
                <w:rFonts w:eastAsia="Times New Roman"/>
              </w:rPr>
            </w:pPr>
            <w:r w:rsidRPr="00635109">
              <w:rPr>
                <w:rFonts w:ascii="Arial" w:eastAsia="Times New Roman" w:hAnsi="Arial" w:cs="Arial"/>
                <w:sz w:val="24"/>
                <w:szCs w:val="24"/>
              </w:rPr>
              <w:t xml:space="preserve">At the beginning of Section 3 (Communication), the following has been included at the end of the first paragraph: </w:t>
            </w:r>
            <w:r>
              <w:rPr>
                <w:rFonts w:ascii="Arial" w:eastAsia="Times New Roman" w:hAnsi="Arial" w:cs="Arial"/>
                <w:sz w:val="24"/>
                <w:szCs w:val="24"/>
              </w:rPr>
              <w:t>“</w:t>
            </w:r>
            <w:r w:rsidRPr="00635109">
              <w:rPr>
                <w:rFonts w:ascii="Arial" w:eastAsia="Times New Roman" w:hAnsi="Arial" w:cs="Arial"/>
                <w:i/>
                <w:iCs/>
                <w:sz w:val="24"/>
                <w:szCs w:val="24"/>
              </w:rPr>
              <w:t>The sharing of information will be in accordance with the provisions of relevant legislation and Codes of Practice from time to time, which include without limitation, data protection legislation, the Human Rights Act 1998 and in accordance with the common law duty of confidence and any other duties in relation to the management of data to which Gwent Police are subject from time to time (including the Home Office Code of Practice on Management of Police Information and the College of Policing Authorised Professional Practice (APP) on Information Management)</w:t>
            </w:r>
            <w:r>
              <w:rPr>
                <w:rFonts w:ascii="Arial" w:eastAsia="Times New Roman" w:hAnsi="Arial" w:cs="Arial"/>
                <w:i/>
                <w:iCs/>
                <w:sz w:val="24"/>
                <w:szCs w:val="24"/>
              </w:rPr>
              <w:t>”</w:t>
            </w:r>
            <w:r w:rsidRPr="00635109">
              <w:rPr>
                <w:rFonts w:eastAsia="Times New Roman"/>
              </w:rPr>
              <w:t> </w:t>
            </w:r>
            <w:r>
              <w:rPr>
                <w:rFonts w:eastAsia="Times New Roman"/>
              </w:rPr>
              <w:t>.</w:t>
            </w:r>
            <w:r w:rsidRPr="00635109">
              <w:rPr>
                <w:rFonts w:eastAsia="Times New Roman"/>
              </w:rPr>
              <w:t xml:space="preserve"> </w:t>
            </w:r>
          </w:p>
          <w:p w14:paraId="74C577BD" w14:textId="6D3EE940" w:rsidR="00811F01" w:rsidRPr="007E766F" w:rsidRDefault="00811F01" w:rsidP="00C938CA">
            <w:pPr>
              <w:autoSpaceDE w:val="0"/>
              <w:autoSpaceDN w:val="0"/>
              <w:adjustRightInd w:val="0"/>
              <w:spacing w:after="0" w:line="240" w:lineRule="auto"/>
              <w:rPr>
                <w:rFonts w:ascii="Arial" w:hAnsi="Arial" w:cs="Arial"/>
                <w:sz w:val="24"/>
                <w:szCs w:val="24"/>
              </w:rPr>
            </w:pPr>
          </w:p>
        </w:tc>
      </w:tr>
      <w:tr w:rsidR="00C938CA" w:rsidRPr="00A553B7" w14:paraId="281E5792" w14:textId="77777777" w:rsidTr="00ED0E41">
        <w:tc>
          <w:tcPr>
            <w:tcW w:w="1124" w:type="dxa"/>
            <w:shd w:val="clear" w:color="auto" w:fill="auto"/>
          </w:tcPr>
          <w:p w14:paraId="3EE00B7E" w14:textId="52CCD1F0" w:rsidR="00C938CA" w:rsidRPr="007E766F" w:rsidRDefault="001A7472" w:rsidP="00C938CA">
            <w:pPr>
              <w:rPr>
                <w:rFonts w:ascii="Arial" w:hAnsi="Arial" w:cs="Arial"/>
                <w:sz w:val="24"/>
                <w:szCs w:val="24"/>
              </w:rPr>
            </w:pPr>
            <w:r>
              <w:rPr>
                <w:rFonts w:ascii="Arial" w:hAnsi="Arial" w:cs="Arial"/>
                <w:sz w:val="24"/>
                <w:szCs w:val="24"/>
              </w:rPr>
              <w:t>58</w:t>
            </w:r>
          </w:p>
        </w:tc>
        <w:tc>
          <w:tcPr>
            <w:tcW w:w="14910" w:type="dxa"/>
            <w:shd w:val="clear" w:color="auto" w:fill="auto"/>
          </w:tcPr>
          <w:p w14:paraId="3425C5B4" w14:textId="59723F21" w:rsidR="00C938CA" w:rsidRPr="00811F01" w:rsidRDefault="00C938CA" w:rsidP="00811F01">
            <w:pPr>
              <w:rPr>
                <w:rFonts w:ascii="Arial" w:eastAsia="Times New Roman" w:hAnsi="Arial" w:cs="Arial"/>
                <w:sz w:val="24"/>
                <w:szCs w:val="24"/>
              </w:rPr>
            </w:pPr>
            <w:r w:rsidRPr="00CD3747">
              <w:rPr>
                <w:rFonts w:ascii="Arial" w:eastAsia="Times New Roman" w:hAnsi="Arial" w:cs="Arial"/>
                <w:sz w:val="24"/>
                <w:szCs w:val="24"/>
                <w:lang w:val="en-US"/>
              </w:rPr>
              <w:t>Amendment to the following wording</w:t>
            </w:r>
            <w:r w:rsidRPr="00CD3747">
              <w:rPr>
                <w:rFonts w:ascii="Arial" w:eastAsia="Times New Roman" w:hAnsi="Arial" w:cs="Arial"/>
                <w:i/>
                <w:iCs/>
                <w:sz w:val="24"/>
                <w:szCs w:val="24"/>
                <w:lang w:val="en-US"/>
              </w:rPr>
              <w:t xml:space="preserve"> “A substantive review of performance against the Police and Crime Plan will be undertaken annually (</w:t>
            </w:r>
            <w:r w:rsidRPr="00CD3747">
              <w:rPr>
                <w:rFonts w:ascii="Arial" w:eastAsia="Times New Roman" w:hAnsi="Arial" w:cs="Arial"/>
                <w:i/>
                <w:iCs/>
                <w:strike/>
                <w:sz w:val="24"/>
                <w:szCs w:val="24"/>
                <w:lang w:val="en-US"/>
              </w:rPr>
              <w:t>at the end of each</w:t>
            </w:r>
            <w:r w:rsidRPr="00CD3747">
              <w:rPr>
                <w:rFonts w:ascii="Arial" w:eastAsia="Times New Roman" w:hAnsi="Arial" w:cs="Arial"/>
                <w:i/>
                <w:iCs/>
                <w:sz w:val="24"/>
                <w:szCs w:val="24"/>
                <w:lang w:val="en-US"/>
              </w:rPr>
              <w:t xml:space="preserve"> </w:t>
            </w:r>
            <w:r w:rsidRPr="00CD3747">
              <w:rPr>
                <w:rFonts w:ascii="Arial" w:eastAsia="Times New Roman" w:hAnsi="Arial" w:cs="Arial"/>
                <w:i/>
                <w:iCs/>
                <w:strike/>
                <w:sz w:val="24"/>
                <w:szCs w:val="24"/>
                <w:lang w:val="en-US"/>
              </w:rPr>
              <w:t>financial quarter</w:t>
            </w:r>
            <w:r w:rsidRPr="00CD3747">
              <w:rPr>
                <w:rFonts w:ascii="Arial" w:eastAsia="Times New Roman" w:hAnsi="Arial" w:cs="Arial"/>
                <w:i/>
                <w:iCs/>
                <w:sz w:val="24"/>
                <w:szCs w:val="24"/>
                <w:lang w:val="en-US"/>
              </w:rPr>
              <w:t>).  This substantive review will identify areas which are inline to achieve the established targets and will also identify those areas where the target is not being met and what action will be taken to address the situation”.</w:t>
            </w:r>
          </w:p>
        </w:tc>
      </w:tr>
      <w:tr w:rsidR="00C938CA" w:rsidRPr="00A553B7" w14:paraId="0883733F" w14:textId="77777777" w:rsidTr="00ED0E41">
        <w:tc>
          <w:tcPr>
            <w:tcW w:w="1124" w:type="dxa"/>
            <w:shd w:val="clear" w:color="auto" w:fill="auto"/>
          </w:tcPr>
          <w:p w14:paraId="22B1E870" w14:textId="4FE18FCD" w:rsidR="00C938CA" w:rsidRPr="007E766F" w:rsidRDefault="00C938CA" w:rsidP="00C938CA">
            <w:pPr>
              <w:rPr>
                <w:rFonts w:ascii="Arial" w:hAnsi="Arial" w:cs="Arial"/>
                <w:sz w:val="24"/>
                <w:szCs w:val="24"/>
              </w:rPr>
            </w:pPr>
            <w:r w:rsidRPr="001A7472">
              <w:rPr>
                <w:rFonts w:ascii="Arial" w:hAnsi="Arial" w:cs="Arial"/>
                <w:sz w:val="24"/>
                <w:szCs w:val="24"/>
              </w:rPr>
              <w:t>6</w:t>
            </w:r>
            <w:r w:rsidR="001A7472" w:rsidRPr="001A7472">
              <w:rPr>
                <w:rFonts w:ascii="Arial" w:hAnsi="Arial" w:cs="Arial"/>
                <w:sz w:val="24"/>
                <w:szCs w:val="24"/>
              </w:rPr>
              <w:t>5</w:t>
            </w:r>
            <w:r w:rsidRPr="001A7472">
              <w:rPr>
                <w:rFonts w:ascii="Arial" w:hAnsi="Arial" w:cs="Arial"/>
                <w:sz w:val="24"/>
                <w:szCs w:val="24"/>
              </w:rPr>
              <w:t>, 14</w:t>
            </w:r>
            <w:r w:rsidR="001A7472" w:rsidRPr="001A7472">
              <w:rPr>
                <w:rFonts w:ascii="Arial" w:hAnsi="Arial" w:cs="Arial"/>
                <w:sz w:val="24"/>
                <w:szCs w:val="24"/>
              </w:rPr>
              <w:t>0</w:t>
            </w:r>
            <w:r w:rsidRPr="001A7472">
              <w:rPr>
                <w:rFonts w:ascii="Arial" w:hAnsi="Arial" w:cs="Arial"/>
                <w:sz w:val="24"/>
                <w:szCs w:val="24"/>
              </w:rPr>
              <w:t>, 14</w:t>
            </w:r>
            <w:r w:rsidR="001A7472" w:rsidRPr="001A7472">
              <w:rPr>
                <w:rFonts w:ascii="Arial" w:hAnsi="Arial" w:cs="Arial"/>
                <w:sz w:val="24"/>
                <w:szCs w:val="24"/>
              </w:rPr>
              <w:t>4</w:t>
            </w:r>
          </w:p>
        </w:tc>
        <w:tc>
          <w:tcPr>
            <w:tcW w:w="14910" w:type="dxa"/>
            <w:shd w:val="clear" w:color="auto" w:fill="auto"/>
          </w:tcPr>
          <w:p w14:paraId="2A5D5CC8" w14:textId="77777777" w:rsidR="00C938CA" w:rsidRDefault="00C938CA" w:rsidP="00C938CA">
            <w:pPr>
              <w:autoSpaceDE w:val="0"/>
              <w:autoSpaceDN w:val="0"/>
              <w:adjustRightInd w:val="0"/>
              <w:spacing w:after="0" w:line="240" w:lineRule="auto"/>
              <w:rPr>
                <w:rFonts w:ascii="Arial" w:eastAsia="Times New Roman" w:hAnsi="Arial" w:cs="Arial"/>
                <w:sz w:val="24"/>
                <w:szCs w:val="24"/>
              </w:rPr>
            </w:pPr>
            <w:r w:rsidRPr="00CD3747">
              <w:rPr>
                <w:rFonts w:ascii="Arial" w:eastAsia="Times New Roman" w:hAnsi="Arial" w:cs="Arial"/>
                <w:sz w:val="24"/>
                <w:szCs w:val="24"/>
              </w:rPr>
              <w:t xml:space="preserve">Paragraph 4.9.  The Elected Local Policing Bodies (Specified Information) Order has been amended.  References to this legislation now read as follows: “the Elected Local Policing Bodies (Specified Information) Order 2011 (as amended by </w:t>
            </w:r>
            <w:r w:rsidRPr="00CD3747">
              <w:rPr>
                <w:rFonts w:ascii="Arial" w:eastAsia="Times New Roman" w:hAnsi="Arial" w:cs="Arial"/>
                <w:color w:val="0B0C0C"/>
                <w:sz w:val="24"/>
                <w:szCs w:val="24"/>
                <w:shd w:val="clear" w:color="auto" w:fill="FFFFFF"/>
              </w:rPr>
              <w:t>The Elected Local Policing Bodies (Specified Information) (Amendment) Order 2021)”.</w:t>
            </w:r>
            <w:r w:rsidRPr="00CD3747">
              <w:rPr>
                <w:rFonts w:ascii="Arial" w:eastAsia="Times New Roman" w:hAnsi="Arial" w:cs="Arial"/>
                <w:sz w:val="24"/>
                <w:szCs w:val="24"/>
              </w:rPr>
              <w:t>  </w:t>
            </w:r>
          </w:p>
          <w:p w14:paraId="1E2EE7E8" w14:textId="0EECB80C" w:rsidR="00811F01" w:rsidRPr="007E766F" w:rsidRDefault="00811F01" w:rsidP="00C938CA">
            <w:pPr>
              <w:autoSpaceDE w:val="0"/>
              <w:autoSpaceDN w:val="0"/>
              <w:adjustRightInd w:val="0"/>
              <w:spacing w:after="0" w:line="240" w:lineRule="auto"/>
              <w:rPr>
                <w:rFonts w:ascii="Arial" w:hAnsi="Arial" w:cs="Arial"/>
                <w:sz w:val="24"/>
                <w:szCs w:val="24"/>
              </w:rPr>
            </w:pPr>
          </w:p>
        </w:tc>
      </w:tr>
      <w:tr w:rsidR="00C938CA" w:rsidRPr="00A553B7" w14:paraId="23CE14E9" w14:textId="77777777" w:rsidTr="00ED0E41">
        <w:tc>
          <w:tcPr>
            <w:tcW w:w="1124" w:type="dxa"/>
            <w:shd w:val="clear" w:color="auto" w:fill="auto"/>
          </w:tcPr>
          <w:p w14:paraId="047C1D87" w14:textId="2DDCDA1A" w:rsidR="00C938CA" w:rsidRPr="007E766F" w:rsidRDefault="00811F01" w:rsidP="00C938CA">
            <w:pPr>
              <w:rPr>
                <w:rFonts w:ascii="Arial" w:hAnsi="Arial" w:cs="Arial"/>
                <w:sz w:val="24"/>
                <w:szCs w:val="24"/>
              </w:rPr>
            </w:pPr>
            <w:r>
              <w:rPr>
                <w:rFonts w:ascii="Arial" w:hAnsi="Arial" w:cs="Arial"/>
                <w:sz w:val="24"/>
                <w:szCs w:val="24"/>
              </w:rPr>
              <w:t>70</w:t>
            </w:r>
          </w:p>
        </w:tc>
        <w:tc>
          <w:tcPr>
            <w:tcW w:w="14910" w:type="dxa"/>
            <w:shd w:val="clear" w:color="auto" w:fill="auto"/>
          </w:tcPr>
          <w:p w14:paraId="27C8CEAF" w14:textId="77777777" w:rsidR="00C938CA" w:rsidRDefault="00C938CA" w:rsidP="00C938CA">
            <w:pPr>
              <w:autoSpaceDE w:val="0"/>
              <w:autoSpaceDN w:val="0"/>
              <w:adjustRightInd w:val="0"/>
              <w:spacing w:after="0" w:line="240" w:lineRule="auto"/>
              <w:rPr>
                <w:rFonts w:ascii="Arial" w:eastAsia="Times New Roman" w:hAnsi="Arial" w:cs="Arial"/>
                <w:sz w:val="24"/>
                <w:szCs w:val="24"/>
              </w:rPr>
            </w:pPr>
            <w:r w:rsidRPr="00C744F1">
              <w:rPr>
                <w:rFonts w:ascii="Arial" w:eastAsia="Times New Roman" w:hAnsi="Arial" w:cs="Arial"/>
                <w:sz w:val="24"/>
                <w:szCs w:val="24"/>
              </w:rPr>
              <w:t xml:space="preserve">Paragraph 7.6.  This has been amended to make clear that the Chief Constable will oversee the </w:t>
            </w:r>
            <w:proofErr w:type="gramStart"/>
            <w:r w:rsidRPr="00C744F1">
              <w:rPr>
                <w:rFonts w:ascii="Arial" w:eastAsia="Times New Roman" w:hAnsi="Arial" w:cs="Arial"/>
                <w:sz w:val="24"/>
                <w:szCs w:val="24"/>
              </w:rPr>
              <w:t>day to day</w:t>
            </w:r>
            <w:proofErr w:type="gramEnd"/>
            <w:r w:rsidRPr="00C744F1">
              <w:rPr>
                <w:rFonts w:ascii="Arial" w:eastAsia="Times New Roman" w:hAnsi="Arial" w:cs="Arial"/>
                <w:sz w:val="24"/>
                <w:szCs w:val="24"/>
              </w:rPr>
              <w:t xml:space="preserve"> management of an</w:t>
            </w:r>
            <w:r w:rsidR="00811F01">
              <w:rPr>
                <w:rFonts w:ascii="Arial" w:eastAsia="Times New Roman" w:hAnsi="Arial" w:cs="Arial"/>
                <w:sz w:val="24"/>
                <w:szCs w:val="24"/>
              </w:rPr>
              <w:t>y</w:t>
            </w:r>
            <w:r w:rsidRPr="00C744F1">
              <w:rPr>
                <w:rFonts w:ascii="Arial" w:eastAsia="Times New Roman" w:hAnsi="Arial" w:cs="Arial"/>
                <w:sz w:val="24"/>
                <w:szCs w:val="24"/>
              </w:rPr>
              <w:t xml:space="preserve"> consultancy contracts entered into by the PCC on behalf of the force and would not oversee any such agreements entered into for the benefit of the OPCC. </w:t>
            </w:r>
          </w:p>
          <w:p w14:paraId="28857B0B" w14:textId="5ABD35E1" w:rsidR="00811F01" w:rsidRPr="007E766F" w:rsidRDefault="00811F01" w:rsidP="00C938CA">
            <w:pPr>
              <w:autoSpaceDE w:val="0"/>
              <w:autoSpaceDN w:val="0"/>
              <w:adjustRightInd w:val="0"/>
              <w:spacing w:after="0" w:line="240" w:lineRule="auto"/>
              <w:rPr>
                <w:rFonts w:ascii="Arial" w:hAnsi="Arial" w:cs="Arial"/>
                <w:sz w:val="24"/>
                <w:szCs w:val="24"/>
              </w:rPr>
            </w:pPr>
          </w:p>
        </w:tc>
      </w:tr>
      <w:tr w:rsidR="002F1A58" w:rsidRPr="00A553B7" w14:paraId="7B94B534" w14:textId="77777777" w:rsidTr="00ED0E41">
        <w:tc>
          <w:tcPr>
            <w:tcW w:w="1124" w:type="dxa"/>
            <w:shd w:val="clear" w:color="auto" w:fill="auto"/>
          </w:tcPr>
          <w:p w14:paraId="4894A69E" w14:textId="02625D40" w:rsidR="002F1A58" w:rsidRPr="002F1A58" w:rsidRDefault="002F1A58" w:rsidP="002F1A58">
            <w:pPr>
              <w:rPr>
                <w:rFonts w:ascii="Arial" w:hAnsi="Arial" w:cs="Arial"/>
                <w:sz w:val="24"/>
                <w:szCs w:val="24"/>
              </w:rPr>
            </w:pPr>
            <w:r w:rsidRPr="002F1A58">
              <w:rPr>
                <w:rFonts w:ascii="Arial" w:hAnsi="Arial" w:cs="Arial"/>
                <w:sz w:val="24"/>
                <w:szCs w:val="24"/>
              </w:rPr>
              <w:t>7</w:t>
            </w:r>
            <w:r w:rsidR="00811F01">
              <w:rPr>
                <w:rFonts w:ascii="Arial" w:hAnsi="Arial" w:cs="Arial"/>
                <w:sz w:val="24"/>
                <w:szCs w:val="24"/>
              </w:rPr>
              <w:t>2</w:t>
            </w:r>
          </w:p>
        </w:tc>
        <w:tc>
          <w:tcPr>
            <w:tcW w:w="14910" w:type="dxa"/>
            <w:shd w:val="clear" w:color="auto" w:fill="auto"/>
          </w:tcPr>
          <w:p w14:paraId="1E99B581" w14:textId="77777777" w:rsidR="002F1A58" w:rsidRPr="002F1A58" w:rsidRDefault="002F1A58" w:rsidP="002F1A58">
            <w:pPr>
              <w:tabs>
                <w:tab w:val="left" w:pos="0"/>
              </w:tabs>
              <w:overflowPunct w:val="0"/>
              <w:autoSpaceDE w:val="0"/>
              <w:autoSpaceDN w:val="0"/>
              <w:adjustRightInd w:val="0"/>
              <w:spacing w:after="0" w:line="240" w:lineRule="auto"/>
              <w:jc w:val="both"/>
              <w:textAlignment w:val="baseline"/>
              <w:rPr>
                <w:rFonts w:ascii="Arial" w:hAnsi="Arial" w:cs="Arial"/>
                <w:sz w:val="24"/>
                <w:szCs w:val="24"/>
              </w:rPr>
            </w:pPr>
            <w:r w:rsidRPr="002F1A58">
              <w:rPr>
                <w:rFonts w:ascii="Arial" w:hAnsi="Arial" w:cs="Arial"/>
                <w:sz w:val="24"/>
                <w:szCs w:val="24"/>
              </w:rPr>
              <w:t>Delegations to Legal Services (Part of Delegations to the Deputy Chief Constable)</w:t>
            </w:r>
          </w:p>
          <w:p w14:paraId="09D4CCCA" w14:textId="77777777" w:rsidR="002F1A58" w:rsidRPr="002F1A58" w:rsidRDefault="002F1A58" w:rsidP="002F1A58">
            <w:pPr>
              <w:tabs>
                <w:tab w:val="left" w:pos="0"/>
              </w:tabs>
              <w:overflowPunct w:val="0"/>
              <w:autoSpaceDE w:val="0"/>
              <w:autoSpaceDN w:val="0"/>
              <w:adjustRightInd w:val="0"/>
              <w:spacing w:after="0" w:line="240" w:lineRule="auto"/>
              <w:ind w:left="36" w:hanging="36"/>
              <w:jc w:val="both"/>
              <w:textAlignment w:val="baseline"/>
              <w:rPr>
                <w:rFonts w:ascii="Arial" w:hAnsi="Arial" w:cs="Arial"/>
                <w:sz w:val="24"/>
                <w:szCs w:val="24"/>
              </w:rPr>
            </w:pPr>
            <w:r w:rsidRPr="002F1A58">
              <w:rPr>
                <w:rFonts w:ascii="Arial" w:hAnsi="Arial" w:cs="Arial"/>
                <w:sz w:val="24"/>
                <w:szCs w:val="24"/>
              </w:rPr>
              <w:t>Paragraph 8.1.2</w:t>
            </w:r>
          </w:p>
          <w:p w14:paraId="43C11A54" w14:textId="3F722245" w:rsidR="002F1A58" w:rsidRPr="002F1A58" w:rsidRDefault="002F1A58" w:rsidP="002F1A58">
            <w:pPr>
              <w:tabs>
                <w:tab w:val="left" w:pos="0"/>
              </w:tabs>
              <w:overflowPunct w:val="0"/>
              <w:autoSpaceDE w:val="0"/>
              <w:autoSpaceDN w:val="0"/>
              <w:adjustRightInd w:val="0"/>
              <w:spacing w:after="0" w:line="240" w:lineRule="auto"/>
              <w:ind w:left="36" w:hanging="36"/>
              <w:jc w:val="both"/>
              <w:textAlignment w:val="baseline"/>
              <w:rPr>
                <w:rFonts w:ascii="Arial" w:hAnsi="Arial" w:cs="Arial"/>
                <w:sz w:val="24"/>
                <w:szCs w:val="24"/>
              </w:rPr>
            </w:pPr>
            <w:r w:rsidRPr="002F1A58">
              <w:rPr>
                <w:rFonts w:ascii="Arial" w:hAnsi="Arial" w:cs="Arial"/>
                <w:sz w:val="24"/>
                <w:szCs w:val="24"/>
              </w:rPr>
              <w:t>The below paragraphs have been amended to acknowledge the ability for Joint Legal Services to authorise up to £20,000</w:t>
            </w:r>
            <w:r>
              <w:rPr>
                <w:rFonts w:ascii="Arial" w:hAnsi="Arial" w:cs="Arial"/>
                <w:sz w:val="24"/>
                <w:szCs w:val="24"/>
              </w:rPr>
              <w:t xml:space="preserve"> (previously £10,000)</w:t>
            </w:r>
            <w:r w:rsidRPr="002F1A58">
              <w:rPr>
                <w:rFonts w:ascii="Arial" w:hAnsi="Arial" w:cs="Arial"/>
                <w:sz w:val="24"/>
                <w:szCs w:val="24"/>
              </w:rPr>
              <w:t xml:space="preserve"> before requiring approval from the Deputy Chief Constable.  This change was agreed at the Joint Legal Services Board in March 2022.</w:t>
            </w:r>
          </w:p>
          <w:p w14:paraId="621BE427" w14:textId="77777777" w:rsidR="002F1A58" w:rsidRPr="002F1A58" w:rsidRDefault="002F1A58" w:rsidP="002F1A58">
            <w:pPr>
              <w:tabs>
                <w:tab w:val="left" w:pos="0"/>
              </w:tabs>
              <w:overflowPunct w:val="0"/>
              <w:autoSpaceDE w:val="0"/>
              <w:autoSpaceDN w:val="0"/>
              <w:adjustRightInd w:val="0"/>
              <w:spacing w:after="0" w:line="240" w:lineRule="auto"/>
              <w:ind w:left="36" w:hanging="36"/>
              <w:jc w:val="both"/>
              <w:textAlignment w:val="baseline"/>
              <w:rPr>
                <w:rFonts w:ascii="Arial" w:hAnsi="Arial" w:cs="Arial"/>
                <w:sz w:val="24"/>
                <w:szCs w:val="24"/>
              </w:rPr>
            </w:pPr>
          </w:p>
          <w:p w14:paraId="630C8BA0" w14:textId="77777777" w:rsidR="002F1A58" w:rsidRPr="002F1A58" w:rsidRDefault="002F1A58" w:rsidP="002F1A58">
            <w:pPr>
              <w:numPr>
                <w:ilvl w:val="0"/>
                <w:numId w:val="22"/>
              </w:numPr>
              <w:jc w:val="both"/>
              <w:rPr>
                <w:rFonts w:ascii="Arial" w:hAnsi="Arial" w:cs="Arial"/>
                <w:i/>
                <w:iCs/>
                <w:sz w:val="24"/>
                <w:szCs w:val="24"/>
              </w:rPr>
            </w:pPr>
            <w:r w:rsidRPr="002F1A58">
              <w:rPr>
                <w:rFonts w:ascii="Arial" w:hAnsi="Arial" w:cs="Arial"/>
                <w:i/>
                <w:iCs/>
                <w:sz w:val="24"/>
                <w:szCs w:val="24"/>
              </w:rPr>
              <w:t>The settlement of damages in any action for damages sustained and/or loss to property and/or for personal injury up to a limit of</w:t>
            </w:r>
            <w:r w:rsidRPr="002F1A58">
              <w:rPr>
                <w:rFonts w:ascii="Arial" w:hAnsi="Arial" w:cs="Arial"/>
                <w:b/>
                <w:i/>
                <w:iCs/>
                <w:sz w:val="24"/>
                <w:szCs w:val="24"/>
              </w:rPr>
              <w:t xml:space="preserve"> £20,000</w:t>
            </w:r>
            <w:r w:rsidRPr="002F1A58">
              <w:rPr>
                <w:rFonts w:ascii="Arial" w:hAnsi="Arial" w:cs="Arial"/>
                <w:i/>
                <w:iCs/>
                <w:sz w:val="24"/>
                <w:szCs w:val="24"/>
              </w:rPr>
              <w:t xml:space="preserve"> (provided that such claims do not involve any allegations of police misfeasance, malicious </w:t>
            </w:r>
            <w:proofErr w:type="gramStart"/>
            <w:r w:rsidRPr="002F1A58">
              <w:rPr>
                <w:rFonts w:ascii="Arial" w:hAnsi="Arial" w:cs="Arial"/>
                <w:i/>
                <w:iCs/>
                <w:sz w:val="24"/>
                <w:szCs w:val="24"/>
              </w:rPr>
              <w:t>prosecution</w:t>
            </w:r>
            <w:proofErr w:type="gramEnd"/>
            <w:r w:rsidRPr="002F1A58">
              <w:rPr>
                <w:rFonts w:ascii="Arial" w:hAnsi="Arial" w:cs="Arial"/>
                <w:i/>
                <w:iCs/>
                <w:sz w:val="24"/>
                <w:szCs w:val="24"/>
              </w:rPr>
              <w:t xml:space="preserve"> or wrongful </w:t>
            </w:r>
            <w:r w:rsidRPr="002F1A58">
              <w:rPr>
                <w:rFonts w:ascii="Arial" w:hAnsi="Arial" w:cs="Arial"/>
                <w:i/>
                <w:iCs/>
                <w:sz w:val="24"/>
                <w:szCs w:val="24"/>
              </w:rPr>
              <w:lastRenderedPageBreak/>
              <w:t xml:space="preserve">arrest). If such allegations are made, any settlement must be authorised by the Deputy Chief Constable in accordance with the preceding provisions, and </w:t>
            </w:r>
          </w:p>
          <w:p w14:paraId="09C8E8B9" w14:textId="1034D0AC" w:rsidR="002F1A58" w:rsidRPr="00811F01" w:rsidRDefault="002F1A58" w:rsidP="00811F01">
            <w:pPr>
              <w:numPr>
                <w:ilvl w:val="0"/>
                <w:numId w:val="22"/>
              </w:numPr>
              <w:jc w:val="both"/>
              <w:rPr>
                <w:rFonts w:ascii="Arial" w:hAnsi="Arial" w:cs="Arial"/>
                <w:i/>
                <w:iCs/>
                <w:sz w:val="24"/>
                <w:szCs w:val="24"/>
              </w:rPr>
            </w:pPr>
            <w:r w:rsidRPr="002F1A58">
              <w:rPr>
                <w:rFonts w:ascii="Arial" w:hAnsi="Arial" w:cs="Arial"/>
                <w:i/>
                <w:iCs/>
                <w:sz w:val="24"/>
                <w:szCs w:val="24"/>
              </w:rPr>
              <w:t xml:space="preserve">To negotiate, settle and pay any </w:t>
            </w:r>
            <w:proofErr w:type="gramStart"/>
            <w:r w:rsidRPr="002F1A58">
              <w:rPr>
                <w:rFonts w:ascii="Arial" w:hAnsi="Arial" w:cs="Arial"/>
                <w:i/>
                <w:iCs/>
                <w:sz w:val="24"/>
                <w:szCs w:val="24"/>
              </w:rPr>
              <w:t>third party</w:t>
            </w:r>
            <w:proofErr w:type="gramEnd"/>
            <w:r w:rsidRPr="002F1A58">
              <w:rPr>
                <w:rFonts w:ascii="Arial" w:hAnsi="Arial" w:cs="Arial"/>
                <w:i/>
                <w:iCs/>
                <w:sz w:val="24"/>
                <w:szCs w:val="24"/>
              </w:rPr>
              <w:t xml:space="preserve"> costs arising from civil claims up to a limit of </w:t>
            </w:r>
            <w:r w:rsidRPr="002F1A58">
              <w:rPr>
                <w:rFonts w:ascii="Arial" w:hAnsi="Arial" w:cs="Arial"/>
                <w:b/>
                <w:i/>
                <w:iCs/>
                <w:sz w:val="24"/>
                <w:szCs w:val="24"/>
              </w:rPr>
              <w:t>£20,000</w:t>
            </w:r>
            <w:r w:rsidRPr="002F1A58">
              <w:rPr>
                <w:rFonts w:ascii="Arial" w:hAnsi="Arial" w:cs="Arial"/>
                <w:i/>
                <w:iCs/>
                <w:sz w:val="24"/>
                <w:szCs w:val="24"/>
              </w:rPr>
              <w:t xml:space="preserve">. Any settlement of costs above this level must be authorised by the Deputy Chief Constable in accordance with the preceding provisions </w:t>
            </w:r>
          </w:p>
        </w:tc>
      </w:tr>
      <w:tr w:rsidR="002F1A58" w:rsidRPr="00A553B7" w14:paraId="3C039469" w14:textId="77777777" w:rsidTr="00ED0E41">
        <w:tc>
          <w:tcPr>
            <w:tcW w:w="1124" w:type="dxa"/>
            <w:shd w:val="clear" w:color="auto" w:fill="auto"/>
          </w:tcPr>
          <w:p w14:paraId="6388CEF7" w14:textId="65FF4893" w:rsidR="002F1A58" w:rsidRPr="00DC6E87" w:rsidRDefault="002F1A58" w:rsidP="002F1A58">
            <w:pPr>
              <w:rPr>
                <w:rFonts w:ascii="Arial" w:hAnsi="Arial" w:cs="Arial"/>
                <w:sz w:val="24"/>
                <w:szCs w:val="24"/>
                <w:highlight w:val="yellow"/>
              </w:rPr>
            </w:pPr>
            <w:r w:rsidRPr="002368E7">
              <w:rPr>
                <w:rFonts w:ascii="Arial" w:hAnsi="Arial" w:cs="Arial"/>
                <w:sz w:val="24"/>
                <w:szCs w:val="24"/>
              </w:rPr>
              <w:lastRenderedPageBreak/>
              <w:t>7</w:t>
            </w:r>
            <w:r w:rsidR="00811F01">
              <w:rPr>
                <w:rFonts w:ascii="Arial" w:hAnsi="Arial" w:cs="Arial"/>
                <w:sz w:val="24"/>
                <w:szCs w:val="24"/>
              </w:rPr>
              <w:t>3</w:t>
            </w:r>
          </w:p>
        </w:tc>
        <w:tc>
          <w:tcPr>
            <w:tcW w:w="14910" w:type="dxa"/>
            <w:shd w:val="clear" w:color="auto" w:fill="auto"/>
          </w:tcPr>
          <w:p w14:paraId="0280ADFE" w14:textId="42E15294" w:rsidR="002F1A58" w:rsidRPr="002368E7" w:rsidRDefault="002F1A58" w:rsidP="002F1A58">
            <w:pPr>
              <w:rPr>
                <w:rFonts w:ascii="Arial" w:eastAsia="Times New Roman" w:hAnsi="Arial" w:cs="Arial"/>
                <w:sz w:val="24"/>
                <w:szCs w:val="24"/>
              </w:rPr>
            </w:pPr>
            <w:r w:rsidRPr="002368E7">
              <w:rPr>
                <w:rFonts w:ascii="Arial" w:eastAsia="Times New Roman" w:hAnsi="Arial" w:cs="Arial"/>
                <w:sz w:val="24"/>
                <w:szCs w:val="24"/>
              </w:rPr>
              <w:t>Delegations to the Assistant Chief Constable</w:t>
            </w:r>
            <w:r w:rsidRPr="002368E7">
              <w:rPr>
                <w:rFonts w:ascii="Arial" w:eastAsia="Times New Roman" w:hAnsi="Arial" w:cs="Arial"/>
                <w:sz w:val="24"/>
                <w:szCs w:val="24"/>
              </w:rPr>
              <w:br/>
              <w:t>Paragraph 8.2.1</w:t>
            </w:r>
          </w:p>
          <w:p w14:paraId="63F01EC3" w14:textId="192792B0" w:rsidR="002F1A58" w:rsidRPr="002368E7" w:rsidRDefault="002F1A58" w:rsidP="002F1A58">
            <w:pPr>
              <w:pStyle w:val="ListParagraph"/>
              <w:numPr>
                <w:ilvl w:val="0"/>
                <w:numId w:val="21"/>
              </w:numPr>
              <w:rPr>
                <w:rFonts w:ascii="Arial" w:eastAsia="Times New Roman" w:hAnsi="Arial" w:cs="Arial"/>
                <w:sz w:val="24"/>
                <w:szCs w:val="24"/>
              </w:rPr>
            </w:pPr>
            <w:r w:rsidRPr="002368E7">
              <w:rPr>
                <w:rFonts w:ascii="Arial" w:eastAsia="Times New Roman" w:hAnsi="Arial" w:cs="Arial"/>
                <w:sz w:val="24"/>
                <w:szCs w:val="24"/>
              </w:rPr>
              <w:t xml:space="preserve">The Assistant Chief Constable in South Wales Police is the Lead for the Joint Firearms Collaboration, so </w:t>
            </w:r>
            <w:r w:rsidR="00D8036A">
              <w:rPr>
                <w:rFonts w:ascii="Arial" w:eastAsia="Times New Roman" w:hAnsi="Arial" w:cs="Arial"/>
                <w:sz w:val="24"/>
                <w:szCs w:val="24"/>
              </w:rPr>
              <w:t>reference to the Gwent Assistant Chief Constable leading the collaboration has been removed.</w:t>
            </w:r>
          </w:p>
          <w:p w14:paraId="41FE5F36" w14:textId="1EAE6FE0" w:rsidR="002F1A58" w:rsidRPr="002368E7" w:rsidRDefault="002F1A58" w:rsidP="002F1A58">
            <w:pPr>
              <w:pStyle w:val="ListParagraph"/>
              <w:numPr>
                <w:ilvl w:val="0"/>
                <w:numId w:val="21"/>
              </w:numPr>
              <w:rPr>
                <w:rFonts w:ascii="Arial" w:eastAsia="Times New Roman" w:hAnsi="Arial" w:cs="Arial"/>
                <w:sz w:val="24"/>
                <w:szCs w:val="24"/>
              </w:rPr>
            </w:pPr>
            <w:r w:rsidRPr="002368E7">
              <w:rPr>
                <w:rFonts w:ascii="Arial" w:eastAsia="Times New Roman" w:hAnsi="Arial" w:cs="Arial"/>
                <w:sz w:val="24"/>
                <w:szCs w:val="24"/>
              </w:rPr>
              <w:t>‘Strategic Project Management’ has been removed as this is part of the delegation to the Deputy Chief Constable.</w:t>
            </w:r>
          </w:p>
          <w:p w14:paraId="26FC77B2" w14:textId="77777777" w:rsidR="002F1A58" w:rsidRPr="002368E7" w:rsidRDefault="002F1A58" w:rsidP="002F1A58">
            <w:pPr>
              <w:pStyle w:val="ListParagraph"/>
              <w:numPr>
                <w:ilvl w:val="0"/>
                <w:numId w:val="21"/>
              </w:numPr>
              <w:rPr>
                <w:rFonts w:ascii="Arial" w:eastAsia="Times New Roman" w:hAnsi="Arial" w:cs="Arial"/>
                <w:sz w:val="24"/>
                <w:szCs w:val="24"/>
              </w:rPr>
            </w:pPr>
            <w:r w:rsidRPr="002368E7">
              <w:rPr>
                <w:rFonts w:ascii="Arial" w:eastAsia="Times New Roman" w:hAnsi="Arial" w:cs="Arial"/>
                <w:sz w:val="24"/>
                <w:szCs w:val="24"/>
              </w:rPr>
              <w:t>‘Data Management’ has been removed as this is part of the delegation to the Assistant Chief Officer, Resources within ‘Information Services’</w:t>
            </w:r>
          </w:p>
          <w:p w14:paraId="2706860E" w14:textId="3C7BA797" w:rsidR="002F1A58" w:rsidRPr="002368E7" w:rsidRDefault="002F1A58" w:rsidP="002F1A58">
            <w:pPr>
              <w:pStyle w:val="ListParagraph"/>
              <w:numPr>
                <w:ilvl w:val="0"/>
                <w:numId w:val="21"/>
              </w:numPr>
              <w:rPr>
                <w:rFonts w:ascii="Arial" w:eastAsia="Times New Roman" w:hAnsi="Arial" w:cs="Arial"/>
                <w:sz w:val="24"/>
                <w:szCs w:val="24"/>
              </w:rPr>
            </w:pPr>
            <w:r w:rsidRPr="002368E7">
              <w:rPr>
                <w:rFonts w:ascii="Arial" w:eastAsia="Times New Roman" w:hAnsi="Arial" w:cs="Arial"/>
                <w:sz w:val="24"/>
                <w:szCs w:val="24"/>
              </w:rPr>
              <w:t xml:space="preserve">‘Collaboration(s)’ changed to “Operational Collaborations”. </w:t>
            </w:r>
          </w:p>
          <w:p w14:paraId="1278B6A5" w14:textId="2E7C998C" w:rsidR="002F1A58" w:rsidRPr="002368E7" w:rsidRDefault="002F1A58" w:rsidP="002F1A58">
            <w:pPr>
              <w:pStyle w:val="ListParagraph"/>
              <w:rPr>
                <w:rFonts w:ascii="Arial" w:hAnsi="Arial" w:cs="Arial"/>
                <w:sz w:val="24"/>
                <w:szCs w:val="24"/>
                <w:highlight w:val="yellow"/>
              </w:rPr>
            </w:pPr>
          </w:p>
        </w:tc>
      </w:tr>
      <w:tr w:rsidR="002F1A58" w:rsidRPr="00A553B7" w14:paraId="52990234" w14:textId="77777777" w:rsidTr="00ED0E41">
        <w:tc>
          <w:tcPr>
            <w:tcW w:w="1124" w:type="dxa"/>
            <w:shd w:val="clear" w:color="auto" w:fill="auto"/>
          </w:tcPr>
          <w:p w14:paraId="70614A05" w14:textId="6C88411F" w:rsidR="002F1A58" w:rsidRPr="00DC6E87" w:rsidRDefault="002F1A58" w:rsidP="002F1A58">
            <w:pPr>
              <w:rPr>
                <w:rFonts w:ascii="Arial" w:hAnsi="Arial" w:cs="Arial"/>
                <w:sz w:val="24"/>
                <w:szCs w:val="24"/>
                <w:highlight w:val="yellow"/>
              </w:rPr>
            </w:pPr>
            <w:r w:rsidRPr="002368E7">
              <w:rPr>
                <w:rFonts w:ascii="Arial" w:hAnsi="Arial" w:cs="Arial"/>
                <w:sz w:val="24"/>
                <w:szCs w:val="24"/>
              </w:rPr>
              <w:t>7</w:t>
            </w:r>
            <w:r w:rsidR="00811F01">
              <w:rPr>
                <w:rFonts w:ascii="Arial" w:hAnsi="Arial" w:cs="Arial"/>
                <w:sz w:val="24"/>
                <w:szCs w:val="24"/>
              </w:rPr>
              <w:t>4</w:t>
            </w:r>
          </w:p>
        </w:tc>
        <w:tc>
          <w:tcPr>
            <w:tcW w:w="14910" w:type="dxa"/>
            <w:shd w:val="clear" w:color="auto" w:fill="auto"/>
          </w:tcPr>
          <w:p w14:paraId="6AFA36DF" w14:textId="5F063CC2" w:rsidR="002F1A58" w:rsidRPr="002368E7" w:rsidRDefault="002F1A58" w:rsidP="002F1A58">
            <w:pPr>
              <w:rPr>
                <w:rFonts w:ascii="Arial" w:eastAsia="Times New Roman" w:hAnsi="Arial" w:cs="Arial"/>
                <w:sz w:val="24"/>
                <w:szCs w:val="24"/>
              </w:rPr>
            </w:pPr>
            <w:r w:rsidRPr="002368E7">
              <w:rPr>
                <w:rFonts w:ascii="Arial" w:eastAsia="Times New Roman" w:hAnsi="Arial" w:cs="Arial"/>
                <w:sz w:val="24"/>
                <w:szCs w:val="24"/>
              </w:rPr>
              <w:t>Delegations to the Assistant Chief Officer, Resources</w:t>
            </w:r>
            <w:r w:rsidRPr="002368E7">
              <w:rPr>
                <w:rFonts w:ascii="Arial" w:eastAsia="Times New Roman" w:hAnsi="Arial" w:cs="Arial"/>
                <w:sz w:val="24"/>
                <w:szCs w:val="24"/>
              </w:rPr>
              <w:br/>
              <w:t>Paragraph 8.3.1</w:t>
            </w:r>
          </w:p>
          <w:p w14:paraId="2E918B91" w14:textId="77777777" w:rsidR="002F1A58" w:rsidRPr="002368E7" w:rsidRDefault="002F1A58" w:rsidP="002F1A58">
            <w:pPr>
              <w:pStyle w:val="ListParagraph"/>
              <w:numPr>
                <w:ilvl w:val="0"/>
                <w:numId w:val="21"/>
              </w:numPr>
              <w:rPr>
                <w:rFonts w:ascii="Arial" w:eastAsia="Times New Roman" w:hAnsi="Arial" w:cs="Arial"/>
                <w:sz w:val="24"/>
                <w:szCs w:val="24"/>
              </w:rPr>
            </w:pPr>
            <w:r w:rsidRPr="002368E7">
              <w:rPr>
                <w:rFonts w:ascii="Arial" w:eastAsia="Times New Roman" w:hAnsi="Arial" w:cs="Arial"/>
                <w:sz w:val="24"/>
                <w:szCs w:val="24"/>
              </w:rPr>
              <w:t>The following delegations have been included:</w:t>
            </w:r>
          </w:p>
          <w:p w14:paraId="2F0FFDE7" w14:textId="77777777" w:rsidR="002F1A58" w:rsidRPr="002368E7" w:rsidRDefault="002F1A58" w:rsidP="002F1A58">
            <w:pPr>
              <w:pStyle w:val="ListParagraph"/>
              <w:numPr>
                <w:ilvl w:val="1"/>
                <w:numId w:val="21"/>
              </w:numPr>
              <w:rPr>
                <w:rFonts w:ascii="Arial" w:eastAsia="Times New Roman" w:hAnsi="Arial" w:cs="Arial"/>
                <w:sz w:val="24"/>
                <w:szCs w:val="24"/>
              </w:rPr>
            </w:pPr>
            <w:r w:rsidRPr="002368E7">
              <w:rPr>
                <w:rFonts w:ascii="Arial" w:eastAsia="Times New Roman" w:hAnsi="Arial" w:cs="Arial"/>
                <w:sz w:val="24"/>
                <w:szCs w:val="24"/>
              </w:rPr>
              <w:t>Airwave</w:t>
            </w:r>
          </w:p>
          <w:p w14:paraId="20873795" w14:textId="77777777" w:rsidR="002F1A58" w:rsidRPr="002368E7" w:rsidRDefault="002F1A58" w:rsidP="002F1A58">
            <w:pPr>
              <w:pStyle w:val="ListParagraph"/>
              <w:numPr>
                <w:ilvl w:val="1"/>
                <w:numId w:val="21"/>
              </w:numPr>
              <w:rPr>
                <w:rFonts w:ascii="Arial" w:eastAsia="Times New Roman" w:hAnsi="Arial" w:cs="Arial"/>
                <w:sz w:val="24"/>
                <w:szCs w:val="24"/>
              </w:rPr>
            </w:pPr>
            <w:r w:rsidRPr="002368E7">
              <w:rPr>
                <w:rFonts w:ascii="Arial" w:eastAsia="Times New Roman" w:hAnsi="Arial" w:cs="Arial"/>
                <w:sz w:val="24"/>
                <w:szCs w:val="24"/>
              </w:rPr>
              <w:t>Information Services; and</w:t>
            </w:r>
          </w:p>
          <w:p w14:paraId="27214CCC" w14:textId="26FBAF77" w:rsidR="002F1A58" w:rsidRPr="002368E7" w:rsidRDefault="002F1A58" w:rsidP="002F1A58">
            <w:pPr>
              <w:pStyle w:val="ListParagraph"/>
              <w:numPr>
                <w:ilvl w:val="1"/>
                <w:numId w:val="21"/>
              </w:numPr>
              <w:rPr>
                <w:rFonts w:ascii="Arial" w:eastAsia="Times New Roman" w:hAnsi="Arial" w:cs="Arial"/>
                <w:sz w:val="24"/>
                <w:szCs w:val="24"/>
              </w:rPr>
            </w:pPr>
            <w:r w:rsidRPr="002368E7">
              <w:rPr>
                <w:rFonts w:ascii="Arial" w:eastAsia="Times New Roman" w:hAnsi="Arial" w:cs="Arial"/>
                <w:sz w:val="24"/>
                <w:szCs w:val="24"/>
              </w:rPr>
              <w:t>Business and Technology Collaborations</w:t>
            </w:r>
          </w:p>
          <w:p w14:paraId="40212519" w14:textId="77777777" w:rsidR="002F1A58" w:rsidRPr="002368E7" w:rsidRDefault="002F1A58" w:rsidP="002F1A58">
            <w:pPr>
              <w:pStyle w:val="Body"/>
              <w:spacing w:line="280" w:lineRule="exact"/>
              <w:ind w:right="0"/>
              <w:rPr>
                <w:rFonts w:ascii="Arial" w:hAnsi="Arial" w:cs="Arial"/>
                <w:sz w:val="24"/>
                <w:szCs w:val="24"/>
                <w:highlight w:val="yellow"/>
              </w:rPr>
            </w:pPr>
          </w:p>
        </w:tc>
      </w:tr>
      <w:tr w:rsidR="00D8036A" w:rsidRPr="00A553B7" w14:paraId="3037C765" w14:textId="77777777" w:rsidTr="00ED0E41">
        <w:tc>
          <w:tcPr>
            <w:tcW w:w="1124" w:type="dxa"/>
            <w:shd w:val="clear" w:color="auto" w:fill="auto"/>
          </w:tcPr>
          <w:p w14:paraId="7F78627A" w14:textId="2D1F5DE1" w:rsidR="00D8036A" w:rsidRPr="002368E7" w:rsidRDefault="00D8036A" w:rsidP="002F1A58">
            <w:pPr>
              <w:rPr>
                <w:rFonts w:ascii="Arial" w:hAnsi="Arial" w:cs="Arial"/>
                <w:sz w:val="24"/>
                <w:szCs w:val="24"/>
              </w:rPr>
            </w:pPr>
            <w:r>
              <w:rPr>
                <w:rFonts w:ascii="Arial" w:hAnsi="Arial" w:cs="Arial"/>
                <w:sz w:val="24"/>
                <w:szCs w:val="24"/>
              </w:rPr>
              <w:t>11</w:t>
            </w:r>
            <w:r w:rsidR="00811F01">
              <w:rPr>
                <w:rFonts w:ascii="Arial" w:hAnsi="Arial" w:cs="Arial"/>
                <w:sz w:val="24"/>
                <w:szCs w:val="24"/>
              </w:rPr>
              <w:t>4</w:t>
            </w:r>
            <w:r>
              <w:rPr>
                <w:rFonts w:ascii="Arial" w:hAnsi="Arial" w:cs="Arial"/>
                <w:sz w:val="24"/>
                <w:szCs w:val="24"/>
              </w:rPr>
              <w:t xml:space="preserve"> &amp; 12</w:t>
            </w:r>
            <w:r w:rsidR="00811F01">
              <w:rPr>
                <w:rFonts w:ascii="Arial" w:hAnsi="Arial" w:cs="Arial"/>
                <w:sz w:val="24"/>
                <w:szCs w:val="24"/>
              </w:rPr>
              <w:t>1</w:t>
            </w:r>
          </w:p>
        </w:tc>
        <w:tc>
          <w:tcPr>
            <w:tcW w:w="14910" w:type="dxa"/>
            <w:shd w:val="clear" w:color="auto" w:fill="auto"/>
          </w:tcPr>
          <w:p w14:paraId="4866F0FC" w14:textId="77625C85" w:rsidR="00D8036A" w:rsidRPr="002368E7" w:rsidRDefault="00D8036A" w:rsidP="002F1A58">
            <w:pPr>
              <w:rPr>
                <w:rFonts w:ascii="Arial" w:eastAsia="Times New Roman" w:hAnsi="Arial" w:cs="Arial"/>
                <w:sz w:val="24"/>
                <w:szCs w:val="24"/>
              </w:rPr>
            </w:pPr>
            <w:r>
              <w:rPr>
                <w:rFonts w:ascii="Arial" w:eastAsia="Times New Roman" w:hAnsi="Arial" w:cs="Arial"/>
                <w:sz w:val="24"/>
                <w:szCs w:val="24"/>
              </w:rPr>
              <w:t>Ex-Gratia Payments</w:t>
            </w:r>
            <w:r>
              <w:rPr>
                <w:rFonts w:ascii="Arial" w:eastAsia="Times New Roman" w:hAnsi="Arial" w:cs="Arial"/>
                <w:sz w:val="24"/>
                <w:szCs w:val="24"/>
              </w:rPr>
              <w:br/>
            </w:r>
            <w:r w:rsidR="0003790A">
              <w:rPr>
                <w:rFonts w:ascii="Arial" w:eastAsia="Times New Roman" w:hAnsi="Arial" w:cs="Arial"/>
                <w:sz w:val="24"/>
                <w:szCs w:val="24"/>
              </w:rPr>
              <w:t>Included ‘in consultation with the CFO’ for any ex-gratia payment over £10,000 approved by the Police and Crime Commissioner.</w:t>
            </w:r>
          </w:p>
        </w:tc>
      </w:tr>
      <w:tr w:rsidR="00D8036A" w:rsidRPr="00A553B7" w14:paraId="449A04FF" w14:textId="77777777" w:rsidTr="00ED0E41">
        <w:tc>
          <w:tcPr>
            <w:tcW w:w="1124" w:type="dxa"/>
            <w:shd w:val="clear" w:color="auto" w:fill="auto"/>
          </w:tcPr>
          <w:p w14:paraId="28C58C75" w14:textId="14F43568" w:rsidR="00D8036A" w:rsidRPr="002368E7" w:rsidRDefault="00D8036A" w:rsidP="002F1A58">
            <w:pPr>
              <w:rPr>
                <w:rFonts w:ascii="Arial" w:hAnsi="Arial" w:cs="Arial"/>
                <w:sz w:val="24"/>
                <w:szCs w:val="24"/>
              </w:rPr>
            </w:pPr>
            <w:r>
              <w:rPr>
                <w:rFonts w:ascii="Arial" w:hAnsi="Arial" w:cs="Arial"/>
                <w:sz w:val="24"/>
                <w:szCs w:val="24"/>
              </w:rPr>
              <w:t>Various</w:t>
            </w:r>
          </w:p>
        </w:tc>
        <w:tc>
          <w:tcPr>
            <w:tcW w:w="14910" w:type="dxa"/>
            <w:shd w:val="clear" w:color="auto" w:fill="auto"/>
          </w:tcPr>
          <w:p w14:paraId="3DAA2D56" w14:textId="589E1982" w:rsidR="00D8036A" w:rsidRPr="002368E7" w:rsidRDefault="00D8036A" w:rsidP="002F1A58">
            <w:pPr>
              <w:rPr>
                <w:rFonts w:ascii="Arial" w:eastAsia="Times New Roman" w:hAnsi="Arial" w:cs="Arial"/>
                <w:sz w:val="24"/>
                <w:szCs w:val="24"/>
              </w:rPr>
            </w:pPr>
            <w:r>
              <w:rPr>
                <w:rFonts w:ascii="Arial" w:eastAsia="Times New Roman" w:hAnsi="Arial" w:cs="Arial"/>
                <w:sz w:val="24"/>
                <w:szCs w:val="24"/>
              </w:rPr>
              <w:t>Accounts and Audit (Wales) Regulations 2010 amended to read 2014.</w:t>
            </w:r>
          </w:p>
        </w:tc>
      </w:tr>
    </w:tbl>
    <w:p w14:paraId="552249BA" w14:textId="2C6213B0" w:rsidR="00AC4C83" w:rsidRDefault="00AC4C83" w:rsidP="00811F01">
      <w:pPr>
        <w:rPr>
          <w:rFonts w:ascii="Arial" w:hAnsi="Arial" w:cs="Arial"/>
          <w:b/>
          <w:color w:val="A6A6A6"/>
          <w:sz w:val="24"/>
          <w:szCs w:val="24"/>
        </w:rPr>
      </w:pPr>
    </w:p>
    <w:sectPr w:rsidR="00AC4C83" w:rsidSect="00811F01">
      <w:footerReference w:type="default" r:id="rId14"/>
      <w:pgSz w:w="16838" w:h="11906" w:orient="landscape"/>
      <w:pgMar w:top="1440" w:right="1440" w:bottom="1440" w:left="567" w:header="708" w:footer="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2D0D0" w14:textId="77777777" w:rsidR="00F511F5" w:rsidRDefault="00F511F5" w:rsidP="00D26302">
      <w:pPr>
        <w:spacing w:after="0" w:line="240" w:lineRule="auto"/>
      </w:pPr>
      <w:r>
        <w:separator/>
      </w:r>
    </w:p>
  </w:endnote>
  <w:endnote w:type="continuationSeparator" w:id="0">
    <w:p w14:paraId="0411FD91" w14:textId="77777777" w:rsidR="00F511F5" w:rsidRDefault="00F511F5" w:rsidP="00D2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71EBD" w14:textId="77777777" w:rsidR="00BD67F9" w:rsidRDefault="00BD67F9" w:rsidP="00D26302">
    <w:pPr>
      <w:pStyle w:val="Footer"/>
      <w:spacing w:after="0"/>
      <w:jc w:val="center"/>
      <w:rPr>
        <w:rFonts w:ascii="Arial" w:hAnsi="Arial" w:cs="Arial"/>
        <w:b/>
        <w:color w:val="FF0000"/>
        <w:sz w:val="24"/>
      </w:rPr>
    </w:pPr>
    <w:bookmarkStart w:id="2" w:name="aliashDefaultHeaderandFo1FooterEvenPages"/>
  </w:p>
  <w:bookmarkEnd w:id="2"/>
  <w:p w14:paraId="4A430756" w14:textId="77777777" w:rsidR="00BD67F9" w:rsidRDefault="00BD6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F1AA" w14:textId="77777777" w:rsidR="00BD67F9" w:rsidRDefault="00BD67F9">
    <w:pPr>
      <w:pStyle w:val="Footer"/>
      <w:jc w:val="center"/>
    </w:pPr>
    <w:r>
      <w:fldChar w:fldCharType="begin"/>
    </w:r>
    <w:r>
      <w:instrText xml:space="preserve"> PAGE   \* MERGEFORMAT </w:instrText>
    </w:r>
    <w:r>
      <w:fldChar w:fldCharType="separate"/>
    </w:r>
    <w:r w:rsidR="003E36C3">
      <w:rPr>
        <w:noProof/>
      </w:rPr>
      <w:t>1</w:t>
    </w:r>
    <w:r>
      <w:rPr>
        <w:noProof/>
      </w:rPr>
      <w:fldChar w:fldCharType="end"/>
    </w:r>
  </w:p>
  <w:p w14:paraId="0405E9E4" w14:textId="77777777" w:rsidR="00BD67F9" w:rsidRDefault="00BD67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A10F0" w14:textId="77777777" w:rsidR="00BD67F9" w:rsidRDefault="00BD67F9" w:rsidP="00D26302">
    <w:pPr>
      <w:pStyle w:val="Footer"/>
      <w:spacing w:after="0"/>
      <w:jc w:val="center"/>
      <w:rPr>
        <w:rFonts w:ascii="Arial" w:hAnsi="Arial" w:cs="Arial"/>
        <w:b/>
        <w:color w:val="FF0000"/>
        <w:sz w:val="24"/>
      </w:rPr>
    </w:pPr>
    <w:bookmarkStart w:id="4" w:name="aliashDefaultHeaderandFo1FooterFirstPage"/>
  </w:p>
  <w:bookmarkEnd w:id="4"/>
  <w:p w14:paraId="13B8AA8C" w14:textId="77777777" w:rsidR="00BD67F9" w:rsidRDefault="00BD67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CF781" w14:textId="77777777" w:rsidR="00F16DB9" w:rsidRDefault="00487A0D">
    <w:pPr>
      <w:pStyle w:val="Footer"/>
      <w:jc w:val="center"/>
    </w:pPr>
    <w:r>
      <w:fldChar w:fldCharType="begin"/>
    </w:r>
    <w:r>
      <w:instrText xml:space="preserve"> PAGE   \* MERGEFORMAT </w:instrText>
    </w:r>
    <w:r>
      <w:fldChar w:fldCharType="separate"/>
    </w:r>
    <w:r>
      <w:rPr>
        <w:noProof/>
      </w:rPr>
      <w:t>1</w:t>
    </w:r>
    <w:r>
      <w:rPr>
        <w:noProof/>
      </w:rPr>
      <w:fldChar w:fldCharType="end"/>
    </w:r>
  </w:p>
  <w:p w14:paraId="104FD03B" w14:textId="77777777" w:rsidR="00F16DB9" w:rsidRDefault="007B5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88170" w14:textId="77777777" w:rsidR="00F511F5" w:rsidRDefault="00F511F5" w:rsidP="00D26302">
      <w:pPr>
        <w:spacing w:after="0" w:line="240" w:lineRule="auto"/>
      </w:pPr>
      <w:r>
        <w:separator/>
      </w:r>
    </w:p>
  </w:footnote>
  <w:footnote w:type="continuationSeparator" w:id="0">
    <w:p w14:paraId="04D25A32" w14:textId="77777777" w:rsidR="00F511F5" w:rsidRDefault="00F511F5" w:rsidP="00D26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30D4" w14:textId="77777777" w:rsidR="00BD67F9" w:rsidRDefault="00BD67F9" w:rsidP="00D26302">
    <w:pPr>
      <w:pStyle w:val="Header"/>
      <w:spacing w:after="0"/>
      <w:jc w:val="center"/>
      <w:rPr>
        <w:rFonts w:ascii="Arial" w:hAnsi="Arial" w:cs="Arial"/>
        <w:b/>
        <w:color w:val="FF0000"/>
        <w:sz w:val="24"/>
      </w:rPr>
    </w:pPr>
    <w:bookmarkStart w:id="0" w:name="aliashDefaultHeaderandFo1HeaderEvenPages"/>
  </w:p>
  <w:bookmarkEnd w:id="0"/>
  <w:p w14:paraId="53F1FD3F" w14:textId="77777777" w:rsidR="00BD67F9" w:rsidRDefault="00BD67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B185" w14:textId="77777777" w:rsidR="00BD67F9" w:rsidRDefault="00BD67F9" w:rsidP="00D26302">
    <w:pPr>
      <w:pStyle w:val="Header"/>
      <w:spacing w:after="0"/>
      <w:jc w:val="center"/>
      <w:rPr>
        <w:rFonts w:ascii="Arial" w:hAnsi="Arial" w:cs="Arial"/>
        <w:b/>
        <w:color w:val="FF0000"/>
        <w:sz w:val="24"/>
      </w:rPr>
    </w:pPr>
    <w:bookmarkStart w:id="1" w:name="aliashDefaultHeaderandFoot1HeaderPrimary"/>
  </w:p>
  <w:bookmarkEnd w:id="1"/>
  <w:p w14:paraId="10F5FE3B" w14:textId="77777777" w:rsidR="00BD67F9" w:rsidRDefault="00BD67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52472" w14:textId="77777777" w:rsidR="00BD67F9" w:rsidRDefault="00BD67F9" w:rsidP="00D26302">
    <w:pPr>
      <w:pStyle w:val="Header"/>
      <w:spacing w:after="0"/>
      <w:jc w:val="center"/>
      <w:rPr>
        <w:rFonts w:ascii="Arial" w:hAnsi="Arial" w:cs="Arial"/>
        <w:b/>
        <w:color w:val="FF0000"/>
        <w:sz w:val="24"/>
      </w:rPr>
    </w:pPr>
    <w:bookmarkStart w:id="3" w:name="aliashDefaultHeaderandFo1HeaderFirstPage"/>
  </w:p>
  <w:bookmarkEnd w:id="3"/>
  <w:p w14:paraId="64D3FFCE" w14:textId="77777777" w:rsidR="00BD67F9" w:rsidRDefault="00BD6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597B"/>
    <w:multiLevelType w:val="hybridMultilevel"/>
    <w:tmpl w:val="54F4ADC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A0030C"/>
    <w:multiLevelType w:val="hybridMultilevel"/>
    <w:tmpl w:val="7682E01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E4118"/>
    <w:multiLevelType w:val="hybridMultilevel"/>
    <w:tmpl w:val="05FE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E594A"/>
    <w:multiLevelType w:val="hybridMultilevel"/>
    <w:tmpl w:val="735AC7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873A0F"/>
    <w:multiLevelType w:val="hybridMultilevel"/>
    <w:tmpl w:val="C43814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8685A"/>
    <w:multiLevelType w:val="hybridMultilevel"/>
    <w:tmpl w:val="0D9ED2CC"/>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6" w15:restartNumberingAfterBreak="0">
    <w:nsid w:val="136075FF"/>
    <w:multiLevelType w:val="hybridMultilevel"/>
    <w:tmpl w:val="3292582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17124B"/>
    <w:multiLevelType w:val="hybridMultilevel"/>
    <w:tmpl w:val="92707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676E46"/>
    <w:multiLevelType w:val="hybridMultilevel"/>
    <w:tmpl w:val="66A64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D90A32"/>
    <w:multiLevelType w:val="hybridMultilevel"/>
    <w:tmpl w:val="BA107F0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1D852589"/>
    <w:multiLevelType w:val="hybridMultilevel"/>
    <w:tmpl w:val="882C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D70BD"/>
    <w:multiLevelType w:val="hybridMultilevel"/>
    <w:tmpl w:val="E8826336"/>
    <w:lvl w:ilvl="0" w:tplc="879E1A1A">
      <w:start w:val="1"/>
      <w:numFmt w:val="bullet"/>
      <w:lvlText w:val=""/>
      <w:lvlJc w:val="left"/>
      <w:pPr>
        <w:ind w:left="360" w:hanging="360"/>
      </w:pPr>
      <w:rPr>
        <w:rFonts w:ascii="Symbol" w:hAnsi="Symbol" w:hint="default"/>
        <w:color w:val="auto"/>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800D97"/>
    <w:multiLevelType w:val="hybridMultilevel"/>
    <w:tmpl w:val="DB8E7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DF1F79"/>
    <w:multiLevelType w:val="hybridMultilevel"/>
    <w:tmpl w:val="19B6AD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D3719E"/>
    <w:multiLevelType w:val="hybridMultilevel"/>
    <w:tmpl w:val="059470F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9873B5"/>
    <w:multiLevelType w:val="hybridMultilevel"/>
    <w:tmpl w:val="03C8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D9656C"/>
    <w:multiLevelType w:val="hybridMultilevel"/>
    <w:tmpl w:val="78EEC8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6B870ED"/>
    <w:multiLevelType w:val="hybridMultilevel"/>
    <w:tmpl w:val="E91A0CD6"/>
    <w:lvl w:ilvl="0" w:tplc="0809000B">
      <w:start w:val="1"/>
      <w:numFmt w:val="bullet"/>
      <w:lvlText w:val=""/>
      <w:lvlJc w:val="left"/>
      <w:pPr>
        <w:ind w:left="790" w:hanging="360"/>
      </w:pPr>
      <w:rPr>
        <w:rFonts w:ascii="Wingdings" w:hAnsi="Wingdings"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8" w15:restartNumberingAfterBreak="0">
    <w:nsid w:val="3C6C305A"/>
    <w:multiLevelType w:val="hybridMultilevel"/>
    <w:tmpl w:val="4942D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7D6F9C"/>
    <w:multiLevelType w:val="hybridMultilevel"/>
    <w:tmpl w:val="F724E736"/>
    <w:lvl w:ilvl="0" w:tplc="D18689B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976E8B"/>
    <w:multiLevelType w:val="hybridMultilevel"/>
    <w:tmpl w:val="3CDE7528"/>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0C507A4"/>
    <w:multiLevelType w:val="multilevel"/>
    <w:tmpl w:val="923A374A"/>
    <w:lvl w:ilvl="0">
      <w:start w:val="1"/>
      <w:numFmt w:val="decimal"/>
      <w:lvlText w:val="%1."/>
      <w:lvlJc w:val="left"/>
      <w:pPr>
        <w:tabs>
          <w:tab w:val="num" w:pos="2064"/>
        </w:tabs>
        <w:ind w:left="2064" w:hanging="504"/>
      </w:pPr>
      <w:rPr>
        <w:rFonts w:hint="default"/>
        <w:b/>
      </w:rPr>
    </w:lvl>
    <w:lvl w:ilvl="1">
      <w:start w:val="1"/>
      <w:numFmt w:val="bullet"/>
      <w:lvlText w:val=""/>
      <w:lvlJc w:val="left"/>
      <w:pPr>
        <w:tabs>
          <w:tab w:val="num" w:pos="7592"/>
        </w:tabs>
        <w:ind w:left="7592" w:hanging="504"/>
      </w:pPr>
      <w:rPr>
        <w:rFonts w:ascii="Symbol" w:hAnsi="Symbol" w:hint="default"/>
      </w:rPr>
    </w:lvl>
    <w:lvl w:ilvl="2">
      <w:start w:val="1"/>
      <w:numFmt w:val="decimal"/>
      <w:lvlText w:val="%1.%2.%3."/>
      <w:lvlJc w:val="left"/>
      <w:pPr>
        <w:tabs>
          <w:tab w:val="num" w:pos="2712"/>
        </w:tabs>
        <w:ind w:left="2712" w:hanging="648"/>
      </w:pPr>
      <w:rPr>
        <w:rFonts w:hint="default"/>
      </w:rPr>
    </w:lvl>
    <w:lvl w:ilvl="3">
      <w:start w:val="1"/>
      <w:numFmt w:val="decimal"/>
      <w:lvlText w:val="%1.%2.%3.%4."/>
      <w:lvlJc w:val="left"/>
      <w:pPr>
        <w:tabs>
          <w:tab w:val="num" w:pos="2640"/>
        </w:tabs>
        <w:ind w:left="2640" w:hanging="108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00"/>
        </w:tabs>
        <w:ind w:left="3000" w:hanging="1440"/>
      </w:pPr>
      <w:rPr>
        <w:rFonts w:hint="default"/>
      </w:rPr>
    </w:lvl>
    <w:lvl w:ilvl="6">
      <w:start w:val="1"/>
      <w:numFmt w:val="decimal"/>
      <w:lvlText w:val="%1.%2.%3.%4.%5.%6.%7."/>
      <w:lvlJc w:val="left"/>
      <w:pPr>
        <w:tabs>
          <w:tab w:val="num" w:pos="3000"/>
        </w:tabs>
        <w:ind w:left="3000" w:hanging="1440"/>
      </w:pPr>
      <w:rPr>
        <w:rFonts w:hint="default"/>
      </w:rPr>
    </w:lvl>
    <w:lvl w:ilvl="7">
      <w:start w:val="1"/>
      <w:numFmt w:val="decimal"/>
      <w:lvlText w:val="%1.%2.%3.%4.%5.%6.%7.%8."/>
      <w:lvlJc w:val="left"/>
      <w:pPr>
        <w:tabs>
          <w:tab w:val="num" w:pos="3360"/>
        </w:tabs>
        <w:ind w:left="3360" w:hanging="1800"/>
      </w:pPr>
      <w:rPr>
        <w:rFonts w:hint="default"/>
      </w:rPr>
    </w:lvl>
    <w:lvl w:ilvl="8">
      <w:start w:val="1"/>
      <w:numFmt w:val="decimal"/>
      <w:lvlText w:val="%1.%2.%3.%4.%5.%6.%7.%8.%9."/>
      <w:lvlJc w:val="left"/>
      <w:pPr>
        <w:tabs>
          <w:tab w:val="num" w:pos="3720"/>
        </w:tabs>
        <w:ind w:left="3720" w:hanging="2160"/>
      </w:pPr>
      <w:rPr>
        <w:rFonts w:hint="default"/>
      </w:rPr>
    </w:lvl>
  </w:abstractNum>
  <w:abstractNum w:abstractNumId="22" w15:restartNumberingAfterBreak="0">
    <w:nsid w:val="43F835C0"/>
    <w:multiLevelType w:val="hybridMultilevel"/>
    <w:tmpl w:val="A03C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1970F8"/>
    <w:multiLevelType w:val="hybridMultilevel"/>
    <w:tmpl w:val="71FC2D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316956"/>
    <w:multiLevelType w:val="hybridMultilevel"/>
    <w:tmpl w:val="B99644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1B54796"/>
    <w:multiLevelType w:val="hybridMultilevel"/>
    <w:tmpl w:val="529233F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49107C8"/>
    <w:multiLevelType w:val="hybridMultilevel"/>
    <w:tmpl w:val="5EC41B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72C7716"/>
    <w:multiLevelType w:val="hybridMultilevel"/>
    <w:tmpl w:val="DF8C7992"/>
    <w:lvl w:ilvl="0" w:tplc="6A328344">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CF772B"/>
    <w:multiLevelType w:val="hybridMultilevel"/>
    <w:tmpl w:val="91FC0F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68C06702"/>
    <w:multiLevelType w:val="hybridMultilevel"/>
    <w:tmpl w:val="06368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6975E3"/>
    <w:multiLevelType w:val="hybridMultilevel"/>
    <w:tmpl w:val="C7860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035231"/>
    <w:multiLevelType w:val="hybridMultilevel"/>
    <w:tmpl w:val="C1AC8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4A56AA"/>
    <w:multiLevelType w:val="hybridMultilevel"/>
    <w:tmpl w:val="130E6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CE0BE8"/>
    <w:multiLevelType w:val="hybridMultilevel"/>
    <w:tmpl w:val="E7AC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DC7ECB"/>
    <w:multiLevelType w:val="hybridMultilevel"/>
    <w:tmpl w:val="F410A204"/>
    <w:lvl w:ilvl="0" w:tplc="FCE21A7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4900EC"/>
    <w:multiLevelType w:val="hybridMultilevel"/>
    <w:tmpl w:val="3496A5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F593CE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937056684">
    <w:abstractNumId w:val="2"/>
  </w:num>
  <w:num w:numId="2" w16cid:durableId="924344088">
    <w:abstractNumId w:val="10"/>
  </w:num>
  <w:num w:numId="3" w16cid:durableId="1714882814">
    <w:abstractNumId w:val="8"/>
  </w:num>
  <w:num w:numId="4" w16cid:durableId="2108424984">
    <w:abstractNumId w:val="5"/>
  </w:num>
  <w:num w:numId="5" w16cid:durableId="107167507">
    <w:abstractNumId w:val="22"/>
  </w:num>
  <w:num w:numId="6" w16cid:durableId="2140102314">
    <w:abstractNumId w:val="14"/>
  </w:num>
  <w:num w:numId="7" w16cid:durableId="568342103">
    <w:abstractNumId w:val="23"/>
  </w:num>
  <w:num w:numId="8" w16cid:durableId="982196492">
    <w:abstractNumId w:val="13"/>
  </w:num>
  <w:num w:numId="9" w16cid:durableId="1648241435">
    <w:abstractNumId w:val="9"/>
  </w:num>
  <w:num w:numId="10" w16cid:durableId="158354605">
    <w:abstractNumId w:val="7"/>
  </w:num>
  <w:num w:numId="11" w16cid:durableId="813060477">
    <w:abstractNumId w:val="21"/>
  </w:num>
  <w:num w:numId="12" w16cid:durableId="364867167">
    <w:abstractNumId w:val="0"/>
  </w:num>
  <w:num w:numId="13" w16cid:durableId="2093967206">
    <w:abstractNumId w:val="26"/>
  </w:num>
  <w:num w:numId="14" w16cid:durableId="489641107">
    <w:abstractNumId w:val="11"/>
  </w:num>
  <w:num w:numId="15" w16cid:durableId="1374035718">
    <w:abstractNumId w:val="1"/>
  </w:num>
  <w:num w:numId="16" w16cid:durableId="415782506">
    <w:abstractNumId w:val="36"/>
  </w:num>
  <w:num w:numId="17" w16cid:durableId="115369838">
    <w:abstractNumId w:val="17"/>
  </w:num>
  <w:num w:numId="18" w16cid:durableId="2029719428">
    <w:abstractNumId w:val="0"/>
  </w:num>
  <w:num w:numId="19" w16cid:durableId="1244489375">
    <w:abstractNumId w:val="28"/>
  </w:num>
  <w:num w:numId="20" w16cid:durableId="2050452463">
    <w:abstractNumId w:val="4"/>
  </w:num>
  <w:num w:numId="21" w16cid:durableId="554586890">
    <w:abstractNumId w:val="35"/>
  </w:num>
  <w:num w:numId="22" w16cid:durableId="1370953754">
    <w:abstractNumId w:val="20"/>
  </w:num>
  <w:num w:numId="23" w16cid:durableId="514274370">
    <w:abstractNumId w:val="16"/>
  </w:num>
  <w:num w:numId="24" w16cid:durableId="1995060970">
    <w:abstractNumId w:val="27"/>
  </w:num>
  <w:num w:numId="25" w16cid:durableId="295453939">
    <w:abstractNumId w:val="12"/>
  </w:num>
  <w:num w:numId="26" w16cid:durableId="1843276745">
    <w:abstractNumId w:val="31"/>
  </w:num>
  <w:num w:numId="27" w16cid:durableId="2091150665">
    <w:abstractNumId w:val="32"/>
  </w:num>
  <w:num w:numId="28" w16cid:durableId="1527596595">
    <w:abstractNumId w:val="15"/>
  </w:num>
  <w:num w:numId="29" w16cid:durableId="1274748946">
    <w:abstractNumId w:val="19"/>
  </w:num>
  <w:num w:numId="30" w16cid:durableId="321131014">
    <w:abstractNumId w:val="33"/>
  </w:num>
  <w:num w:numId="31" w16cid:durableId="873736523">
    <w:abstractNumId w:val="34"/>
  </w:num>
  <w:num w:numId="32" w16cid:durableId="1717704334">
    <w:abstractNumId w:val="30"/>
  </w:num>
  <w:num w:numId="33" w16cid:durableId="2061440217">
    <w:abstractNumId w:val="18"/>
  </w:num>
  <w:num w:numId="34" w16cid:durableId="2138066946">
    <w:abstractNumId w:val="3"/>
  </w:num>
  <w:num w:numId="35" w16cid:durableId="760026236">
    <w:abstractNumId w:val="6"/>
  </w:num>
  <w:num w:numId="36" w16cid:durableId="453139885">
    <w:abstractNumId w:val="29"/>
  </w:num>
  <w:num w:numId="37" w16cid:durableId="1983584083">
    <w:abstractNumId w:val="24"/>
  </w:num>
  <w:num w:numId="38" w16cid:durableId="18653675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02"/>
    <w:rsid w:val="00010CA5"/>
    <w:rsid w:val="000131EB"/>
    <w:rsid w:val="00016B92"/>
    <w:rsid w:val="00024F8F"/>
    <w:rsid w:val="0003790A"/>
    <w:rsid w:val="00046A4F"/>
    <w:rsid w:val="00055BFA"/>
    <w:rsid w:val="00071B71"/>
    <w:rsid w:val="00075AFB"/>
    <w:rsid w:val="00081DD5"/>
    <w:rsid w:val="00094DEF"/>
    <w:rsid w:val="00096609"/>
    <w:rsid w:val="00096F14"/>
    <w:rsid w:val="000971E5"/>
    <w:rsid w:val="000A369B"/>
    <w:rsid w:val="000B3AE0"/>
    <w:rsid w:val="000B71B0"/>
    <w:rsid w:val="000B73A2"/>
    <w:rsid w:val="000C34FE"/>
    <w:rsid w:val="000D3744"/>
    <w:rsid w:val="000D3941"/>
    <w:rsid w:val="000D6479"/>
    <w:rsid w:val="000F64EA"/>
    <w:rsid w:val="000F7CF6"/>
    <w:rsid w:val="00101CDF"/>
    <w:rsid w:val="0010590F"/>
    <w:rsid w:val="001126E6"/>
    <w:rsid w:val="001203B6"/>
    <w:rsid w:val="001216F2"/>
    <w:rsid w:val="00131418"/>
    <w:rsid w:val="00135BE3"/>
    <w:rsid w:val="00146C56"/>
    <w:rsid w:val="00146D51"/>
    <w:rsid w:val="001470B0"/>
    <w:rsid w:val="00147792"/>
    <w:rsid w:val="00151F45"/>
    <w:rsid w:val="00154C44"/>
    <w:rsid w:val="00163A49"/>
    <w:rsid w:val="00171FDE"/>
    <w:rsid w:val="001723B1"/>
    <w:rsid w:val="00172962"/>
    <w:rsid w:val="0017781F"/>
    <w:rsid w:val="00182C0F"/>
    <w:rsid w:val="0019071D"/>
    <w:rsid w:val="001A7472"/>
    <w:rsid w:val="001B7502"/>
    <w:rsid w:val="001C1669"/>
    <w:rsid w:val="001C7E3F"/>
    <w:rsid w:val="001D11DD"/>
    <w:rsid w:val="001E2CCE"/>
    <w:rsid w:val="001F41AD"/>
    <w:rsid w:val="001F5773"/>
    <w:rsid w:val="002007E3"/>
    <w:rsid w:val="0021187F"/>
    <w:rsid w:val="002134A5"/>
    <w:rsid w:val="00215A35"/>
    <w:rsid w:val="002241A2"/>
    <w:rsid w:val="0022643F"/>
    <w:rsid w:val="00227BE8"/>
    <w:rsid w:val="00231AD1"/>
    <w:rsid w:val="002368E7"/>
    <w:rsid w:val="00241E08"/>
    <w:rsid w:val="002470ED"/>
    <w:rsid w:val="00262140"/>
    <w:rsid w:val="00262D70"/>
    <w:rsid w:val="00265075"/>
    <w:rsid w:val="0026584C"/>
    <w:rsid w:val="00273C83"/>
    <w:rsid w:val="00285FD8"/>
    <w:rsid w:val="00287610"/>
    <w:rsid w:val="002921C7"/>
    <w:rsid w:val="0029270D"/>
    <w:rsid w:val="00294700"/>
    <w:rsid w:val="002A2A26"/>
    <w:rsid w:val="002B155A"/>
    <w:rsid w:val="002D5696"/>
    <w:rsid w:val="002F0217"/>
    <w:rsid w:val="002F1A58"/>
    <w:rsid w:val="00301D1F"/>
    <w:rsid w:val="00302E4A"/>
    <w:rsid w:val="00310A3C"/>
    <w:rsid w:val="00310AE0"/>
    <w:rsid w:val="00311F87"/>
    <w:rsid w:val="00316242"/>
    <w:rsid w:val="00316DC3"/>
    <w:rsid w:val="00323960"/>
    <w:rsid w:val="00330C5E"/>
    <w:rsid w:val="003377A4"/>
    <w:rsid w:val="0034123A"/>
    <w:rsid w:val="00342E35"/>
    <w:rsid w:val="00345C86"/>
    <w:rsid w:val="00374D6F"/>
    <w:rsid w:val="00380C52"/>
    <w:rsid w:val="00383662"/>
    <w:rsid w:val="00385AC6"/>
    <w:rsid w:val="003A7405"/>
    <w:rsid w:val="003A7520"/>
    <w:rsid w:val="003B3A67"/>
    <w:rsid w:val="003C4BC6"/>
    <w:rsid w:val="003C7A7A"/>
    <w:rsid w:val="003E1398"/>
    <w:rsid w:val="003E36C3"/>
    <w:rsid w:val="003E38B0"/>
    <w:rsid w:val="003F11A7"/>
    <w:rsid w:val="003F54D1"/>
    <w:rsid w:val="004147E4"/>
    <w:rsid w:val="0042426F"/>
    <w:rsid w:val="004574FB"/>
    <w:rsid w:val="00465852"/>
    <w:rsid w:val="0048547E"/>
    <w:rsid w:val="00487A0D"/>
    <w:rsid w:val="004979A4"/>
    <w:rsid w:val="004A7505"/>
    <w:rsid w:val="004B09B0"/>
    <w:rsid w:val="004B4240"/>
    <w:rsid w:val="004B4392"/>
    <w:rsid w:val="004B5558"/>
    <w:rsid w:val="004C243E"/>
    <w:rsid w:val="004D104E"/>
    <w:rsid w:val="004D1D33"/>
    <w:rsid w:val="004E3A7F"/>
    <w:rsid w:val="00501030"/>
    <w:rsid w:val="0050403A"/>
    <w:rsid w:val="005072D6"/>
    <w:rsid w:val="00515C0C"/>
    <w:rsid w:val="005241A0"/>
    <w:rsid w:val="005251B7"/>
    <w:rsid w:val="0053351B"/>
    <w:rsid w:val="00544418"/>
    <w:rsid w:val="00553FAD"/>
    <w:rsid w:val="00554912"/>
    <w:rsid w:val="005577FE"/>
    <w:rsid w:val="00585C88"/>
    <w:rsid w:val="005971C6"/>
    <w:rsid w:val="005A3720"/>
    <w:rsid w:val="005A668E"/>
    <w:rsid w:val="005C173F"/>
    <w:rsid w:val="005D4534"/>
    <w:rsid w:val="005D4F0F"/>
    <w:rsid w:val="005E14ED"/>
    <w:rsid w:val="005F4023"/>
    <w:rsid w:val="00603F69"/>
    <w:rsid w:val="00604FBA"/>
    <w:rsid w:val="006112B6"/>
    <w:rsid w:val="006113DC"/>
    <w:rsid w:val="00612EA4"/>
    <w:rsid w:val="00617F12"/>
    <w:rsid w:val="00623FCB"/>
    <w:rsid w:val="00626DA1"/>
    <w:rsid w:val="006342C9"/>
    <w:rsid w:val="0063486B"/>
    <w:rsid w:val="006364F2"/>
    <w:rsid w:val="006530D9"/>
    <w:rsid w:val="00654D94"/>
    <w:rsid w:val="00664966"/>
    <w:rsid w:val="00673231"/>
    <w:rsid w:val="00673316"/>
    <w:rsid w:val="00687580"/>
    <w:rsid w:val="00694052"/>
    <w:rsid w:val="006949E2"/>
    <w:rsid w:val="00697411"/>
    <w:rsid w:val="0069798B"/>
    <w:rsid w:val="006A0623"/>
    <w:rsid w:val="006A66C3"/>
    <w:rsid w:val="006A7FFA"/>
    <w:rsid w:val="006C403A"/>
    <w:rsid w:val="006C5A63"/>
    <w:rsid w:val="006C5C35"/>
    <w:rsid w:val="006D58A9"/>
    <w:rsid w:val="006E5CD3"/>
    <w:rsid w:val="0070335D"/>
    <w:rsid w:val="00723EAB"/>
    <w:rsid w:val="0073403D"/>
    <w:rsid w:val="00735521"/>
    <w:rsid w:val="00737D64"/>
    <w:rsid w:val="007413DB"/>
    <w:rsid w:val="00742BCA"/>
    <w:rsid w:val="007722DF"/>
    <w:rsid w:val="007867BC"/>
    <w:rsid w:val="007870B4"/>
    <w:rsid w:val="007912A0"/>
    <w:rsid w:val="00791C04"/>
    <w:rsid w:val="00796C82"/>
    <w:rsid w:val="007B5323"/>
    <w:rsid w:val="007B5348"/>
    <w:rsid w:val="007C1E7B"/>
    <w:rsid w:val="007C6989"/>
    <w:rsid w:val="007D058E"/>
    <w:rsid w:val="007D0B91"/>
    <w:rsid w:val="007D5D3F"/>
    <w:rsid w:val="007E5368"/>
    <w:rsid w:val="007E7637"/>
    <w:rsid w:val="007E766F"/>
    <w:rsid w:val="007E7916"/>
    <w:rsid w:val="007F1D0F"/>
    <w:rsid w:val="007F4A6C"/>
    <w:rsid w:val="00800AD7"/>
    <w:rsid w:val="00811F01"/>
    <w:rsid w:val="00813B44"/>
    <w:rsid w:val="00817D6B"/>
    <w:rsid w:val="00820178"/>
    <w:rsid w:val="00820346"/>
    <w:rsid w:val="00822B6A"/>
    <w:rsid w:val="008356D3"/>
    <w:rsid w:val="008367C6"/>
    <w:rsid w:val="00837F3A"/>
    <w:rsid w:val="008406CE"/>
    <w:rsid w:val="00847503"/>
    <w:rsid w:val="00851A67"/>
    <w:rsid w:val="008663AC"/>
    <w:rsid w:val="00866F27"/>
    <w:rsid w:val="00876D32"/>
    <w:rsid w:val="00882112"/>
    <w:rsid w:val="008934CC"/>
    <w:rsid w:val="00897ACE"/>
    <w:rsid w:val="008A048B"/>
    <w:rsid w:val="008A1D35"/>
    <w:rsid w:val="008B3B0F"/>
    <w:rsid w:val="008B757C"/>
    <w:rsid w:val="008C2C23"/>
    <w:rsid w:val="008F35DA"/>
    <w:rsid w:val="008F3B02"/>
    <w:rsid w:val="0090218D"/>
    <w:rsid w:val="00903D9E"/>
    <w:rsid w:val="00940277"/>
    <w:rsid w:val="00950DC7"/>
    <w:rsid w:val="00953D5F"/>
    <w:rsid w:val="009637EF"/>
    <w:rsid w:val="00972057"/>
    <w:rsid w:val="009743D0"/>
    <w:rsid w:val="00983142"/>
    <w:rsid w:val="00983BA5"/>
    <w:rsid w:val="00986C9F"/>
    <w:rsid w:val="0099218A"/>
    <w:rsid w:val="00994794"/>
    <w:rsid w:val="00996475"/>
    <w:rsid w:val="009B1A17"/>
    <w:rsid w:val="009B2937"/>
    <w:rsid w:val="009E0AB3"/>
    <w:rsid w:val="009E19DB"/>
    <w:rsid w:val="009E5D83"/>
    <w:rsid w:val="00A07A92"/>
    <w:rsid w:val="00A143B4"/>
    <w:rsid w:val="00A20DE5"/>
    <w:rsid w:val="00A223B9"/>
    <w:rsid w:val="00A262EF"/>
    <w:rsid w:val="00A45A11"/>
    <w:rsid w:val="00A47A9F"/>
    <w:rsid w:val="00A553B7"/>
    <w:rsid w:val="00A5701E"/>
    <w:rsid w:val="00A612F7"/>
    <w:rsid w:val="00A61A6C"/>
    <w:rsid w:val="00A91F87"/>
    <w:rsid w:val="00A92B43"/>
    <w:rsid w:val="00AA6164"/>
    <w:rsid w:val="00AB1D5D"/>
    <w:rsid w:val="00AB6203"/>
    <w:rsid w:val="00AC4C83"/>
    <w:rsid w:val="00AD731D"/>
    <w:rsid w:val="00AE4B08"/>
    <w:rsid w:val="00AF54D4"/>
    <w:rsid w:val="00B10424"/>
    <w:rsid w:val="00B3006F"/>
    <w:rsid w:val="00B33C5F"/>
    <w:rsid w:val="00B343F1"/>
    <w:rsid w:val="00B3484A"/>
    <w:rsid w:val="00B42226"/>
    <w:rsid w:val="00B42BB8"/>
    <w:rsid w:val="00B45594"/>
    <w:rsid w:val="00B53CC1"/>
    <w:rsid w:val="00B913D2"/>
    <w:rsid w:val="00B92810"/>
    <w:rsid w:val="00BC106F"/>
    <w:rsid w:val="00BC1733"/>
    <w:rsid w:val="00BC47A3"/>
    <w:rsid w:val="00BC5418"/>
    <w:rsid w:val="00BC6094"/>
    <w:rsid w:val="00BC7BDA"/>
    <w:rsid w:val="00BD0C6D"/>
    <w:rsid w:val="00BD1C5B"/>
    <w:rsid w:val="00BD5001"/>
    <w:rsid w:val="00BD67F9"/>
    <w:rsid w:val="00BD7A2A"/>
    <w:rsid w:val="00BF7C99"/>
    <w:rsid w:val="00C005B7"/>
    <w:rsid w:val="00C1311B"/>
    <w:rsid w:val="00C17063"/>
    <w:rsid w:val="00C219BB"/>
    <w:rsid w:val="00C27AB1"/>
    <w:rsid w:val="00C313F8"/>
    <w:rsid w:val="00C31A33"/>
    <w:rsid w:val="00C32412"/>
    <w:rsid w:val="00C325A3"/>
    <w:rsid w:val="00C34819"/>
    <w:rsid w:val="00C41251"/>
    <w:rsid w:val="00C53388"/>
    <w:rsid w:val="00C74BF8"/>
    <w:rsid w:val="00C8308E"/>
    <w:rsid w:val="00C86026"/>
    <w:rsid w:val="00C938CA"/>
    <w:rsid w:val="00CA067D"/>
    <w:rsid w:val="00CA4652"/>
    <w:rsid w:val="00CA7E03"/>
    <w:rsid w:val="00CC010E"/>
    <w:rsid w:val="00CC1728"/>
    <w:rsid w:val="00CE36A0"/>
    <w:rsid w:val="00CE5B67"/>
    <w:rsid w:val="00CE6B32"/>
    <w:rsid w:val="00CF4F38"/>
    <w:rsid w:val="00CF5DC6"/>
    <w:rsid w:val="00CF77FF"/>
    <w:rsid w:val="00D03475"/>
    <w:rsid w:val="00D07CD9"/>
    <w:rsid w:val="00D11EF1"/>
    <w:rsid w:val="00D22780"/>
    <w:rsid w:val="00D24439"/>
    <w:rsid w:val="00D26302"/>
    <w:rsid w:val="00D3283E"/>
    <w:rsid w:val="00D35045"/>
    <w:rsid w:val="00D456E1"/>
    <w:rsid w:val="00D70A0F"/>
    <w:rsid w:val="00D77F9F"/>
    <w:rsid w:val="00D8036A"/>
    <w:rsid w:val="00D86D14"/>
    <w:rsid w:val="00D9497A"/>
    <w:rsid w:val="00DA248F"/>
    <w:rsid w:val="00DB25E0"/>
    <w:rsid w:val="00DB3B4B"/>
    <w:rsid w:val="00DC0925"/>
    <w:rsid w:val="00DC21E8"/>
    <w:rsid w:val="00DC2537"/>
    <w:rsid w:val="00DC266A"/>
    <w:rsid w:val="00DC6E87"/>
    <w:rsid w:val="00DD1F93"/>
    <w:rsid w:val="00DD29FC"/>
    <w:rsid w:val="00DD2F7A"/>
    <w:rsid w:val="00DD428C"/>
    <w:rsid w:val="00DE0388"/>
    <w:rsid w:val="00DE3B89"/>
    <w:rsid w:val="00DE7547"/>
    <w:rsid w:val="00DF17CD"/>
    <w:rsid w:val="00E00637"/>
    <w:rsid w:val="00E06318"/>
    <w:rsid w:val="00E06606"/>
    <w:rsid w:val="00E14524"/>
    <w:rsid w:val="00E1756C"/>
    <w:rsid w:val="00E3332C"/>
    <w:rsid w:val="00E4098A"/>
    <w:rsid w:val="00E445A3"/>
    <w:rsid w:val="00E50FC7"/>
    <w:rsid w:val="00E603AA"/>
    <w:rsid w:val="00E60C6B"/>
    <w:rsid w:val="00E64D38"/>
    <w:rsid w:val="00E80352"/>
    <w:rsid w:val="00EB5A4D"/>
    <w:rsid w:val="00EC1A71"/>
    <w:rsid w:val="00EC4986"/>
    <w:rsid w:val="00ED06F2"/>
    <w:rsid w:val="00ED0E41"/>
    <w:rsid w:val="00EE0539"/>
    <w:rsid w:val="00EE13FF"/>
    <w:rsid w:val="00EE191A"/>
    <w:rsid w:val="00EF0FF3"/>
    <w:rsid w:val="00F01083"/>
    <w:rsid w:val="00F062AC"/>
    <w:rsid w:val="00F178CF"/>
    <w:rsid w:val="00F178ED"/>
    <w:rsid w:val="00F210E8"/>
    <w:rsid w:val="00F222AD"/>
    <w:rsid w:val="00F260AA"/>
    <w:rsid w:val="00F352AC"/>
    <w:rsid w:val="00F36790"/>
    <w:rsid w:val="00F42421"/>
    <w:rsid w:val="00F511F5"/>
    <w:rsid w:val="00F52D94"/>
    <w:rsid w:val="00F60A9B"/>
    <w:rsid w:val="00F73459"/>
    <w:rsid w:val="00F73D7D"/>
    <w:rsid w:val="00F82A45"/>
    <w:rsid w:val="00F834CB"/>
    <w:rsid w:val="00F83ECC"/>
    <w:rsid w:val="00F85028"/>
    <w:rsid w:val="00F85D88"/>
    <w:rsid w:val="00F8795E"/>
    <w:rsid w:val="00FA0F14"/>
    <w:rsid w:val="00FB16F4"/>
    <w:rsid w:val="00FC0AE8"/>
    <w:rsid w:val="00FC366A"/>
    <w:rsid w:val="00FD3D30"/>
    <w:rsid w:val="00FE4355"/>
    <w:rsid w:val="00FF5DEB"/>
    <w:rsid w:val="00FF7B5C"/>
    <w:rsid w:val="00FF7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046E47"/>
  <w15:chartTrackingRefBased/>
  <w15:docId w15:val="{6117909F-7A59-469F-97D5-9985360E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302"/>
    <w:pPr>
      <w:tabs>
        <w:tab w:val="center" w:pos="4513"/>
        <w:tab w:val="right" w:pos="9026"/>
      </w:tabs>
    </w:pPr>
  </w:style>
  <w:style w:type="character" w:customStyle="1" w:styleId="HeaderChar">
    <w:name w:val="Header Char"/>
    <w:link w:val="Header"/>
    <w:uiPriority w:val="99"/>
    <w:rsid w:val="00D26302"/>
    <w:rPr>
      <w:sz w:val="22"/>
      <w:szCs w:val="22"/>
      <w:lang w:eastAsia="en-US"/>
    </w:rPr>
  </w:style>
  <w:style w:type="paragraph" w:styleId="Footer">
    <w:name w:val="footer"/>
    <w:basedOn w:val="Normal"/>
    <w:link w:val="FooterChar"/>
    <w:uiPriority w:val="99"/>
    <w:unhideWhenUsed/>
    <w:rsid w:val="00D26302"/>
    <w:pPr>
      <w:tabs>
        <w:tab w:val="center" w:pos="4513"/>
        <w:tab w:val="right" w:pos="9026"/>
      </w:tabs>
    </w:pPr>
  </w:style>
  <w:style w:type="character" w:customStyle="1" w:styleId="FooterChar">
    <w:name w:val="Footer Char"/>
    <w:link w:val="Footer"/>
    <w:uiPriority w:val="99"/>
    <w:rsid w:val="00D26302"/>
    <w:rPr>
      <w:sz w:val="22"/>
      <w:szCs w:val="22"/>
      <w:lang w:eastAsia="en-US"/>
    </w:rPr>
  </w:style>
  <w:style w:type="paragraph" w:styleId="BalloonText">
    <w:name w:val="Balloon Text"/>
    <w:basedOn w:val="Normal"/>
    <w:link w:val="BalloonTextChar"/>
    <w:uiPriority w:val="99"/>
    <w:semiHidden/>
    <w:unhideWhenUsed/>
    <w:rsid w:val="00D263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6302"/>
    <w:rPr>
      <w:rFonts w:ascii="Tahoma" w:hAnsi="Tahoma" w:cs="Tahoma"/>
      <w:sz w:val="16"/>
      <w:szCs w:val="16"/>
      <w:lang w:eastAsia="en-US"/>
    </w:rPr>
  </w:style>
  <w:style w:type="character" w:styleId="Hyperlink">
    <w:name w:val="Hyperlink"/>
    <w:uiPriority w:val="99"/>
    <w:unhideWhenUsed/>
    <w:rsid w:val="00822B6A"/>
    <w:rPr>
      <w:color w:val="0000FF"/>
      <w:u w:val="single"/>
    </w:rPr>
  </w:style>
  <w:style w:type="paragraph" w:customStyle="1" w:styleId="Default">
    <w:name w:val="Default"/>
    <w:rsid w:val="00554912"/>
    <w:pPr>
      <w:autoSpaceDE w:val="0"/>
      <w:autoSpaceDN w:val="0"/>
      <w:adjustRightInd w:val="0"/>
    </w:pPr>
    <w:rPr>
      <w:rFonts w:ascii="Arial" w:eastAsia="Times New Roman" w:hAnsi="Arial" w:cs="Arial"/>
      <w:color w:val="000000"/>
      <w:sz w:val="24"/>
      <w:szCs w:val="24"/>
    </w:rPr>
  </w:style>
  <w:style w:type="character" w:styleId="CommentReference">
    <w:name w:val="annotation reference"/>
    <w:uiPriority w:val="99"/>
    <w:semiHidden/>
    <w:unhideWhenUsed/>
    <w:rsid w:val="00817D6B"/>
    <w:rPr>
      <w:sz w:val="16"/>
      <w:szCs w:val="16"/>
    </w:rPr>
  </w:style>
  <w:style w:type="paragraph" w:styleId="CommentText">
    <w:name w:val="annotation text"/>
    <w:basedOn w:val="Normal"/>
    <w:link w:val="CommentTextChar"/>
    <w:uiPriority w:val="99"/>
    <w:semiHidden/>
    <w:unhideWhenUsed/>
    <w:rsid w:val="00817D6B"/>
    <w:rPr>
      <w:sz w:val="20"/>
      <w:szCs w:val="20"/>
    </w:rPr>
  </w:style>
  <w:style w:type="character" w:customStyle="1" w:styleId="CommentTextChar">
    <w:name w:val="Comment Text Char"/>
    <w:link w:val="CommentText"/>
    <w:uiPriority w:val="99"/>
    <w:semiHidden/>
    <w:rsid w:val="00817D6B"/>
    <w:rPr>
      <w:lang w:eastAsia="en-US"/>
    </w:rPr>
  </w:style>
  <w:style w:type="paragraph" w:styleId="CommentSubject">
    <w:name w:val="annotation subject"/>
    <w:basedOn w:val="CommentText"/>
    <w:next w:val="CommentText"/>
    <w:link w:val="CommentSubjectChar"/>
    <w:uiPriority w:val="99"/>
    <w:semiHidden/>
    <w:unhideWhenUsed/>
    <w:rsid w:val="00817D6B"/>
    <w:rPr>
      <w:b/>
      <w:bCs/>
    </w:rPr>
  </w:style>
  <w:style w:type="character" w:customStyle="1" w:styleId="CommentSubjectChar">
    <w:name w:val="Comment Subject Char"/>
    <w:link w:val="CommentSubject"/>
    <w:uiPriority w:val="99"/>
    <w:semiHidden/>
    <w:rsid w:val="00817D6B"/>
    <w:rPr>
      <w:b/>
      <w:bCs/>
      <w:lang w:eastAsia="en-US"/>
    </w:rPr>
  </w:style>
  <w:style w:type="paragraph" w:styleId="ListParagraph">
    <w:name w:val="List Paragraph"/>
    <w:basedOn w:val="Normal"/>
    <w:uiPriority w:val="34"/>
    <w:qFormat/>
    <w:rsid w:val="00697411"/>
    <w:pPr>
      <w:spacing w:after="0" w:line="240" w:lineRule="auto"/>
      <w:ind w:left="720"/>
    </w:pPr>
    <w:rPr>
      <w:rFonts w:cs="Calibri"/>
    </w:rPr>
  </w:style>
  <w:style w:type="paragraph" w:styleId="BodyTextIndent">
    <w:name w:val="Body Text Indent"/>
    <w:basedOn w:val="Normal"/>
    <w:link w:val="BodyTextIndentChar"/>
    <w:rsid w:val="00A553B7"/>
    <w:pPr>
      <w:tabs>
        <w:tab w:val="left" w:pos="567"/>
      </w:tabs>
      <w:spacing w:after="0" w:line="240" w:lineRule="auto"/>
      <w:ind w:left="567"/>
    </w:pPr>
    <w:rPr>
      <w:rFonts w:ascii="Times New Roman" w:eastAsia="Times New Roman" w:hAnsi="Times New Roman"/>
      <w:sz w:val="24"/>
      <w:szCs w:val="20"/>
      <w:lang w:eastAsia="en-GB"/>
    </w:rPr>
  </w:style>
  <w:style w:type="character" w:customStyle="1" w:styleId="BodyTextIndentChar">
    <w:name w:val="Body Text Indent Char"/>
    <w:link w:val="BodyTextIndent"/>
    <w:rsid w:val="00A553B7"/>
    <w:rPr>
      <w:rFonts w:ascii="Times New Roman" w:eastAsia="Times New Roman" w:hAnsi="Times New Roman"/>
      <w:sz w:val="24"/>
    </w:rPr>
  </w:style>
  <w:style w:type="paragraph" w:customStyle="1" w:styleId="Body">
    <w:name w:val="Body*"/>
    <w:basedOn w:val="Normal"/>
    <w:rsid w:val="00A143B4"/>
    <w:pPr>
      <w:spacing w:after="0" w:line="320" w:lineRule="exact"/>
      <w:ind w:right="850"/>
      <w:jc w:val="both"/>
    </w:pPr>
    <w:rPr>
      <w:rFonts w:ascii="Perpetua" w:hAnsi="Perpetua" w:cs="Calibri"/>
      <w:sz w:val="26"/>
      <w:szCs w:val="26"/>
    </w:rPr>
  </w:style>
  <w:style w:type="paragraph" w:styleId="Revision">
    <w:name w:val="Revision"/>
    <w:hidden/>
    <w:uiPriority w:val="99"/>
    <w:semiHidden/>
    <w:rsid w:val="00813B4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1751">
      <w:bodyDiv w:val="1"/>
      <w:marLeft w:val="0"/>
      <w:marRight w:val="0"/>
      <w:marTop w:val="0"/>
      <w:marBottom w:val="0"/>
      <w:divBdr>
        <w:top w:val="none" w:sz="0" w:space="0" w:color="auto"/>
        <w:left w:val="none" w:sz="0" w:space="0" w:color="auto"/>
        <w:bottom w:val="none" w:sz="0" w:space="0" w:color="auto"/>
        <w:right w:val="none" w:sz="0" w:space="0" w:color="auto"/>
      </w:divBdr>
    </w:div>
    <w:div w:id="652754579">
      <w:bodyDiv w:val="1"/>
      <w:marLeft w:val="0"/>
      <w:marRight w:val="0"/>
      <w:marTop w:val="0"/>
      <w:marBottom w:val="0"/>
      <w:divBdr>
        <w:top w:val="none" w:sz="0" w:space="0" w:color="auto"/>
        <w:left w:val="none" w:sz="0" w:space="0" w:color="auto"/>
        <w:bottom w:val="none" w:sz="0" w:space="0" w:color="auto"/>
        <w:right w:val="none" w:sz="0" w:space="0" w:color="auto"/>
      </w:divBdr>
    </w:div>
    <w:div w:id="1480730926">
      <w:bodyDiv w:val="1"/>
      <w:marLeft w:val="0"/>
      <w:marRight w:val="0"/>
      <w:marTop w:val="0"/>
      <w:marBottom w:val="0"/>
      <w:divBdr>
        <w:top w:val="none" w:sz="0" w:space="0" w:color="auto"/>
        <w:left w:val="none" w:sz="0" w:space="0" w:color="auto"/>
        <w:bottom w:val="none" w:sz="0" w:space="0" w:color="auto"/>
        <w:right w:val="none" w:sz="0" w:space="0" w:color="auto"/>
      </w:divBdr>
    </w:div>
    <w:div w:id="1529484089">
      <w:bodyDiv w:val="1"/>
      <w:marLeft w:val="0"/>
      <w:marRight w:val="0"/>
      <w:marTop w:val="0"/>
      <w:marBottom w:val="0"/>
      <w:divBdr>
        <w:top w:val="none" w:sz="0" w:space="0" w:color="auto"/>
        <w:left w:val="none" w:sz="0" w:space="0" w:color="auto"/>
        <w:bottom w:val="none" w:sz="0" w:space="0" w:color="auto"/>
        <w:right w:val="none" w:sz="0" w:space="0" w:color="auto"/>
      </w:divBdr>
    </w:div>
    <w:div w:id="1657026969">
      <w:bodyDiv w:val="1"/>
      <w:marLeft w:val="0"/>
      <w:marRight w:val="0"/>
      <w:marTop w:val="0"/>
      <w:marBottom w:val="0"/>
      <w:divBdr>
        <w:top w:val="none" w:sz="0" w:space="0" w:color="auto"/>
        <w:left w:val="none" w:sz="0" w:space="0" w:color="auto"/>
        <w:bottom w:val="none" w:sz="0" w:space="0" w:color="auto"/>
        <w:right w:val="none" w:sz="0" w:space="0" w:color="auto"/>
      </w:divBdr>
    </w:div>
    <w:div w:id="1755198796">
      <w:bodyDiv w:val="1"/>
      <w:marLeft w:val="0"/>
      <w:marRight w:val="0"/>
      <w:marTop w:val="0"/>
      <w:marBottom w:val="0"/>
      <w:divBdr>
        <w:top w:val="none" w:sz="0" w:space="0" w:color="auto"/>
        <w:left w:val="none" w:sz="0" w:space="0" w:color="auto"/>
        <w:bottom w:val="none" w:sz="0" w:space="0" w:color="auto"/>
        <w:right w:val="none" w:sz="0" w:space="0" w:color="auto"/>
      </w:divBdr>
    </w:div>
    <w:div w:id="179223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D9432-76A2-4BE0-9593-DCC0B07D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6</Pages>
  <Words>1478</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400280</dc:creator>
  <cp:keywords/>
  <dc:description>Original Content Created Date - 24/02/2021 14:40:00</dc:description>
  <cp:lastModifiedBy>Regan, Joanne</cp:lastModifiedBy>
  <cp:revision>21</cp:revision>
  <cp:lastPrinted>2022-02-28T15:06:00Z</cp:lastPrinted>
  <dcterms:created xsi:type="dcterms:W3CDTF">2023-02-08T18:40:00Z</dcterms:created>
  <dcterms:modified xsi:type="dcterms:W3CDTF">2023-02-20T15:17:00Z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0f806396-0a68-454e-924f-4939594e8ede</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etDate">
    <vt:lpwstr>2022-02-14T15:27:28Z</vt:lpwstr>
  </property>
  <property fmtid="{D5CDD505-2E9C-101B-9397-08002B2CF9AE}" pid="10" name="MSIP_Label_f2acd28b-79a3-4a0f-b0ff-4b75658b1549_Method">
    <vt:lpwstr>Standard</vt:lpwstr>
  </property>
  <property fmtid="{D5CDD505-2E9C-101B-9397-08002B2CF9AE}" pid="11" name="MSIP_Label_f2acd28b-79a3-4a0f-b0ff-4b75658b1549_Name">
    <vt:lpwstr>OFFICIAL</vt:lpwstr>
  </property>
  <property fmtid="{D5CDD505-2E9C-101B-9397-08002B2CF9AE}" pid="12" name="MSIP_Label_f2acd28b-79a3-4a0f-b0ff-4b75658b1549_SiteId">
    <vt:lpwstr>e46c8472-ef5d-4b63-bc74-4a60db42c371</vt:lpwstr>
  </property>
  <property fmtid="{D5CDD505-2E9C-101B-9397-08002B2CF9AE}" pid="13" name="MSIP_Label_f2acd28b-79a3-4a0f-b0ff-4b75658b1549_ActionId">
    <vt:lpwstr>7808333e-a5b9-4364-bbb7-90aa3073f5bc</vt:lpwstr>
  </property>
  <property fmtid="{D5CDD505-2E9C-101B-9397-08002B2CF9AE}" pid="14" name="MSIP_Label_f2acd28b-79a3-4a0f-b0ff-4b75658b1549_ContentBits">
    <vt:lpwstr>0</vt:lpwstr>
  </property>
</Properties>
</file>