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5"/>
        <w:gridCol w:w="6973"/>
      </w:tblGrid>
      <w:tr w:rsidR="00320095" w:rsidRPr="00933DD9" w14:paraId="1022A612" w14:textId="77777777" w:rsidTr="00933DD9">
        <w:tc>
          <w:tcPr>
            <w:tcW w:w="9242" w:type="dxa"/>
            <w:gridSpan w:val="2"/>
            <w:shd w:val="clear" w:color="auto" w:fill="auto"/>
          </w:tcPr>
          <w:p w14:paraId="4F08654A" w14:textId="77777777" w:rsidR="00320095" w:rsidRPr="00933DD9" w:rsidRDefault="0032009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33DD9">
              <w:rPr>
                <w:rFonts w:ascii="Arial" w:hAnsi="Arial" w:cs="Arial"/>
                <w:b/>
                <w:sz w:val="24"/>
                <w:szCs w:val="24"/>
              </w:rPr>
              <w:t>Police and Crime Commiss</w:t>
            </w:r>
            <w:r w:rsidR="003F6D85">
              <w:rPr>
                <w:rFonts w:ascii="Arial" w:hAnsi="Arial" w:cs="Arial"/>
                <w:b/>
                <w:sz w:val="24"/>
                <w:szCs w:val="24"/>
              </w:rPr>
              <w:t xml:space="preserve">ioner for Gwent Decision </w:t>
            </w:r>
          </w:p>
        </w:tc>
      </w:tr>
      <w:tr w:rsidR="00320095" w:rsidRPr="00933DD9" w14:paraId="6BF817F9" w14:textId="77777777" w:rsidTr="00D37B81">
        <w:tc>
          <w:tcPr>
            <w:tcW w:w="2093" w:type="dxa"/>
            <w:shd w:val="clear" w:color="auto" w:fill="auto"/>
          </w:tcPr>
          <w:p w14:paraId="1C49C061" w14:textId="59A5802B" w:rsidR="00320095" w:rsidRPr="00933DD9" w:rsidRDefault="00F1690A" w:rsidP="00786E28">
            <w:pPr>
              <w:rPr>
                <w:rFonts w:ascii="Arial" w:hAnsi="Arial" w:cs="Arial"/>
                <w:sz w:val="24"/>
                <w:szCs w:val="24"/>
              </w:rPr>
            </w:pPr>
            <w:r w:rsidRPr="00F1690A">
              <w:rPr>
                <w:rFonts w:ascii="Arial" w:hAnsi="Arial" w:cs="Arial"/>
                <w:sz w:val="24"/>
                <w:szCs w:val="24"/>
              </w:rPr>
              <w:t>PCCG-202</w:t>
            </w:r>
            <w:r w:rsidR="00B93888">
              <w:rPr>
                <w:rFonts w:ascii="Arial" w:hAnsi="Arial" w:cs="Arial"/>
                <w:sz w:val="24"/>
                <w:szCs w:val="24"/>
              </w:rPr>
              <w:t>4-009</w:t>
            </w:r>
          </w:p>
        </w:tc>
        <w:tc>
          <w:tcPr>
            <w:tcW w:w="7149" w:type="dxa"/>
            <w:shd w:val="clear" w:color="auto" w:fill="auto"/>
          </w:tcPr>
          <w:p w14:paraId="546619C9" w14:textId="77777777" w:rsidR="00320095" w:rsidRPr="00933DD9" w:rsidRDefault="00320095">
            <w:pPr>
              <w:rPr>
                <w:rFonts w:ascii="Arial" w:hAnsi="Arial" w:cs="Arial"/>
                <w:sz w:val="24"/>
                <w:szCs w:val="24"/>
              </w:rPr>
            </w:pPr>
            <w:r w:rsidRPr="00933DD9">
              <w:rPr>
                <w:rFonts w:ascii="Arial" w:hAnsi="Arial" w:cs="Arial"/>
                <w:sz w:val="24"/>
                <w:szCs w:val="24"/>
              </w:rPr>
              <w:t>Police and Crime Commissioner for Gwent Decision Session</w:t>
            </w:r>
          </w:p>
        </w:tc>
      </w:tr>
      <w:tr w:rsidR="00320095" w:rsidRPr="00933DD9" w14:paraId="366E8C24" w14:textId="77777777" w:rsidTr="00D37B81">
        <w:tc>
          <w:tcPr>
            <w:tcW w:w="2093" w:type="dxa"/>
            <w:shd w:val="clear" w:color="auto" w:fill="auto"/>
          </w:tcPr>
          <w:p w14:paraId="27BC9123" w14:textId="77777777" w:rsidR="00320095" w:rsidRPr="00933DD9" w:rsidRDefault="00320095">
            <w:pPr>
              <w:rPr>
                <w:rFonts w:ascii="Arial" w:hAnsi="Arial" w:cs="Arial"/>
                <w:sz w:val="24"/>
                <w:szCs w:val="24"/>
              </w:rPr>
            </w:pPr>
            <w:r w:rsidRPr="00933DD9">
              <w:rPr>
                <w:rFonts w:ascii="Arial" w:hAnsi="Arial" w:cs="Arial"/>
                <w:sz w:val="24"/>
                <w:szCs w:val="24"/>
              </w:rPr>
              <w:t>Subject</w:t>
            </w:r>
          </w:p>
        </w:tc>
        <w:tc>
          <w:tcPr>
            <w:tcW w:w="7149" w:type="dxa"/>
            <w:shd w:val="clear" w:color="auto" w:fill="auto"/>
          </w:tcPr>
          <w:p w14:paraId="0818B1ED" w14:textId="4CFAD47F" w:rsidR="00320095" w:rsidRPr="00933DD9" w:rsidRDefault="00911431" w:rsidP="008366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VAWDASV Blueprint Team</w:t>
            </w:r>
          </w:p>
        </w:tc>
      </w:tr>
      <w:tr w:rsidR="00320095" w:rsidRPr="00933DD9" w14:paraId="342D4EF4" w14:textId="77777777" w:rsidTr="00D37B81">
        <w:tc>
          <w:tcPr>
            <w:tcW w:w="2093" w:type="dxa"/>
            <w:shd w:val="clear" w:color="auto" w:fill="auto"/>
          </w:tcPr>
          <w:p w14:paraId="4A032003" w14:textId="77777777" w:rsidR="00320095" w:rsidRPr="00933DD9" w:rsidRDefault="00320095">
            <w:pPr>
              <w:rPr>
                <w:rFonts w:ascii="Arial" w:hAnsi="Arial" w:cs="Arial"/>
                <w:sz w:val="24"/>
                <w:szCs w:val="24"/>
              </w:rPr>
            </w:pPr>
            <w:r w:rsidRPr="00933DD9">
              <w:rPr>
                <w:rFonts w:ascii="Arial" w:hAnsi="Arial" w:cs="Arial"/>
                <w:sz w:val="24"/>
                <w:szCs w:val="24"/>
              </w:rPr>
              <w:t>Summary</w:t>
            </w:r>
          </w:p>
        </w:tc>
        <w:tc>
          <w:tcPr>
            <w:tcW w:w="7149" w:type="dxa"/>
            <w:shd w:val="clear" w:color="auto" w:fill="auto"/>
          </w:tcPr>
          <w:p w14:paraId="74EFF23F" w14:textId="03B580A3" w:rsidR="00320095" w:rsidRPr="00933DD9" w:rsidRDefault="00D37B81" w:rsidP="003213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purpose of this paper is to record </w:t>
            </w:r>
            <w:r w:rsidR="00957874">
              <w:rPr>
                <w:rFonts w:ascii="Arial" w:hAnsi="Arial" w:cs="Arial"/>
                <w:sz w:val="24"/>
                <w:szCs w:val="24"/>
              </w:rPr>
              <w:t xml:space="preserve">the decision </w:t>
            </w:r>
            <w:r w:rsidR="002756B8">
              <w:rPr>
                <w:rFonts w:ascii="Arial" w:hAnsi="Arial" w:cs="Arial"/>
                <w:sz w:val="24"/>
                <w:szCs w:val="24"/>
              </w:rPr>
              <w:t xml:space="preserve">to </w:t>
            </w:r>
            <w:r w:rsidR="005B6D95">
              <w:rPr>
                <w:rFonts w:ascii="Arial" w:hAnsi="Arial" w:cs="Arial"/>
                <w:sz w:val="24"/>
                <w:szCs w:val="24"/>
              </w:rPr>
              <w:t xml:space="preserve">award </w:t>
            </w:r>
            <w:r w:rsidR="00911431">
              <w:rPr>
                <w:rFonts w:ascii="Arial" w:hAnsi="Arial" w:cs="Arial"/>
                <w:sz w:val="24"/>
                <w:szCs w:val="24"/>
              </w:rPr>
              <w:t>a contribution towards the VAWDASV Blueprint Team</w:t>
            </w:r>
            <w:r w:rsidR="00A2472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36604">
              <w:rPr>
                <w:rFonts w:ascii="Arial" w:hAnsi="Arial" w:cs="Arial"/>
                <w:sz w:val="24"/>
                <w:szCs w:val="24"/>
              </w:rPr>
              <w:t>for</w:t>
            </w:r>
            <w:r w:rsidR="002756B8">
              <w:rPr>
                <w:rFonts w:ascii="Arial" w:hAnsi="Arial" w:cs="Arial"/>
                <w:sz w:val="24"/>
                <w:szCs w:val="24"/>
              </w:rPr>
              <w:t xml:space="preserve"> the </w:t>
            </w:r>
            <w:r w:rsidR="00D74C4E">
              <w:rPr>
                <w:rFonts w:ascii="Arial" w:hAnsi="Arial" w:cs="Arial"/>
                <w:sz w:val="24"/>
                <w:szCs w:val="24"/>
              </w:rPr>
              <w:t>financial year</w:t>
            </w:r>
            <w:r w:rsidR="00876FB0">
              <w:rPr>
                <w:rFonts w:ascii="Arial" w:hAnsi="Arial" w:cs="Arial"/>
                <w:sz w:val="24"/>
                <w:szCs w:val="24"/>
              </w:rPr>
              <w:t>s</w:t>
            </w:r>
            <w:r w:rsidR="00D74C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11431">
              <w:rPr>
                <w:rFonts w:ascii="Arial" w:hAnsi="Arial" w:cs="Arial"/>
                <w:sz w:val="24"/>
                <w:szCs w:val="24"/>
              </w:rPr>
              <w:t>2023/24 &amp; 2024/25</w:t>
            </w:r>
          </w:p>
        </w:tc>
      </w:tr>
    </w:tbl>
    <w:p w14:paraId="493AA80E" w14:textId="77777777" w:rsidR="00320095" w:rsidRPr="00D8752E" w:rsidRDefault="00320095">
      <w:pPr>
        <w:rPr>
          <w:rFonts w:ascii="Arial" w:hAnsi="Arial" w:cs="Arial"/>
          <w:sz w:val="24"/>
          <w:szCs w:val="24"/>
        </w:rPr>
      </w:pPr>
    </w:p>
    <w:p w14:paraId="6A4DEA83" w14:textId="77777777" w:rsidR="00D8752E" w:rsidRPr="00D8752E" w:rsidRDefault="00D8752E">
      <w:pPr>
        <w:rPr>
          <w:rFonts w:ascii="Arial" w:hAnsi="Arial" w:cs="Arial"/>
          <w:b/>
          <w:sz w:val="24"/>
          <w:szCs w:val="24"/>
        </w:rPr>
      </w:pPr>
      <w:r w:rsidRPr="00D8752E">
        <w:rPr>
          <w:rFonts w:ascii="Arial" w:hAnsi="Arial" w:cs="Arial"/>
          <w:b/>
          <w:sz w:val="24"/>
          <w:szCs w:val="24"/>
        </w:rPr>
        <w:t>DECISION</w:t>
      </w:r>
    </w:p>
    <w:tbl>
      <w:tblPr>
        <w:tblW w:w="9242" w:type="dxa"/>
        <w:tblLook w:val="04A0" w:firstRow="1" w:lastRow="0" w:firstColumn="1" w:lastColumn="0" w:noHBand="0" w:noVBand="1"/>
      </w:tblPr>
      <w:tblGrid>
        <w:gridCol w:w="704"/>
        <w:gridCol w:w="8538"/>
      </w:tblGrid>
      <w:tr w:rsidR="00D8752E" w:rsidRPr="00933DD9" w14:paraId="70CAADD2" w14:textId="77777777" w:rsidTr="00DD6CFE">
        <w:tc>
          <w:tcPr>
            <w:tcW w:w="704" w:type="dxa"/>
            <w:tcBorders>
              <w:right w:val="single" w:sz="4" w:space="0" w:color="auto"/>
            </w:tcBorders>
            <w:shd w:val="clear" w:color="auto" w:fill="auto"/>
          </w:tcPr>
          <w:p w14:paraId="4A2AA417" w14:textId="77777777" w:rsidR="00D8752E" w:rsidRPr="00933DD9" w:rsidRDefault="00D8752E" w:rsidP="00D8752E">
            <w:pPr>
              <w:rPr>
                <w:rFonts w:ascii="Arial" w:hAnsi="Arial" w:cs="Arial"/>
                <w:sz w:val="24"/>
                <w:szCs w:val="24"/>
              </w:rPr>
            </w:pPr>
            <w:r w:rsidRPr="00933DD9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5F3E6" w14:textId="36FA5F30" w:rsidR="00D8752E" w:rsidRPr="001D04C7" w:rsidRDefault="00193194" w:rsidP="00F12D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04C7">
              <w:rPr>
                <w:rFonts w:ascii="Arial" w:hAnsi="Arial" w:cs="Arial"/>
                <w:sz w:val="24"/>
                <w:szCs w:val="24"/>
              </w:rPr>
              <w:t xml:space="preserve">The Police Reform and Social Responsibility Act 2011 </w:t>
            </w:r>
            <w:r w:rsidR="00EA3BE6">
              <w:rPr>
                <w:rFonts w:ascii="Arial" w:hAnsi="Arial" w:cs="Arial"/>
                <w:sz w:val="24"/>
                <w:szCs w:val="24"/>
              </w:rPr>
              <w:t xml:space="preserve">(the ‘Act’) </w:t>
            </w:r>
            <w:r w:rsidRPr="001D04C7">
              <w:rPr>
                <w:rFonts w:ascii="Arial" w:hAnsi="Arial" w:cs="Arial"/>
                <w:sz w:val="24"/>
                <w:szCs w:val="24"/>
              </w:rPr>
              <w:t>provides under section</w:t>
            </w:r>
            <w:r w:rsidR="00787656" w:rsidRPr="001D04C7">
              <w:rPr>
                <w:rFonts w:ascii="Arial" w:hAnsi="Arial" w:cs="Arial"/>
                <w:sz w:val="24"/>
                <w:szCs w:val="24"/>
              </w:rPr>
              <w:t>s</w:t>
            </w:r>
            <w:r w:rsidRPr="001D04C7">
              <w:rPr>
                <w:rFonts w:ascii="Arial" w:hAnsi="Arial" w:cs="Arial"/>
                <w:sz w:val="24"/>
                <w:szCs w:val="24"/>
              </w:rPr>
              <w:t xml:space="preserve"> 9 and 10 that the Police and Crime Commissioner for a police area makes crime and disorder grants and acts in co</w:t>
            </w:r>
            <w:r w:rsidR="00787656" w:rsidRPr="001D04C7">
              <w:rPr>
                <w:rFonts w:ascii="Arial" w:hAnsi="Arial" w:cs="Arial"/>
                <w:sz w:val="24"/>
                <w:szCs w:val="24"/>
              </w:rPr>
              <w:t>-</w:t>
            </w:r>
            <w:r w:rsidRPr="001D04C7">
              <w:rPr>
                <w:rFonts w:ascii="Arial" w:hAnsi="Arial" w:cs="Arial"/>
                <w:sz w:val="24"/>
                <w:szCs w:val="24"/>
              </w:rPr>
              <w:t>operation with responsible authorities and makes arrangements with criminal justice agencies for the exercise of functions</w:t>
            </w:r>
            <w:r w:rsidR="0071014D">
              <w:rPr>
                <w:rFonts w:ascii="Arial" w:hAnsi="Arial" w:cs="Arial"/>
                <w:sz w:val="24"/>
                <w:szCs w:val="24"/>
              </w:rPr>
              <w:t>,</w:t>
            </w:r>
            <w:r w:rsidRPr="001D04C7">
              <w:rPr>
                <w:rFonts w:ascii="Arial" w:hAnsi="Arial" w:cs="Arial"/>
                <w:sz w:val="24"/>
                <w:szCs w:val="24"/>
              </w:rPr>
              <w:t xml:space="preserve"> so as to provide an efficient and effective criminal justice system for the area.</w:t>
            </w:r>
          </w:p>
        </w:tc>
      </w:tr>
      <w:tr w:rsidR="0009524E" w:rsidRPr="00933DD9" w14:paraId="4D1CE505" w14:textId="77777777" w:rsidTr="005B6D95">
        <w:tc>
          <w:tcPr>
            <w:tcW w:w="704" w:type="dxa"/>
            <w:tcBorders>
              <w:right w:val="single" w:sz="4" w:space="0" w:color="auto"/>
            </w:tcBorders>
            <w:shd w:val="clear" w:color="auto" w:fill="auto"/>
          </w:tcPr>
          <w:p w14:paraId="4F19677A" w14:textId="27B5E21F" w:rsidR="0009524E" w:rsidRDefault="00E237B6" w:rsidP="00D8752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3041B" w14:textId="087B8047" w:rsidR="00681D43" w:rsidRDefault="00B81897" w:rsidP="00681D43">
            <w:pPr>
              <w:tabs>
                <w:tab w:val="left" w:pos="124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</w:t>
            </w:r>
            <w:r w:rsidR="00681D43">
              <w:rPr>
                <w:rFonts w:ascii="Arial" w:hAnsi="Arial" w:cs="Arial"/>
                <w:sz w:val="24"/>
                <w:szCs w:val="24"/>
              </w:rPr>
              <w:t>n</w:t>
            </w:r>
            <w:r w:rsidR="00A262F2" w:rsidRPr="00A262F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June </w:t>
            </w:r>
            <w:r w:rsidR="00A262F2" w:rsidRPr="00A262F2">
              <w:rPr>
                <w:rFonts w:ascii="Arial" w:hAnsi="Arial" w:cs="Arial"/>
                <w:sz w:val="24"/>
                <w:szCs w:val="24"/>
              </w:rPr>
              <w:t>2022</w:t>
            </w:r>
            <w:r w:rsidR="00FD3857" w:rsidRPr="00A262F2">
              <w:rPr>
                <w:rFonts w:ascii="Arial" w:hAnsi="Arial" w:cs="Arial"/>
                <w:sz w:val="24"/>
                <w:szCs w:val="24"/>
              </w:rPr>
              <w:t xml:space="preserve">, a paper was </w:t>
            </w:r>
            <w:r>
              <w:rPr>
                <w:rFonts w:ascii="Arial" w:hAnsi="Arial" w:cs="Arial"/>
                <w:sz w:val="24"/>
                <w:szCs w:val="24"/>
              </w:rPr>
              <w:t>circulated to the Policing in Wales members</w:t>
            </w:r>
            <w:r w:rsidR="00681D43">
              <w:rPr>
                <w:rFonts w:ascii="Arial" w:hAnsi="Arial" w:cs="Arial"/>
                <w:sz w:val="24"/>
                <w:szCs w:val="24"/>
              </w:rPr>
              <w:t xml:space="preserve"> requesting </w:t>
            </w:r>
            <w:r w:rsidR="00681D43" w:rsidRPr="00681D43">
              <w:rPr>
                <w:rFonts w:ascii="Arial" w:hAnsi="Arial" w:cs="Arial"/>
                <w:sz w:val="24"/>
                <w:szCs w:val="24"/>
              </w:rPr>
              <w:t xml:space="preserve">for PCCs </w:t>
            </w:r>
            <w:r w:rsidR="00E36F53">
              <w:rPr>
                <w:rFonts w:ascii="Arial" w:hAnsi="Arial" w:cs="Arial"/>
                <w:sz w:val="24"/>
                <w:szCs w:val="24"/>
              </w:rPr>
              <w:t>t</w:t>
            </w:r>
            <w:r w:rsidR="00681D43" w:rsidRPr="00681D43">
              <w:rPr>
                <w:rFonts w:ascii="Arial" w:hAnsi="Arial" w:cs="Arial"/>
                <w:sz w:val="24"/>
                <w:szCs w:val="24"/>
              </w:rPr>
              <w:t xml:space="preserve">o agree </w:t>
            </w:r>
            <w:r w:rsidR="00605B6C">
              <w:rPr>
                <w:rFonts w:ascii="Arial" w:hAnsi="Arial" w:cs="Arial"/>
                <w:sz w:val="24"/>
                <w:szCs w:val="24"/>
              </w:rPr>
              <w:t xml:space="preserve">a </w:t>
            </w:r>
            <w:r w:rsidR="00681D43" w:rsidRPr="00681D43">
              <w:rPr>
                <w:rFonts w:ascii="Arial" w:hAnsi="Arial" w:cs="Arial"/>
                <w:sz w:val="24"/>
                <w:szCs w:val="24"/>
              </w:rPr>
              <w:t>financial contribution towards the VAWDASV Blueprint Resource Team</w:t>
            </w:r>
            <w:r w:rsidR="00E36F53">
              <w:rPr>
                <w:rFonts w:ascii="Arial" w:hAnsi="Arial" w:cs="Arial"/>
                <w:sz w:val="24"/>
                <w:szCs w:val="24"/>
              </w:rPr>
              <w:t xml:space="preserve">.  </w:t>
            </w:r>
            <w:r>
              <w:rPr>
                <w:rFonts w:ascii="Arial" w:hAnsi="Arial" w:cs="Arial"/>
                <w:sz w:val="24"/>
                <w:szCs w:val="24"/>
              </w:rPr>
              <w:t xml:space="preserve">The recommendations were endorsed by the group. </w:t>
            </w:r>
            <w:r w:rsidR="00681D43">
              <w:rPr>
                <w:rFonts w:ascii="Arial" w:hAnsi="Arial" w:cs="Arial"/>
                <w:sz w:val="24"/>
                <w:szCs w:val="24"/>
              </w:rPr>
              <w:t>T</w:t>
            </w:r>
            <w:r w:rsidR="00681D43" w:rsidRPr="00681D43">
              <w:rPr>
                <w:rFonts w:ascii="Arial" w:hAnsi="Arial" w:cs="Arial"/>
                <w:sz w:val="24"/>
                <w:szCs w:val="24"/>
              </w:rPr>
              <w:t>h</w:t>
            </w:r>
            <w:r>
              <w:rPr>
                <w:rFonts w:ascii="Arial" w:hAnsi="Arial" w:cs="Arial"/>
                <w:sz w:val="24"/>
                <w:szCs w:val="24"/>
              </w:rPr>
              <w:t xml:space="preserve">e contribution </w:t>
            </w:r>
            <w:r w:rsidR="00681D43" w:rsidRPr="00681D43">
              <w:rPr>
                <w:rFonts w:ascii="Arial" w:hAnsi="Arial" w:cs="Arial"/>
                <w:sz w:val="24"/>
                <w:szCs w:val="24"/>
              </w:rPr>
              <w:t>will align</w:t>
            </w:r>
            <w:r w:rsidR="00F06C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27E7D">
              <w:rPr>
                <w:rFonts w:ascii="Arial" w:hAnsi="Arial" w:cs="Arial"/>
                <w:sz w:val="24"/>
                <w:szCs w:val="24"/>
              </w:rPr>
              <w:t>the</w:t>
            </w:r>
            <w:r w:rsidR="00681D43" w:rsidRPr="00681D43">
              <w:rPr>
                <w:rFonts w:ascii="Arial" w:hAnsi="Arial" w:cs="Arial"/>
                <w:sz w:val="24"/>
                <w:szCs w:val="24"/>
              </w:rPr>
              <w:t xml:space="preserve"> PCC</w:t>
            </w:r>
            <w:r w:rsidR="006774CC">
              <w:rPr>
                <w:rFonts w:ascii="Arial" w:hAnsi="Arial" w:cs="Arial"/>
                <w:sz w:val="24"/>
                <w:szCs w:val="24"/>
              </w:rPr>
              <w:t>’</w:t>
            </w:r>
            <w:r w:rsidR="00681D43" w:rsidRPr="00681D43">
              <w:rPr>
                <w:rFonts w:ascii="Arial" w:hAnsi="Arial" w:cs="Arial"/>
                <w:sz w:val="24"/>
                <w:szCs w:val="24"/>
              </w:rPr>
              <w:t>s financial contribution to the establishment of the pan Wales virtual, multi-agency team over a three-year period to the 3-year financial commitment made by Welsh Government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9654C6">
              <w:rPr>
                <w:rFonts w:ascii="Arial" w:hAnsi="Arial" w:cs="Arial"/>
                <w:sz w:val="24"/>
                <w:szCs w:val="24"/>
              </w:rPr>
              <w:t xml:space="preserve"> The Blueprint team will be responsible for delivering against the VAWDASV Blueprint action plan published by the Welsh Government in May 2022</w:t>
            </w:r>
          </w:p>
          <w:p w14:paraId="53E04993" w14:textId="3FA74B2C" w:rsidR="00605B6C" w:rsidRDefault="00605B6C" w:rsidP="00605B6C">
            <w:pPr>
              <w:tabs>
                <w:tab w:val="left" w:pos="124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5B6C">
              <w:rPr>
                <w:rFonts w:ascii="Arial" w:hAnsi="Arial" w:cs="Arial"/>
                <w:sz w:val="24"/>
                <w:szCs w:val="24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Pr="00605B6C">
              <w:rPr>
                <w:rFonts w:ascii="Arial" w:hAnsi="Arial" w:cs="Arial"/>
                <w:sz w:val="24"/>
                <w:szCs w:val="24"/>
              </w:rPr>
              <w:t xml:space="preserve"> paper provide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Pr="00605B6C">
              <w:rPr>
                <w:rFonts w:ascii="Arial" w:hAnsi="Arial" w:cs="Arial"/>
                <w:sz w:val="24"/>
                <w:szCs w:val="24"/>
              </w:rPr>
              <w:t xml:space="preserve"> clarity in terms of the financial ask and provides revised figures relating to PCC</w:t>
            </w:r>
            <w:r w:rsidR="006774CC">
              <w:rPr>
                <w:rFonts w:ascii="Arial" w:hAnsi="Arial" w:cs="Arial"/>
                <w:sz w:val="24"/>
                <w:szCs w:val="24"/>
              </w:rPr>
              <w:t>’</w:t>
            </w:r>
            <w:r w:rsidRPr="00605B6C">
              <w:rPr>
                <w:rFonts w:ascii="Arial" w:hAnsi="Arial" w:cs="Arial"/>
                <w:sz w:val="24"/>
                <w:szCs w:val="24"/>
              </w:rPr>
              <w:t xml:space="preserve">s commitment over </w:t>
            </w:r>
            <w:r w:rsidR="00E36F53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Pr="00605B6C">
              <w:rPr>
                <w:rFonts w:ascii="Arial" w:hAnsi="Arial" w:cs="Arial"/>
                <w:sz w:val="24"/>
                <w:szCs w:val="24"/>
              </w:rPr>
              <w:t>three financial years 2022-25, and indicative activity timeline for subsequent posts.</w:t>
            </w:r>
            <w:r>
              <w:rPr>
                <w:rFonts w:ascii="Arial" w:hAnsi="Arial" w:cs="Arial"/>
                <w:sz w:val="24"/>
                <w:szCs w:val="24"/>
              </w:rPr>
              <w:t xml:space="preserve">  PCCs did not contribute to the </w:t>
            </w:r>
            <w:r w:rsidR="002F619A">
              <w:rPr>
                <w:rFonts w:ascii="Arial" w:hAnsi="Arial" w:cs="Arial"/>
                <w:sz w:val="24"/>
                <w:szCs w:val="24"/>
              </w:rPr>
              <w:t>Blueprint resources team</w:t>
            </w:r>
            <w:r>
              <w:rPr>
                <w:rFonts w:ascii="Arial" w:hAnsi="Arial" w:cs="Arial"/>
                <w:sz w:val="24"/>
                <w:szCs w:val="24"/>
              </w:rPr>
              <w:t xml:space="preserve"> in 2022/23</w:t>
            </w:r>
            <w:r w:rsidR="006774CC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 xml:space="preserve"> as this was funded by</w:t>
            </w:r>
            <w:r w:rsidR="002F619A">
              <w:rPr>
                <w:rFonts w:ascii="Arial" w:hAnsi="Arial" w:cs="Arial"/>
                <w:sz w:val="24"/>
                <w:szCs w:val="24"/>
              </w:rPr>
              <w:t xml:space="preserve"> contributions from</w:t>
            </w:r>
            <w:r>
              <w:rPr>
                <w:rFonts w:ascii="Arial" w:hAnsi="Arial" w:cs="Arial"/>
                <w:sz w:val="24"/>
                <w:szCs w:val="24"/>
              </w:rPr>
              <w:t xml:space="preserve"> Welsh Government.  The funding requirements </w:t>
            </w:r>
            <w:r w:rsidR="002F619A">
              <w:rPr>
                <w:rFonts w:ascii="Arial" w:hAnsi="Arial" w:cs="Arial"/>
                <w:sz w:val="24"/>
                <w:szCs w:val="24"/>
              </w:rPr>
              <w:t xml:space="preserve">for 2023/24 &amp; 2024/25 </w:t>
            </w:r>
            <w:r>
              <w:rPr>
                <w:rFonts w:ascii="Arial" w:hAnsi="Arial" w:cs="Arial"/>
                <w:sz w:val="24"/>
                <w:szCs w:val="24"/>
              </w:rPr>
              <w:t>are detailed below:-</w:t>
            </w:r>
          </w:p>
          <w:tbl>
            <w:tblPr>
              <w:tblW w:w="5940" w:type="dxa"/>
              <w:tblLook w:val="04A0" w:firstRow="1" w:lastRow="0" w:firstColumn="1" w:lastColumn="0" w:noHBand="0" w:noVBand="1"/>
            </w:tblPr>
            <w:tblGrid>
              <w:gridCol w:w="3560"/>
              <w:gridCol w:w="1200"/>
              <w:gridCol w:w="1180"/>
            </w:tblGrid>
            <w:tr w:rsidR="00B81897" w:rsidRPr="00475E5C" w14:paraId="789FFCE0" w14:textId="77777777" w:rsidTr="00B81897">
              <w:trPr>
                <w:trHeight w:val="310"/>
              </w:trPr>
              <w:tc>
                <w:tcPr>
                  <w:tcW w:w="3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7E6E6"/>
                  <w:noWrap/>
                  <w:vAlign w:val="bottom"/>
                  <w:hideMark/>
                </w:tcPr>
                <w:p w14:paraId="01F0DF3D" w14:textId="2DEC5BE7" w:rsidR="00B81897" w:rsidRPr="00475E5C" w:rsidRDefault="00B81897" w:rsidP="00475E5C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n-GB"/>
                    </w:rPr>
                  </w:pPr>
                  <w:r w:rsidRPr="00475E5C">
                    <w:rPr>
                      <w:rFonts w:eastAsia="Times New Roman" w:cs="Calibri"/>
                      <w:color w:val="000000"/>
                      <w:lang w:eastAsia="en-GB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7E6E6"/>
                  <w:noWrap/>
                  <w:vAlign w:val="bottom"/>
                  <w:hideMark/>
                </w:tcPr>
                <w:p w14:paraId="6E2D54F4" w14:textId="77777777" w:rsidR="00B81897" w:rsidRPr="00475E5C" w:rsidRDefault="00B81897" w:rsidP="00475E5C">
                  <w:pP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</w:pPr>
                  <w:r w:rsidRPr="00475E5C">
                    <w:rPr>
                      <w:rFonts w:eastAsia="Times New Roman" w:cs="Calibri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  <w:t>2023/24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7E6E6"/>
                  <w:noWrap/>
                  <w:vAlign w:val="bottom"/>
                  <w:hideMark/>
                </w:tcPr>
                <w:p w14:paraId="5C20FD3D" w14:textId="77777777" w:rsidR="00B81897" w:rsidRPr="00475E5C" w:rsidRDefault="00B81897" w:rsidP="00475E5C">
                  <w:pP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</w:pPr>
                  <w:r w:rsidRPr="00475E5C">
                    <w:rPr>
                      <w:rFonts w:eastAsia="Times New Roman" w:cs="Calibri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  <w:t>2024/25</w:t>
                  </w:r>
                </w:p>
              </w:tc>
            </w:tr>
            <w:tr w:rsidR="00B81897" w:rsidRPr="00475E5C" w14:paraId="1445C118" w14:textId="77777777" w:rsidTr="00B81897">
              <w:trPr>
                <w:trHeight w:val="510"/>
              </w:trPr>
              <w:tc>
                <w:tcPr>
                  <w:tcW w:w="3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7E6E6"/>
                  <w:noWrap/>
                  <w:vAlign w:val="bottom"/>
                  <w:hideMark/>
                </w:tcPr>
                <w:p w14:paraId="2CB516E9" w14:textId="77777777" w:rsidR="00B81897" w:rsidRPr="00475E5C" w:rsidRDefault="00B81897" w:rsidP="00475E5C">
                  <w:pPr>
                    <w:spacing w:after="0" w:line="240" w:lineRule="auto"/>
                    <w:rPr>
                      <w:rFonts w:eastAsia="Times New Roman" w:cs="Calibri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</w:pPr>
                  <w:r w:rsidRPr="00475E5C">
                    <w:rPr>
                      <w:rFonts w:eastAsia="Times New Roman" w:cs="Calibri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  <w:t>Total annual funding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7E6E6"/>
                  <w:noWrap/>
                  <w:vAlign w:val="bottom"/>
                  <w:hideMark/>
                </w:tcPr>
                <w:p w14:paraId="45D5F98D" w14:textId="77777777" w:rsidR="00B81897" w:rsidRPr="00475E5C" w:rsidRDefault="00B81897" w:rsidP="00475E5C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en-GB"/>
                    </w:rPr>
                  </w:pPr>
                  <w:r w:rsidRPr="00475E5C"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en-GB"/>
                    </w:rPr>
                    <w:t>152,500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7E6E6"/>
                  <w:noWrap/>
                  <w:vAlign w:val="bottom"/>
                  <w:hideMark/>
                </w:tcPr>
                <w:p w14:paraId="3CD3613A" w14:textId="77777777" w:rsidR="00B81897" w:rsidRPr="00475E5C" w:rsidRDefault="00B81897" w:rsidP="00475E5C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en-GB"/>
                    </w:rPr>
                  </w:pPr>
                  <w:r w:rsidRPr="00475E5C"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en-GB"/>
                    </w:rPr>
                    <w:t>152,500</w:t>
                  </w:r>
                </w:p>
              </w:tc>
            </w:tr>
            <w:tr w:rsidR="00B81897" w:rsidRPr="00475E5C" w14:paraId="2DC95B3A" w14:textId="77777777" w:rsidTr="00B81897">
              <w:trPr>
                <w:trHeight w:val="610"/>
              </w:trPr>
              <w:tc>
                <w:tcPr>
                  <w:tcW w:w="3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7E6E6"/>
                  <w:noWrap/>
                  <w:vAlign w:val="bottom"/>
                  <w:hideMark/>
                </w:tcPr>
                <w:p w14:paraId="530D7316" w14:textId="77777777" w:rsidR="00B81897" w:rsidRPr="00475E5C" w:rsidRDefault="00B81897" w:rsidP="00475E5C">
                  <w:pPr>
                    <w:spacing w:after="0" w:line="240" w:lineRule="auto"/>
                    <w:rPr>
                      <w:rFonts w:eastAsia="Times New Roman" w:cs="Calibri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</w:pPr>
                  <w:r w:rsidRPr="00475E5C">
                    <w:rPr>
                      <w:rFonts w:eastAsia="Times New Roman" w:cs="Calibri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  <w:t>Total annual funding per PCC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7E6E6"/>
                  <w:noWrap/>
                  <w:vAlign w:val="bottom"/>
                  <w:hideMark/>
                </w:tcPr>
                <w:p w14:paraId="44A2A8B3" w14:textId="77777777" w:rsidR="00B81897" w:rsidRPr="00475E5C" w:rsidRDefault="00B81897" w:rsidP="00475E5C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en-GB"/>
                    </w:rPr>
                  </w:pPr>
                  <w:r w:rsidRPr="00475E5C"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en-GB"/>
                    </w:rPr>
                    <w:t>38,125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7E6E6"/>
                  <w:noWrap/>
                  <w:vAlign w:val="bottom"/>
                  <w:hideMark/>
                </w:tcPr>
                <w:p w14:paraId="2F2EB458" w14:textId="77777777" w:rsidR="00B81897" w:rsidRPr="00475E5C" w:rsidRDefault="00B81897" w:rsidP="00475E5C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en-GB"/>
                    </w:rPr>
                  </w:pPr>
                  <w:r w:rsidRPr="00475E5C"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en-GB"/>
                    </w:rPr>
                    <w:t>38,125</w:t>
                  </w:r>
                </w:p>
              </w:tc>
            </w:tr>
          </w:tbl>
          <w:p w14:paraId="6E6433D1" w14:textId="77777777" w:rsidR="009654C6" w:rsidRDefault="009654C6" w:rsidP="00605B6C">
            <w:pPr>
              <w:tabs>
                <w:tab w:val="left" w:pos="124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E490DB2" w14:textId="3C74F83E" w:rsidR="00605B6C" w:rsidRDefault="002F619A" w:rsidP="00605B6C">
            <w:pPr>
              <w:tabs>
                <w:tab w:val="left" w:pos="124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PCC funding will c</w:t>
            </w:r>
            <w:r w:rsidR="00605B6C">
              <w:rPr>
                <w:rFonts w:ascii="Arial" w:hAnsi="Arial" w:cs="Arial"/>
                <w:sz w:val="24"/>
                <w:szCs w:val="24"/>
              </w:rPr>
              <w:t>ontribut</w:t>
            </w:r>
            <w:r>
              <w:rPr>
                <w:rFonts w:ascii="Arial" w:hAnsi="Arial" w:cs="Arial"/>
                <w:sz w:val="24"/>
                <w:szCs w:val="24"/>
              </w:rPr>
              <w:t>e towards the following roles</w:t>
            </w:r>
            <w:r w:rsidR="00605B6C">
              <w:rPr>
                <w:rFonts w:ascii="Arial" w:hAnsi="Arial" w:cs="Arial"/>
                <w:sz w:val="24"/>
                <w:szCs w:val="24"/>
              </w:rPr>
              <w:t>:-</w:t>
            </w:r>
          </w:p>
          <w:p w14:paraId="143D0F3F" w14:textId="5F4ED199" w:rsidR="006A1960" w:rsidRDefault="006A1960" w:rsidP="006A1960">
            <w:r>
              <w:rPr>
                <w:rFonts w:ascii="Aptos" w:hAnsi="Aptos"/>
              </w:rPr>
              <w:t>3 x Delivery Managers</w:t>
            </w:r>
          </w:p>
          <w:p w14:paraId="057E9A7A" w14:textId="06B1D998" w:rsidR="006A1960" w:rsidRDefault="006A1960" w:rsidP="006A1960">
            <w:r>
              <w:rPr>
                <w:rFonts w:ascii="Aptos" w:hAnsi="Aptos"/>
              </w:rPr>
              <w:lastRenderedPageBreak/>
              <w:t>1 x Project and Policy Support</w:t>
            </w:r>
          </w:p>
          <w:p w14:paraId="1CA3A5D0" w14:textId="3C36CE84" w:rsidR="00FD3857" w:rsidRPr="00E36F53" w:rsidRDefault="006A1960" w:rsidP="00E36F53">
            <w:r>
              <w:rPr>
                <w:rFonts w:ascii="Aptos" w:hAnsi="Aptos"/>
              </w:rPr>
              <w:t>0.6  x Admin Support</w:t>
            </w:r>
          </w:p>
        </w:tc>
      </w:tr>
      <w:tr w:rsidR="00957874" w:rsidRPr="00933DD9" w14:paraId="38FC7C5A" w14:textId="77777777" w:rsidTr="005B6D95">
        <w:tc>
          <w:tcPr>
            <w:tcW w:w="704" w:type="dxa"/>
            <w:tcBorders>
              <w:right w:val="single" w:sz="4" w:space="0" w:color="auto"/>
            </w:tcBorders>
            <w:shd w:val="clear" w:color="auto" w:fill="auto"/>
          </w:tcPr>
          <w:p w14:paraId="2A7B4761" w14:textId="65A57B3A" w:rsidR="00957874" w:rsidRDefault="00E237B6" w:rsidP="00D8752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  <w:r w:rsidR="00BF120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C14F3" w14:textId="0FFB9A46" w:rsidR="00957874" w:rsidRPr="001D04C7" w:rsidRDefault="006A1960" w:rsidP="00E36F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</w:t>
            </w:r>
            <w:r w:rsidR="00475E5C">
              <w:rPr>
                <w:rFonts w:ascii="Arial" w:hAnsi="Arial" w:cs="Arial"/>
                <w:sz w:val="24"/>
                <w:szCs w:val="24"/>
              </w:rPr>
              <w:t>y predecessor agreed</w:t>
            </w:r>
            <w:r w:rsidR="00FD3857">
              <w:rPr>
                <w:rFonts w:ascii="Arial" w:hAnsi="Arial" w:cs="Arial"/>
                <w:sz w:val="24"/>
                <w:szCs w:val="24"/>
              </w:rPr>
              <w:t xml:space="preserve"> alongside the other three Welsh Police and Crime Commissioners to contribute the requested </w:t>
            </w:r>
            <w:r w:rsidR="008A2738">
              <w:rPr>
                <w:rFonts w:ascii="Arial" w:hAnsi="Arial" w:cs="Arial"/>
                <w:sz w:val="24"/>
                <w:szCs w:val="24"/>
              </w:rPr>
              <w:t>£</w:t>
            </w:r>
            <w:r w:rsidR="00605B6C">
              <w:rPr>
                <w:rFonts w:ascii="Arial" w:hAnsi="Arial" w:cs="Arial"/>
                <w:sz w:val="24"/>
                <w:szCs w:val="24"/>
              </w:rPr>
              <w:t>38,</w:t>
            </w:r>
            <w:r w:rsidR="00475E5C">
              <w:rPr>
                <w:rFonts w:ascii="Arial" w:hAnsi="Arial" w:cs="Arial"/>
                <w:sz w:val="24"/>
                <w:szCs w:val="24"/>
              </w:rPr>
              <w:t>125</w:t>
            </w:r>
            <w:r w:rsidR="00605B6C">
              <w:rPr>
                <w:rFonts w:ascii="Arial" w:hAnsi="Arial" w:cs="Arial"/>
                <w:sz w:val="24"/>
                <w:szCs w:val="24"/>
              </w:rPr>
              <w:t xml:space="preserve"> per annum</w:t>
            </w:r>
            <w:r w:rsidR="008A273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D3857">
              <w:rPr>
                <w:rFonts w:ascii="Arial" w:hAnsi="Arial" w:cs="Arial"/>
                <w:sz w:val="24"/>
                <w:szCs w:val="24"/>
              </w:rPr>
              <w:t>to support th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="00FD3857">
              <w:rPr>
                <w:rFonts w:ascii="Arial" w:hAnsi="Arial" w:cs="Arial"/>
                <w:sz w:val="24"/>
                <w:szCs w:val="24"/>
              </w:rPr>
              <w:t xml:space="preserve"> work</w:t>
            </w:r>
            <w:r w:rsidR="00475E5C">
              <w:rPr>
                <w:rFonts w:ascii="Arial" w:hAnsi="Arial" w:cs="Arial"/>
                <w:sz w:val="24"/>
                <w:szCs w:val="24"/>
              </w:rPr>
              <w:t xml:space="preserve"> of this team</w:t>
            </w:r>
            <w:r w:rsidR="001F3F1B">
              <w:rPr>
                <w:rFonts w:ascii="Arial" w:hAnsi="Arial" w:cs="Arial"/>
                <w:sz w:val="24"/>
                <w:szCs w:val="24"/>
              </w:rPr>
              <w:t xml:space="preserve"> in 202</w:t>
            </w:r>
            <w:r w:rsidR="00605B6C">
              <w:rPr>
                <w:rFonts w:ascii="Arial" w:hAnsi="Arial" w:cs="Arial"/>
                <w:sz w:val="24"/>
                <w:szCs w:val="24"/>
              </w:rPr>
              <w:t>3</w:t>
            </w:r>
            <w:r w:rsidR="001F3F1B">
              <w:rPr>
                <w:rFonts w:ascii="Arial" w:hAnsi="Arial" w:cs="Arial"/>
                <w:sz w:val="24"/>
                <w:szCs w:val="24"/>
              </w:rPr>
              <w:t>/2</w:t>
            </w:r>
            <w:r w:rsidR="00605B6C">
              <w:rPr>
                <w:rFonts w:ascii="Arial" w:hAnsi="Arial" w:cs="Arial"/>
                <w:sz w:val="24"/>
                <w:szCs w:val="24"/>
              </w:rPr>
              <w:t>4 &amp; 2024/25.</w:t>
            </w:r>
          </w:p>
        </w:tc>
      </w:tr>
    </w:tbl>
    <w:p w14:paraId="6BB1C264" w14:textId="77777777" w:rsidR="0087243D" w:rsidRDefault="0087243D" w:rsidP="00D8752E">
      <w:pPr>
        <w:rPr>
          <w:rFonts w:ascii="Arial" w:hAnsi="Arial" w:cs="Arial"/>
          <w:sz w:val="24"/>
          <w:szCs w:val="24"/>
        </w:rPr>
      </w:pPr>
    </w:p>
    <w:p w14:paraId="1D7B739C" w14:textId="77777777" w:rsidR="0016122E" w:rsidRDefault="0016122E" w:rsidP="00D8752E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3"/>
        <w:gridCol w:w="4475"/>
      </w:tblGrid>
      <w:tr w:rsidR="00320095" w:rsidRPr="00933DD9" w14:paraId="6D04E3EB" w14:textId="77777777" w:rsidTr="00933DD9">
        <w:tc>
          <w:tcPr>
            <w:tcW w:w="9242" w:type="dxa"/>
            <w:gridSpan w:val="2"/>
            <w:shd w:val="clear" w:color="auto" w:fill="auto"/>
          </w:tcPr>
          <w:p w14:paraId="240EF620" w14:textId="3E13A200" w:rsidR="00320095" w:rsidRPr="00933DD9" w:rsidRDefault="00605B6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Jane Mudd</w:t>
            </w:r>
            <w:r w:rsidR="002756B8"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="00320095" w:rsidRPr="00933DD9">
              <w:rPr>
                <w:rFonts w:ascii="Arial" w:hAnsi="Arial" w:cs="Arial"/>
                <w:b/>
                <w:sz w:val="24"/>
                <w:szCs w:val="24"/>
              </w:rPr>
              <w:t xml:space="preserve"> Police and Crime Commissioner for Gwent</w:t>
            </w:r>
          </w:p>
        </w:tc>
      </w:tr>
      <w:tr w:rsidR="00320095" w:rsidRPr="00933DD9" w14:paraId="314FFC6A" w14:textId="77777777" w:rsidTr="00933DD9">
        <w:tc>
          <w:tcPr>
            <w:tcW w:w="9242" w:type="dxa"/>
            <w:gridSpan w:val="2"/>
            <w:shd w:val="clear" w:color="auto" w:fill="auto"/>
          </w:tcPr>
          <w:p w14:paraId="6FA89459" w14:textId="77777777" w:rsidR="00320095" w:rsidRPr="00933DD9" w:rsidRDefault="00320095">
            <w:pPr>
              <w:rPr>
                <w:rFonts w:ascii="Arial" w:hAnsi="Arial" w:cs="Arial"/>
                <w:sz w:val="24"/>
                <w:szCs w:val="24"/>
              </w:rPr>
            </w:pPr>
            <w:r w:rsidRPr="00933DD9">
              <w:rPr>
                <w:rFonts w:ascii="Arial" w:hAnsi="Arial" w:cs="Arial"/>
                <w:sz w:val="24"/>
                <w:szCs w:val="24"/>
              </w:rPr>
              <w:t>My decision is as I have recorded in this paper</w:t>
            </w:r>
          </w:p>
        </w:tc>
      </w:tr>
      <w:tr w:rsidR="00320095" w:rsidRPr="00933DD9" w14:paraId="25C1357D" w14:textId="77777777" w:rsidTr="00933DD9">
        <w:tc>
          <w:tcPr>
            <w:tcW w:w="4621" w:type="dxa"/>
            <w:shd w:val="clear" w:color="auto" w:fill="auto"/>
          </w:tcPr>
          <w:p w14:paraId="64933F81" w14:textId="77777777" w:rsidR="00320095" w:rsidRDefault="00320095">
            <w:pPr>
              <w:rPr>
                <w:rFonts w:ascii="Arial" w:hAnsi="Arial" w:cs="Arial"/>
                <w:sz w:val="24"/>
                <w:szCs w:val="24"/>
              </w:rPr>
            </w:pPr>
            <w:r w:rsidRPr="00933DD9">
              <w:rPr>
                <w:rFonts w:ascii="Arial" w:hAnsi="Arial" w:cs="Arial"/>
                <w:sz w:val="24"/>
                <w:szCs w:val="24"/>
              </w:rPr>
              <w:t>Signed</w:t>
            </w:r>
          </w:p>
          <w:p w14:paraId="7FF81F43" w14:textId="3908FF04" w:rsidR="00782173" w:rsidRPr="00933DD9" w:rsidRDefault="008D2CC4">
            <w:pPr>
              <w:rPr>
                <w:rFonts w:ascii="Arial" w:hAnsi="Arial" w:cs="Arial"/>
                <w:sz w:val="24"/>
                <w:szCs w:val="24"/>
              </w:rPr>
            </w:pPr>
            <w:r w:rsidRPr="003B1BB1">
              <w:rPr>
                <w:rFonts w:ascii="Arial" w:hAnsi="Arial" w:cs="Arial"/>
                <w:noProof/>
              </w:rPr>
              <w:drawing>
                <wp:inline distT="0" distB="0" distL="0" distR="0" wp14:anchorId="292C19AA" wp14:editId="1BE1671A">
                  <wp:extent cx="1981200" cy="806418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584" cy="8143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1" w:type="dxa"/>
            <w:shd w:val="clear" w:color="auto" w:fill="auto"/>
          </w:tcPr>
          <w:p w14:paraId="2703F4D9" w14:textId="77777777" w:rsidR="00320095" w:rsidRDefault="00320095">
            <w:pPr>
              <w:rPr>
                <w:rFonts w:ascii="Arial" w:hAnsi="Arial" w:cs="Arial"/>
                <w:sz w:val="24"/>
                <w:szCs w:val="24"/>
              </w:rPr>
            </w:pPr>
            <w:r w:rsidRPr="00933DD9">
              <w:rPr>
                <w:rFonts w:ascii="Arial" w:hAnsi="Arial" w:cs="Arial"/>
                <w:sz w:val="24"/>
                <w:szCs w:val="24"/>
              </w:rPr>
              <w:t>Date</w:t>
            </w:r>
          </w:p>
          <w:p w14:paraId="4E6FE231" w14:textId="77777777" w:rsidR="008D2CC4" w:rsidRDefault="008D2CC4">
            <w:pPr>
              <w:rPr>
                <w:rFonts w:ascii="Arial" w:hAnsi="Arial" w:cs="Arial"/>
                <w:sz w:val="24"/>
                <w:szCs w:val="24"/>
              </w:rPr>
            </w:pPr>
          </w:p>
          <w:p w14:paraId="6CD440A7" w14:textId="7691D6DE" w:rsidR="008D2CC4" w:rsidRPr="00933DD9" w:rsidRDefault="008D2C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12.11.2024</w:t>
            </w:r>
          </w:p>
        </w:tc>
      </w:tr>
    </w:tbl>
    <w:p w14:paraId="002DC8C4" w14:textId="77777777" w:rsidR="00320095" w:rsidRDefault="00320095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7"/>
        <w:gridCol w:w="5481"/>
      </w:tblGrid>
      <w:tr w:rsidR="00320095" w:rsidRPr="00933DD9" w14:paraId="6B8C14D0" w14:textId="77777777" w:rsidTr="002F619A">
        <w:trPr>
          <w:trHeight w:val="625"/>
        </w:trPr>
        <w:tc>
          <w:tcPr>
            <w:tcW w:w="3652" w:type="dxa"/>
            <w:shd w:val="clear" w:color="auto" w:fill="auto"/>
          </w:tcPr>
          <w:p w14:paraId="777BBE33" w14:textId="77777777" w:rsidR="00320095" w:rsidRPr="00933DD9" w:rsidRDefault="0032009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33DD9">
              <w:rPr>
                <w:rFonts w:ascii="Arial" w:hAnsi="Arial" w:cs="Arial"/>
                <w:b/>
                <w:sz w:val="24"/>
                <w:szCs w:val="24"/>
              </w:rPr>
              <w:t>Contact Officer</w:t>
            </w:r>
          </w:p>
        </w:tc>
        <w:tc>
          <w:tcPr>
            <w:tcW w:w="5590" w:type="dxa"/>
            <w:shd w:val="clear" w:color="auto" w:fill="auto"/>
          </w:tcPr>
          <w:p w14:paraId="613C90CE" w14:textId="77777777" w:rsidR="00320095" w:rsidRPr="00933DD9" w:rsidRDefault="0032009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0095" w:rsidRPr="00933DD9" w14:paraId="2F924FE7" w14:textId="77777777" w:rsidTr="00F27A6F">
        <w:tc>
          <w:tcPr>
            <w:tcW w:w="3652" w:type="dxa"/>
            <w:shd w:val="clear" w:color="auto" w:fill="auto"/>
          </w:tcPr>
          <w:p w14:paraId="78075191" w14:textId="77777777" w:rsidR="00320095" w:rsidRPr="00933DD9" w:rsidRDefault="00320095">
            <w:pPr>
              <w:rPr>
                <w:rFonts w:ascii="Arial" w:hAnsi="Arial" w:cs="Arial"/>
                <w:sz w:val="24"/>
                <w:szCs w:val="24"/>
              </w:rPr>
            </w:pPr>
            <w:r w:rsidRPr="00933DD9">
              <w:rPr>
                <w:rFonts w:ascii="Arial" w:hAnsi="Arial" w:cs="Arial"/>
                <w:sz w:val="24"/>
                <w:szCs w:val="24"/>
              </w:rPr>
              <w:t>Name</w:t>
            </w:r>
          </w:p>
        </w:tc>
        <w:tc>
          <w:tcPr>
            <w:tcW w:w="5590" w:type="dxa"/>
            <w:shd w:val="clear" w:color="auto" w:fill="auto"/>
          </w:tcPr>
          <w:p w14:paraId="4BD117FE" w14:textId="67B5736C" w:rsidR="00320095" w:rsidRPr="00933DD9" w:rsidRDefault="002F619A" w:rsidP="00CC75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Zoe Morris</w:t>
            </w:r>
          </w:p>
        </w:tc>
      </w:tr>
      <w:tr w:rsidR="00320095" w:rsidRPr="00933DD9" w14:paraId="37DB5A5E" w14:textId="77777777" w:rsidTr="00F27A6F">
        <w:tc>
          <w:tcPr>
            <w:tcW w:w="3652" w:type="dxa"/>
            <w:shd w:val="clear" w:color="auto" w:fill="auto"/>
          </w:tcPr>
          <w:p w14:paraId="1B102896" w14:textId="77777777" w:rsidR="00320095" w:rsidRPr="00933DD9" w:rsidRDefault="00320095">
            <w:pPr>
              <w:rPr>
                <w:rFonts w:ascii="Arial" w:hAnsi="Arial" w:cs="Arial"/>
                <w:sz w:val="24"/>
                <w:szCs w:val="24"/>
              </w:rPr>
            </w:pPr>
            <w:r w:rsidRPr="00933DD9">
              <w:rPr>
                <w:rFonts w:ascii="Arial" w:hAnsi="Arial" w:cs="Arial"/>
                <w:sz w:val="24"/>
                <w:szCs w:val="24"/>
              </w:rPr>
              <w:t>Position</w:t>
            </w:r>
          </w:p>
        </w:tc>
        <w:tc>
          <w:tcPr>
            <w:tcW w:w="5590" w:type="dxa"/>
            <w:shd w:val="clear" w:color="auto" w:fill="auto"/>
          </w:tcPr>
          <w:p w14:paraId="55F1C9E6" w14:textId="045EFF21" w:rsidR="00320095" w:rsidRPr="00933DD9" w:rsidRDefault="009B1053" w:rsidP="003815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Temp. Finance and Commissioning Manager </w:t>
            </w:r>
          </w:p>
        </w:tc>
      </w:tr>
      <w:tr w:rsidR="00320095" w:rsidRPr="00933DD9" w14:paraId="69006E78" w14:textId="77777777" w:rsidTr="00F27A6F">
        <w:tc>
          <w:tcPr>
            <w:tcW w:w="3652" w:type="dxa"/>
            <w:shd w:val="clear" w:color="auto" w:fill="auto"/>
          </w:tcPr>
          <w:p w14:paraId="75268B82" w14:textId="77777777" w:rsidR="00320095" w:rsidRPr="00933DD9" w:rsidRDefault="00320095">
            <w:pPr>
              <w:rPr>
                <w:rFonts w:ascii="Arial" w:hAnsi="Arial" w:cs="Arial"/>
                <w:sz w:val="24"/>
                <w:szCs w:val="24"/>
              </w:rPr>
            </w:pPr>
            <w:r w:rsidRPr="00933DD9">
              <w:rPr>
                <w:rFonts w:ascii="Arial" w:hAnsi="Arial" w:cs="Arial"/>
                <w:sz w:val="24"/>
                <w:szCs w:val="24"/>
              </w:rPr>
              <w:t>Telephone</w:t>
            </w:r>
          </w:p>
        </w:tc>
        <w:tc>
          <w:tcPr>
            <w:tcW w:w="5590" w:type="dxa"/>
            <w:shd w:val="clear" w:color="auto" w:fill="auto"/>
          </w:tcPr>
          <w:p w14:paraId="62C2DF61" w14:textId="05E48F5E" w:rsidR="00320095" w:rsidRPr="001064CF" w:rsidRDefault="0032009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0095" w:rsidRPr="00933DD9" w14:paraId="36CDF0B4" w14:textId="77777777" w:rsidTr="00F27A6F">
        <w:tc>
          <w:tcPr>
            <w:tcW w:w="3652" w:type="dxa"/>
            <w:shd w:val="clear" w:color="auto" w:fill="auto"/>
          </w:tcPr>
          <w:p w14:paraId="509AD074" w14:textId="77777777" w:rsidR="00320095" w:rsidRPr="00933DD9" w:rsidRDefault="00320095">
            <w:pPr>
              <w:rPr>
                <w:rFonts w:ascii="Arial" w:hAnsi="Arial" w:cs="Arial"/>
                <w:sz w:val="24"/>
                <w:szCs w:val="24"/>
              </w:rPr>
            </w:pPr>
            <w:r w:rsidRPr="00933DD9">
              <w:rPr>
                <w:rFonts w:ascii="Arial" w:hAnsi="Arial" w:cs="Arial"/>
                <w:sz w:val="24"/>
                <w:szCs w:val="24"/>
              </w:rPr>
              <w:t>Email</w:t>
            </w:r>
          </w:p>
        </w:tc>
        <w:tc>
          <w:tcPr>
            <w:tcW w:w="5590" w:type="dxa"/>
            <w:shd w:val="clear" w:color="auto" w:fill="auto"/>
          </w:tcPr>
          <w:p w14:paraId="5E3BCA54" w14:textId="373E4DB0" w:rsidR="00320095" w:rsidRPr="00933DD9" w:rsidRDefault="009B1053" w:rsidP="0032009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Zoe.Morris</w:t>
            </w:r>
            <w:r w:rsidR="00D74809">
              <w:rPr>
                <w:rFonts w:ascii="Arial" w:hAnsi="Arial" w:cs="Arial"/>
                <w:sz w:val="24"/>
                <w:szCs w:val="24"/>
              </w:rPr>
              <w:t>@gwent.police.uk</w:t>
            </w:r>
          </w:p>
        </w:tc>
      </w:tr>
      <w:tr w:rsidR="00320095" w:rsidRPr="00933DD9" w14:paraId="47FD6219" w14:textId="77777777" w:rsidTr="00F27A6F">
        <w:tc>
          <w:tcPr>
            <w:tcW w:w="3652" w:type="dxa"/>
            <w:shd w:val="clear" w:color="auto" w:fill="auto"/>
          </w:tcPr>
          <w:p w14:paraId="1597EA5B" w14:textId="77777777" w:rsidR="00320095" w:rsidRPr="00933DD9" w:rsidRDefault="0032009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33DD9">
              <w:rPr>
                <w:rFonts w:ascii="Arial" w:hAnsi="Arial" w:cs="Arial"/>
                <w:b/>
                <w:sz w:val="24"/>
                <w:szCs w:val="24"/>
              </w:rPr>
              <w:t>Background papers</w:t>
            </w:r>
          </w:p>
        </w:tc>
        <w:tc>
          <w:tcPr>
            <w:tcW w:w="5590" w:type="dxa"/>
            <w:shd w:val="clear" w:color="auto" w:fill="auto"/>
          </w:tcPr>
          <w:p w14:paraId="3D95808D" w14:textId="106F48E5" w:rsidR="009B1053" w:rsidRPr="009B1053" w:rsidRDefault="009B1053" w:rsidP="009B1053">
            <w:pPr>
              <w:rPr>
                <w:rFonts w:ascii="Arial" w:hAnsi="Arial" w:cs="Arial"/>
                <w:sz w:val="24"/>
                <w:szCs w:val="24"/>
              </w:rPr>
            </w:pPr>
            <w:r w:rsidRPr="009B1053">
              <w:rPr>
                <w:rFonts w:ascii="Arial" w:hAnsi="Arial" w:cs="Arial"/>
                <w:sz w:val="24"/>
                <w:szCs w:val="24"/>
              </w:rPr>
              <w:t>Policing Wales - PCC – VAWDASV Blueprint Team – financial resource commitment</w:t>
            </w:r>
            <w:r>
              <w:rPr>
                <w:rFonts w:ascii="Arial" w:hAnsi="Arial" w:cs="Arial"/>
                <w:sz w:val="24"/>
                <w:szCs w:val="24"/>
              </w:rPr>
              <w:t xml:space="preserve"> – prepared by Paula Bills</w:t>
            </w:r>
          </w:p>
          <w:p w14:paraId="5F046E03" w14:textId="6C371D6B" w:rsidR="00A262F2" w:rsidRPr="00933DD9" w:rsidRDefault="00A262F2" w:rsidP="009B105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EA94055" w14:textId="77777777" w:rsidR="00CA0069" w:rsidRDefault="00CA0069">
      <w:pPr>
        <w:rPr>
          <w:rFonts w:ascii="Arial" w:hAnsi="Arial" w:cs="Arial"/>
          <w:sz w:val="24"/>
          <w:szCs w:val="24"/>
        </w:rPr>
      </w:pPr>
    </w:p>
    <w:p w14:paraId="1E15E242" w14:textId="77777777" w:rsidR="00EF0979" w:rsidRDefault="00EF0979" w:rsidP="002A3E1E">
      <w:pPr>
        <w:rPr>
          <w:rFonts w:ascii="Arial" w:hAnsi="Arial" w:cs="Arial"/>
        </w:rPr>
      </w:pPr>
    </w:p>
    <w:p w14:paraId="4895CE99" w14:textId="77777777" w:rsidR="00CC2479" w:rsidRPr="00CC2479" w:rsidRDefault="00CC2479" w:rsidP="002A3E1E">
      <w:pPr>
        <w:rPr>
          <w:rFonts w:ascii="Arial" w:hAnsi="Arial" w:cs="Arial"/>
        </w:rPr>
      </w:pPr>
    </w:p>
    <w:sectPr w:rsidR="00CC2479" w:rsidRPr="00CC2479" w:rsidSect="004678F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9D8626" w14:textId="77777777" w:rsidR="00691644" w:rsidRDefault="00691644" w:rsidP="00DE22AB">
      <w:pPr>
        <w:spacing w:after="0" w:line="240" w:lineRule="auto"/>
      </w:pPr>
      <w:r>
        <w:separator/>
      </w:r>
    </w:p>
  </w:endnote>
  <w:endnote w:type="continuationSeparator" w:id="0">
    <w:p w14:paraId="6A391A63" w14:textId="77777777" w:rsidR="00691644" w:rsidRDefault="00691644" w:rsidP="00DE2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6A1F8" w14:textId="77777777" w:rsidR="00B1223D" w:rsidRDefault="00B122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6AE66" w14:textId="77777777" w:rsidR="00B1223D" w:rsidRDefault="00B1223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4CADF" w14:textId="77777777" w:rsidR="00B1223D" w:rsidRDefault="00B122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8B774" w14:textId="77777777" w:rsidR="00691644" w:rsidRDefault="00691644" w:rsidP="00DE22AB">
      <w:pPr>
        <w:spacing w:after="0" w:line="240" w:lineRule="auto"/>
      </w:pPr>
      <w:r>
        <w:separator/>
      </w:r>
    </w:p>
  </w:footnote>
  <w:footnote w:type="continuationSeparator" w:id="0">
    <w:p w14:paraId="5A560E76" w14:textId="77777777" w:rsidR="00691644" w:rsidRDefault="00691644" w:rsidP="00DE22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8DF75" w14:textId="77777777" w:rsidR="00B1223D" w:rsidRDefault="00B122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DE871" w14:textId="77777777" w:rsidR="00B1223D" w:rsidRDefault="00B1223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AA59D" w14:textId="77777777" w:rsidR="00B1223D" w:rsidRDefault="00B122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711B4"/>
    <w:multiLevelType w:val="hybridMultilevel"/>
    <w:tmpl w:val="A572BA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E34E4"/>
    <w:multiLevelType w:val="hybridMultilevel"/>
    <w:tmpl w:val="52B0B534"/>
    <w:lvl w:ilvl="0" w:tplc="3126FF28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D446E8"/>
    <w:multiLevelType w:val="hybridMultilevel"/>
    <w:tmpl w:val="234C92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AE3DEB"/>
    <w:multiLevelType w:val="hybridMultilevel"/>
    <w:tmpl w:val="4B36AF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75251B4"/>
    <w:multiLevelType w:val="hybridMultilevel"/>
    <w:tmpl w:val="566029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6EF4AF3"/>
    <w:multiLevelType w:val="hybridMultilevel"/>
    <w:tmpl w:val="1BFCE51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3922EA0"/>
    <w:multiLevelType w:val="hybridMultilevel"/>
    <w:tmpl w:val="9F1808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64279F"/>
    <w:multiLevelType w:val="hybridMultilevel"/>
    <w:tmpl w:val="D5D49E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0CA05E"/>
    <w:multiLevelType w:val="hybridMultilevel"/>
    <w:tmpl w:val="FFFFFFFF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67E20A20"/>
    <w:multiLevelType w:val="hybridMultilevel"/>
    <w:tmpl w:val="8DB0F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F62265"/>
    <w:multiLevelType w:val="hybridMultilevel"/>
    <w:tmpl w:val="59B847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493785"/>
    <w:multiLevelType w:val="hybridMultilevel"/>
    <w:tmpl w:val="737A91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B59019E"/>
    <w:multiLevelType w:val="hybridMultilevel"/>
    <w:tmpl w:val="6324E8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7877015">
    <w:abstractNumId w:val="6"/>
  </w:num>
  <w:num w:numId="2" w16cid:durableId="126287911">
    <w:abstractNumId w:val="7"/>
  </w:num>
  <w:num w:numId="3" w16cid:durableId="824665087">
    <w:abstractNumId w:val="5"/>
  </w:num>
  <w:num w:numId="4" w16cid:durableId="231545272">
    <w:abstractNumId w:val="9"/>
  </w:num>
  <w:num w:numId="5" w16cid:durableId="1038166797">
    <w:abstractNumId w:val="0"/>
  </w:num>
  <w:num w:numId="6" w16cid:durableId="760494550">
    <w:abstractNumId w:val="2"/>
  </w:num>
  <w:num w:numId="7" w16cid:durableId="48966157">
    <w:abstractNumId w:val="10"/>
  </w:num>
  <w:num w:numId="8" w16cid:durableId="1430587291">
    <w:abstractNumId w:val="12"/>
  </w:num>
  <w:num w:numId="9" w16cid:durableId="1782845608">
    <w:abstractNumId w:val="3"/>
  </w:num>
  <w:num w:numId="10" w16cid:durableId="1420952956">
    <w:abstractNumId w:val="4"/>
  </w:num>
  <w:num w:numId="11" w16cid:durableId="1073351531">
    <w:abstractNumId w:val="8"/>
  </w:num>
  <w:num w:numId="12" w16cid:durableId="659846504">
    <w:abstractNumId w:val="11"/>
  </w:num>
  <w:num w:numId="13" w16cid:durableId="6529509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095"/>
    <w:rsid w:val="00007D9C"/>
    <w:rsid w:val="000267FF"/>
    <w:rsid w:val="000362B5"/>
    <w:rsid w:val="00043F0E"/>
    <w:rsid w:val="0008452F"/>
    <w:rsid w:val="00093560"/>
    <w:rsid w:val="0009524E"/>
    <w:rsid w:val="000C63F5"/>
    <w:rsid w:val="000F0BC3"/>
    <w:rsid w:val="000F1872"/>
    <w:rsid w:val="001064CF"/>
    <w:rsid w:val="00116A3F"/>
    <w:rsid w:val="00130EA2"/>
    <w:rsid w:val="00131773"/>
    <w:rsid w:val="001452E1"/>
    <w:rsid w:val="00147B75"/>
    <w:rsid w:val="001512EF"/>
    <w:rsid w:val="00160BFC"/>
    <w:rsid w:val="0016122E"/>
    <w:rsid w:val="00193194"/>
    <w:rsid w:val="001962E9"/>
    <w:rsid w:val="001978D9"/>
    <w:rsid w:val="001B773A"/>
    <w:rsid w:val="001C1D7B"/>
    <w:rsid w:val="001D04C7"/>
    <w:rsid w:val="001F3F1B"/>
    <w:rsid w:val="001F4998"/>
    <w:rsid w:val="00202626"/>
    <w:rsid w:val="00213F43"/>
    <w:rsid w:val="0022477E"/>
    <w:rsid w:val="002341BA"/>
    <w:rsid w:val="00255BCD"/>
    <w:rsid w:val="0025617B"/>
    <w:rsid w:val="002756B8"/>
    <w:rsid w:val="00277CC5"/>
    <w:rsid w:val="00292481"/>
    <w:rsid w:val="00293F07"/>
    <w:rsid w:val="002A0E83"/>
    <w:rsid w:val="002A3E1E"/>
    <w:rsid w:val="002D39E9"/>
    <w:rsid w:val="002E31B3"/>
    <w:rsid w:val="002F619A"/>
    <w:rsid w:val="002F62CE"/>
    <w:rsid w:val="00320095"/>
    <w:rsid w:val="003213F0"/>
    <w:rsid w:val="00335375"/>
    <w:rsid w:val="0034702F"/>
    <w:rsid w:val="00353B5A"/>
    <w:rsid w:val="00355065"/>
    <w:rsid w:val="00365963"/>
    <w:rsid w:val="003815B6"/>
    <w:rsid w:val="00390764"/>
    <w:rsid w:val="003B0342"/>
    <w:rsid w:val="003B662E"/>
    <w:rsid w:val="003B7FA3"/>
    <w:rsid w:val="003F6D85"/>
    <w:rsid w:val="0041618A"/>
    <w:rsid w:val="004313BC"/>
    <w:rsid w:val="00435672"/>
    <w:rsid w:val="004678F8"/>
    <w:rsid w:val="00467DDD"/>
    <w:rsid w:val="00475E5C"/>
    <w:rsid w:val="00482DB5"/>
    <w:rsid w:val="00487530"/>
    <w:rsid w:val="00492886"/>
    <w:rsid w:val="004A5917"/>
    <w:rsid w:val="004A6591"/>
    <w:rsid w:val="004D7673"/>
    <w:rsid w:val="004E13DE"/>
    <w:rsid w:val="004F69D1"/>
    <w:rsid w:val="00503DA4"/>
    <w:rsid w:val="00523679"/>
    <w:rsid w:val="00543FDA"/>
    <w:rsid w:val="00582528"/>
    <w:rsid w:val="005829A8"/>
    <w:rsid w:val="005864A8"/>
    <w:rsid w:val="00586D1E"/>
    <w:rsid w:val="005B6D95"/>
    <w:rsid w:val="005D18A7"/>
    <w:rsid w:val="005D523C"/>
    <w:rsid w:val="005E1200"/>
    <w:rsid w:val="005E16C0"/>
    <w:rsid w:val="00605B6C"/>
    <w:rsid w:val="006102E2"/>
    <w:rsid w:val="00611D88"/>
    <w:rsid w:val="00612731"/>
    <w:rsid w:val="00621046"/>
    <w:rsid w:val="00621805"/>
    <w:rsid w:val="0063646A"/>
    <w:rsid w:val="006607EA"/>
    <w:rsid w:val="00672410"/>
    <w:rsid w:val="006774CC"/>
    <w:rsid w:val="00681D43"/>
    <w:rsid w:val="00691644"/>
    <w:rsid w:val="006A1960"/>
    <w:rsid w:val="006B50C7"/>
    <w:rsid w:val="006B7150"/>
    <w:rsid w:val="006C3CFA"/>
    <w:rsid w:val="006D154C"/>
    <w:rsid w:val="006D781F"/>
    <w:rsid w:val="006F3A19"/>
    <w:rsid w:val="00703D76"/>
    <w:rsid w:val="0071014D"/>
    <w:rsid w:val="00717051"/>
    <w:rsid w:val="007209BF"/>
    <w:rsid w:val="00742FEC"/>
    <w:rsid w:val="007440EB"/>
    <w:rsid w:val="007604AD"/>
    <w:rsid w:val="00762ACB"/>
    <w:rsid w:val="007674CB"/>
    <w:rsid w:val="00782173"/>
    <w:rsid w:val="00785CE5"/>
    <w:rsid w:val="00786E28"/>
    <w:rsid w:val="00787656"/>
    <w:rsid w:val="007A52D5"/>
    <w:rsid w:val="007B53AF"/>
    <w:rsid w:val="007D213C"/>
    <w:rsid w:val="007D7007"/>
    <w:rsid w:val="007D72AA"/>
    <w:rsid w:val="007E2A05"/>
    <w:rsid w:val="007F39C1"/>
    <w:rsid w:val="00823422"/>
    <w:rsid w:val="00836604"/>
    <w:rsid w:val="00844578"/>
    <w:rsid w:val="0087243D"/>
    <w:rsid w:val="00876FB0"/>
    <w:rsid w:val="0089396D"/>
    <w:rsid w:val="008A1553"/>
    <w:rsid w:val="008A2738"/>
    <w:rsid w:val="008C16AE"/>
    <w:rsid w:val="008D0129"/>
    <w:rsid w:val="008D2CC4"/>
    <w:rsid w:val="008E53A0"/>
    <w:rsid w:val="00911431"/>
    <w:rsid w:val="00915C84"/>
    <w:rsid w:val="00923CB9"/>
    <w:rsid w:val="00927A0A"/>
    <w:rsid w:val="00933DD9"/>
    <w:rsid w:val="00957874"/>
    <w:rsid w:val="009654C6"/>
    <w:rsid w:val="00966E9E"/>
    <w:rsid w:val="009834F7"/>
    <w:rsid w:val="00987D01"/>
    <w:rsid w:val="009A64DB"/>
    <w:rsid w:val="009B1053"/>
    <w:rsid w:val="009B308D"/>
    <w:rsid w:val="009C7255"/>
    <w:rsid w:val="009D678F"/>
    <w:rsid w:val="009F3815"/>
    <w:rsid w:val="00A12607"/>
    <w:rsid w:val="00A2472D"/>
    <w:rsid w:val="00A262F2"/>
    <w:rsid w:val="00A36DF4"/>
    <w:rsid w:val="00A43B80"/>
    <w:rsid w:val="00A50103"/>
    <w:rsid w:val="00A567D8"/>
    <w:rsid w:val="00A6101D"/>
    <w:rsid w:val="00A645AC"/>
    <w:rsid w:val="00A801E3"/>
    <w:rsid w:val="00A82E5E"/>
    <w:rsid w:val="00A94261"/>
    <w:rsid w:val="00A963B4"/>
    <w:rsid w:val="00AA5633"/>
    <w:rsid w:val="00AB151E"/>
    <w:rsid w:val="00AF5AF4"/>
    <w:rsid w:val="00B1223D"/>
    <w:rsid w:val="00B15C10"/>
    <w:rsid w:val="00B23E41"/>
    <w:rsid w:val="00B608C5"/>
    <w:rsid w:val="00B726EC"/>
    <w:rsid w:val="00B72DBE"/>
    <w:rsid w:val="00B81897"/>
    <w:rsid w:val="00B93888"/>
    <w:rsid w:val="00BB7344"/>
    <w:rsid w:val="00BD4EAE"/>
    <w:rsid w:val="00BF120D"/>
    <w:rsid w:val="00BF3BFE"/>
    <w:rsid w:val="00BF44B2"/>
    <w:rsid w:val="00C36DC2"/>
    <w:rsid w:val="00C419F2"/>
    <w:rsid w:val="00C43D7D"/>
    <w:rsid w:val="00C67B93"/>
    <w:rsid w:val="00CA0069"/>
    <w:rsid w:val="00CA027B"/>
    <w:rsid w:val="00CA7C9E"/>
    <w:rsid w:val="00CC2479"/>
    <w:rsid w:val="00CC7516"/>
    <w:rsid w:val="00CD1F63"/>
    <w:rsid w:val="00D027CA"/>
    <w:rsid w:val="00D0411B"/>
    <w:rsid w:val="00D0439A"/>
    <w:rsid w:val="00D268D8"/>
    <w:rsid w:val="00D26BB4"/>
    <w:rsid w:val="00D33208"/>
    <w:rsid w:val="00D37B81"/>
    <w:rsid w:val="00D5511E"/>
    <w:rsid w:val="00D74809"/>
    <w:rsid w:val="00D74C4E"/>
    <w:rsid w:val="00D7524C"/>
    <w:rsid w:val="00D8752E"/>
    <w:rsid w:val="00D92087"/>
    <w:rsid w:val="00DD56A9"/>
    <w:rsid w:val="00DD6CFE"/>
    <w:rsid w:val="00DE22AB"/>
    <w:rsid w:val="00DE6007"/>
    <w:rsid w:val="00E00BF3"/>
    <w:rsid w:val="00E01E22"/>
    <w:rsid w:val="00E04739"/>
    <w:rsid w:val="00E069CE"/>
    <w:rsid w:val="00E237B6"/>
    <w:rsid w:val="00E34259"/>
    <w:rsid w:val="00E34B94"/>
    <w:rsid w:val="00E36F53"/>
    <w:rsid w:val="00E37EF5"/>
    <w:rsid w:val="00E512A9"/>
    <w:rsid w:val="00E53143"/>
    <w:rsid w:val="00E56EE4"/>
    <w:rsid w:val="00E63F24"/>
    <w:rsid w:val="00E758FF"/>
    <w:rsid w:val="00E907EC"/>
    <w:rsid w:val="00EA3BE6"/>
    <w:rsid w:val="00EE02C1"/>
    <w:rsid w:val="00EE23B4"/>
    <w:rsid w:val="00EE4DC7"/>
    <w:rsid w:val="00EF0979"/>
    <w:rsid w:val="00F06C18"/>
    <w:rsid w:val="00F12D58"/>
    <w:rsid w:val="00F1690A"/>
    <w:rsid w:val="00F27A6F"/>
    <w:rsid w:val="00F27E7D"/>
    <w:rsid w:val="00F35C24"/>
    <w:rsid w:val="00F4741F"/>
    <w:rsid w:val="00F66B0D"/>
    <w:rsid w:val="00F703C8"/>
    <w:rsid w:val="00F749D0"/>
    <w:rsid w:val="00F76D19"/>
    <w:rsid w:val="00F85C39"/>
    <w:rsid w:val="00F86191"/>
    <w:rsid w:val="00F93043"/>
    <w:rsid w:val="00F94BA0"/>
    <w:rsid w:val="00F95045"/>
    <w:rsid w:val="00FB58C6"/>
    <w:rsid w:val="00FC0149"/>
    <w:rsid w:val="00FD2C97"/>
    <w:rsid w:val="00FD3857"/>
    <w:rsid w:val="00FE39BA"/>
    <w:rsid w:val="00FF2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D2B5A3"/>
  <w15:chartTrackingRefBased/>
  <w15:docId w15:val="{50A70206-4216-4CFD-B538-6BB7B3B05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00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Dot pt,No Spacing1,List Paragraph Char Char Char,Indicator Text,Colorful List - Accent 11,Numbered Para 1,Bullet 1,Bullet Points,MAIN CONTENT,List Paragraph2,Normal numbered,OBC Bullet,List Paragraph12,Bullet Style,F5 List Paragraph"/>
    <w:basedOn w:val="Normal"/>
    <w:link w:val="ListParagraphChar"/>
    <w:uiPriority w:val="34"/>
    <w:qFormat/>
    <w:rsid w:val="002E31B3"/>
    <w:pPr>
      <w:ind w:left="720"/>
      <w:contextualSpacing/>
    </w:pPr>
  </w:style>
  <w:style w:type="paragraph" w:styleId="NormalWeb">
    <w:name w:val="Normal (Web)"/>
    <w:basedOn w:val="Normal"/>
    <w:uiPriority w:val="99"/>
    <w:rsid w:val="00A82E5E"/>
    <w:pPr>
      <w:spacing w:before="100" w:beforeAutospacing="1" w:after="240" w:line="240" w:lineRule="auto"/>
    </w:pPr>
    <w:rPr>
      <w:rFonts w:ascii="Times New Roman" w:eastAsia="Times New Roman" w:hAnsi="Times New Roman"/>
      <w:sz w:val="29"/>
      <w:szCs w:val="29"/>
      <w:lang w:val="en-US"/>
    </w:rPr>
  </w:style>
  <w:style w:type="character" w:styleId="CommentReference">
    <w:name w:val="annotation reference"/>
    <w:uiPriority w:val="99"/>
    <w:semiHidden/>
    <w:unhideWhenUsed/>
    <w:rsid w:val="00EE4D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E4DC7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EE4DC7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4DC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E4DC7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4D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4DC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A36DF4"/>
    <w:rPr>
      <w:color w:val="0000FF"/>
      <w:u w:val="single"/>
    </w:rPr>
  </w:style>
  <w:style w:type="paragraph" w:styleId="NoSpacing">
    <w:name w:val="No Spacing"/>
    <w:uiPriority w:val="1"/>
    <w:qFormat/>
    <w:rsid w:val="001C1D7B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E22A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DE22AB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E22A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DE22AB"/>
    <w:rPr>
      <w:sz w:val="22"/>
      <w:szCs w:val="22"/>
      <w:lang w:eastAsia="en-US"/>
    </w:rPr>
  </w:style>
  <w:style w:type="paragraph" w:customStyle="1" w:styleId="Paragraph">
    <w:name w:val="Paragraph"/>
    <w:basedOn w:val="Normal"/>
    <w:rsid w:val="002A3E1E"/>
    <w:pPr>
      <w:widowControl w:val="0"/>
      <w:spacing w:after="0" w:line="240" w:lineRule="auto"/>
      <w:ind w:left="720" w:hanging="720"/>
    </w:pPr>
    <w:rPr>
      <w:rFonts w:ascii="Arial" w:eastAsia="Times New Roman" w:hAnsi="Arial"/>
      <w:snapToGrid w:val="0"/>
      <w:szCs w:val="20"/>
    </w:rPr>
  </w:style>
  <w:style w:type="character" w:customStyle="1" w:styleId="ListParagraphChar">
    <w:name w:val="List Paragraph Char"/>
    <w:aliases w:val="Dot pt Char,No Spacing1 Char,List Paragraph Char Char Char Char,Indicator Text Char,Colorful List - Accent 11 Char,Numbered Para 1 Char,Bullet 1 Char,Bullet Points Char,MAIN CONTENT Char,List Paragraph2 Char,Normal numbered Char"/>
    <w:link w:val="ListParagraph"/>
    <w:uiPriority w:val="34"/>
    <w:locked/>
    <w:rsid w:val="00F703C8"/>
    <w:rPr>
      <w:sz w:val="22"/>
      <w:szCs w:val="22"/>
      <w:lang w:eastAsia="en-US"/>
    </w:rPr>
  </w:style>
  <w:style w:type="paragraph" w:customStyle="1" w:styleId="Default">
    <w:name w:val="Default"/>
    <w:basedOn w:val="Normal"/>
    <w:rsid w:val="00FD3857"/>
    <w:pPr>
      <w:autoSpaceDE w:val="0"/>
      <w:autoSpaceDN w:val="0"/>
      <w:spacing w:after="0" w:line="240" w:lineRule="auto"/>
    </w:pPr>
    <w:rPr>
      <w:rFonts w:eastAsiaTheme="minorHAnsi" w:cs="Calibri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6774C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99AE902E7DBC4A90EABF4B87BB7D5D" ma:contentTypeVersion="13" ma:contentTypeDescription="Create a new document." ma:contentTypeScope="" ma:versionID="f207230a0c35aadc848b694bfee40e0c">
  <xsd:schema xmlns:xsd="http://www.w3.org/2001/XMLSchema" xmlns:xs="http://www.w3.org/2001/XMLSchema" xmlns:p="http://schemas.microsoft.com/office/2006/metadata/properties" xmlns:ns3="fb6b97cf-7331-40db-be90-6cfa827a7514" xmlns:ns4="9ab8bab1-6f64-497b-bbc8-5371954017bf" targetNamespace="http://schemas.microsoft.com/office/2006/metadata/properties" ma:root="true" ma:fieldsID="6ca2573d0ddbd3562377dbb8826089e9" ns3:_="" ns4:_="">
    <xsd:import namespace="fb6b97cf-7331-40db-be90-6cfa827a7514"/>
    <xsd:import namespace="9ab8bab1-6f64-497b-bbc8-5371954017b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6b97cf-7331-40db-be90-6cfa827a75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b8bab1-6f64-497b-bbc8-5371954017b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38FECB-BF50-4FAB-83C5-B5F6C9EDDC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1DF8D4B-58D9-4A97-89A1-F4AF5726B9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25F6EF-967B-4E99-ADCC-BB361A446A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6b97cf-7331-40db-be90-6cfa827a7514"/>
    <ds:schemaRef ds:uri="9ab8bab1-6f64-497b-bbc8-5371954017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Gwent Police</Company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402451</dc:creator>
  <cp:keywords/>
  <dc:description>Original Content Created Date - 04/03/2021 14:31:00</dc:description>
  <cp:lastModifiedBy>Warren, Nicola</cp:lastModifiedBy>
  <cp:revision>4</cp:revision>
  <cp:lastPrinted>2012-12-06T11:30:00Z</cp:lastPrinted>
  <dcterms:created xsi:type="dcterms:W3CDTF">2024-11-05T11:34:00Z</dcterms:created>
  <dcterms:modified xsi:type="dcterms:W3CDTF">2024-11-13T11:22:00Z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53d6ce19-ec8e-4e0a-95eb-c64fa05a6b7f</vt:lpwstr>
  </property>
  <property fmtid="{D5CDD505-2E9C-101B-9397-08002B2CF9AE}" pid="3" name="heddluIL">
    <vt:lpwstr>NOT PROTECTIVELY MARKED</vt:lpwstr>
  </property>
  <property fmtid="{D5CDD505-2E9C-101B-9397-08002B2CF9AE}" pid="4" name="heddluVNV">
    <vt:lpwstr>No Visual Mark</vt:lpwstr>
  </property>
  <property fmtid="{D5CDD505-2E9C-101B-9397-08002B2CF9AE}" pid="5" name="Protective Marking Classification">
    <vt:lpwstr>OFFICIAL - NO MARKING SWYDDOGOL-DIM ANGEN MARC</vt:lpwstr>
  </property>
  <property fmtid="{D5CDD505-2E9C-101B-9397-08002B2CF9AE}" pid="6" name="Additional Descriptor">
    <vt:lpwstr/>
  </property>
  <property fmtid="{D5CDD505-2E9C-101B-9397-08002B2CF9AE}" pid="7" name="Impact Level">
    <vt:i4>0</vt:i4>
  </property>
  <property fmtid="{D5CDD505-2E9C-101B-9397-08002B2CF9AE}" pid="8" name="ContentTypeId">
    <vt:lpwstr>0x0101009499AE902E7DBC4A90EABF4B87BB7D5D</vt:lpwstr>
  </property>
  <property fmtid="{D5CDD505-2E9C-101B-9397-08002B2CF9AE}" pid="9" name="MSIP_Label_f2acd28b-79a3-4a0f-b0ff-4b75658b1549_Enabled">
    <vt:lpwstr>true</vt:lpwstr>
  </property>
  <property fmtid="{D5CDD505-2E9C-101B-9397-08002B2CF9AE}" pid="10" name="MSIP_Label_f2acd28b-79a3-4a0f-b0ff-4b75658b1549_SetDate">
    <vt:lpwstr>2022-04-04T13:14:46Z</vt:lpwstr>
  </property>
  <property fmtid="{D5CDD505-2E9C-101B-9397-08002B2CF9AE}" pid="11" name="MSIP_Label_f2acd28b-79a3-4a0f-b0ff-4b75658b1549_Method">
    <vt:lpwstr>Standard</vt:lpwstr>
  </property>
  <property fmtid="{D5CDD505-2E9C-101B-9397-08002B2CF9AE}" pid="12" name="MSIP_Label_f2acd28b-79a3-4a0f-b0ff-4b75658b1549_Name">
    <vt:lpwstr>OFFICIAL</vt:lpwstr>
  </property>
  <property fmtid="{D5CDD505-2E9C-101B-9397-08002B2CF9AE}" pid="13" name="MSIP_Label_f2acd28b-79a3-4a0f-b0ff-4b75658b1549_SiteId">
    <vt:lpwstr>e46c8472-ef5d-4b63-bc74-4a60db42c371</vt:lpwstr>
  </property>
  <property fmtid="{D5CDD505-2E9C-101B-9397-08002B2CF9AE}" pid="14" name="MSIP_Label_f2acd28b-79a3-4a0f-b0ff-4b75658b1549_ActionId">
    <vt:lpwstr>ee29abae-7bb9-4272-acb3-ada93cc97e1b</vt:lpwstr>
  </property>
  <property fmtid="{D5CDD505-2E9C-101B-9397-08002B2CF9AE}" pid="15" name="MSIP_Label_f2acd28b-79a3-4a0f-b0ff-4b75658b1549_ContentBits">
    <vt:lpwstr>0</vt:lpwstr>
  </property>
</Properties>
</file>