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1409B" w14:textId="4150AEEF" w:rsidR="008A4650" w:rsidRPr="001B7502" w:rsidRDefault="008A4650" w:rsidP="008A4650">
      <w:pPr>
        <w:rPr>
          <w:rFonts w:ascii="Arial" w:hAnsi="Arial" w:cs="Arial"/>
          <w:b/>
          <w:sz w:val="24"/>
          <w:szCs w:val="24"/>
        </w:rPr>
      </w:pPr>
      <w:r w:rsidRPr="001B7502">
        <w:rPr>
          <w:rFonts w:ascii="Arial" w:hAnsi="Arial" w:cs="Arial"/>
          <w:b/>
          <w:sz w:val="24"/>
          <w:szCs w:val="24"/>
        </w:rPr>
        <w:t>DECISION NUMBER: PCCG-</w:t>
      </w:r>
      <w:r>
        <w:rPr>
          <w:rFonts w:ascii="Arial" w:hAnsi="Arial" w:cs="Arial"/>
          <w:b/>
          <w:sz w:val="24"/>
          <w:szCs w:val="24"/>
        </w:rPr>
        <w:t>2023-031</w:t>
      </w:r>
    </w:p>
    <w:p w14:paraId="1821D691" w14:textId="77777777" w:rsidR="008A4650" w:rsidRDefault="008A4650" w:rsidP="00E66BA7">
      <w:pPr>
        <w:spacing w:after="0" w:line="240" w:lineRule="auto"/>
        <w:jc w:val="center"/>
        <w:rPr>
          <w:rFonts w:ascii="Arial" w:hAnsi="Arial" w:cs="Arial"/>
          <w:b/>
          <w:sz w:val="24"/>
          <w:szCs w:val="24"/>
          <w:u w:val="single"/>
        </w:rPr>
      </w:pPr>
    </w:p>
    <w:p w14:paraId="58F0AB68" w14:textId="657016A6" w:rsidR="00E66BA7" w:rsidRDefault="00EF0FF3" w:rsidP="00E66BA7">
      <w:pPr>
        <w:spacing w:after="0" w:line="240" w:lineRule="auto"/>
        <w:jc w:val="center"/>
        <w:rPr>
          <w:rFonts w:ascii="Arial" w:hAnsi="Arial" w:cs="Arial"/>
          <w:b/>
          <w:sz w:val="24"/>
          <w:szCs w:val="24"/>
          <w:u w:val="single"/>
        </w:rPr>
      </w:pPr>
      <w:r w:rsidRPr="00A553B7">
        <w:rPr>
          <w:rFonts w:ascii="Arial" w:hAnsi="Arial" w:cs="Arial"/>
          <w:b/>
          <w:sz w:val="24"/>
          <w:szCs w:val="24"/>
          <w:u w:val="single"/>
        </w:rPr>
        <w:t>OFFICE OF POLICE AND CRIME COMMISSIONER</w:t>
      </w:r>
    </w:p>
    <w:p w14:paraId="5BF10226" w14:textId="77777777" w:rsidR="00DE3363" w:rsidRDefault="00DE3363" w:rsidP="00E66BA7">
      <w:pPr>
        <w:spacing w:after="0" w:line="240" w:lineRule="auto"/>
        <w:jc w:val="center"/>
        <w:rPr>
          <w:rFonts w:ascii="Arial" w:hAnsi="Arial" w:cs="Arial"/>
          <w:b/>
          <w:sz w:val="24"/>
          <w:szCs w:val="24"/>
          <w:u w:val="single"/>
        </w:rPr>
      </w:pPr>
    </w:p>
    <w:p w14:paraId="5A0A1559" w14:textId="77777777" w:rsidR="00310A3C" w:rsidRDefault="00D26302" w:rsidP="00310A3C">
      <w:pPr>
        <w:ind w:left="1440" w:hanging="1440"/>
        <w:rPr>
          <w:rFonts w:ascii="Arial" w:hAnsi="Arial" w:cs="Arial"/>
          <w:b/>
          <w:sz w:val="24"/>
          <w:szCs w:val="24"/>
        </w:rPr>
      </w:pPr>
      <w:r w:rsidRPr="00A553B7">
        <w:rPr>
          <w:rFonts w:ascii="Arial" w:hAnsi="Arial" w:cs="Arial"/>
          <w:b/>
          <w:sz w:val="24"/>
          <w:szCs w:val="24"/>
        </w:rPr>
        <w:t>TITLE:</w:t>
      </w:r>
      <w:r w:rsidR="00BC5418" w:rsidRPr="00A553B7">
        <w:rPr>
          <w:rFonts w:ascii="Arial" w:hAnsi="Arial" w:cs="Arial"/>
          <w:b/>
          <w:sz w:val="24"/>
          <w:szCs w:val="24"/>
        </w:rPr>
        <w:t xml:space="preserve"> </w:t>
      </w:r>
      <w:r w:rsidR="0022643F" w:rsidRPr="00A553B7">
        <w:rPr>
          <w:rFonts w:ascii="Arial" w:hAnsi="Arial" w:cs="Arial"/>
          <w:b/>
          <w:sz w:val="24"/>
          <w:szCs w:val="24"/>
        </w:rPr>
        <w:tab/>
      </w:r>
      <w:r w:rsidR="00310A3C">
        <w:rPr>
          <w:rFonts w:ascii="Arial" w:hAnsi="Arial" w:cs="Arial"/>
          <w:b/>
          <w:sz w:val="24"/>
          <w:szCs w:val="24"/>
        </w:rPr>
        <w:t xml:space="preserve">Manual of Corporate Governance Annual Review </w:t>
      </w:r>
    </w:p>
    <w:p w14:paraId="4FE1D3F1" w14:textId="2ECD2703" w:rsidR="00BC5418" w:rsidRPr="00A553B7" w:rsidRDefault="00BC5418" w:rsidP="00310A3C">
      <w:pPr>
        <w:ind w:left="1440" w:hanging="1440"/>
        <w:rPr>
          <w:rFonts w:ascii="Arial" w:hAnsi="Arial" w:cs="Arial"/>
          <w:b/>
          <w:sz w:val="24"/>
          <w:szCs w:val="24"/>
        </w:rPr>
      </w:pPr>
      <w:r w:rsidRPr="00A553B7">
        <w:rPr>
          <w:rFonts w:ascii="Arial" w:hAnsi="Arial" w:cs="Arial"/>
          <w:b/>
          <w:sz w:val="24"/>
          <w:szCs w:val="24"/>
        </w:rPr>
        <w:t>DATE:</w:t>
      </w:r>
      <w:r w:rsidR="0022643F" w:rsidRPr="00A553B7">
        <w:rPr>
          <w:rFonts w:ascii="Arial" w:hAnsi="Arial" w:cs="Arial"/>
          <w:b/>
          <w:sz w:val="24"/>
          <w:szCs w:val="24"/>
        </w:rPr>
        <w:tab/>
      </w:r>
      <w:r w:rsidR="00E66BA7" w:rsidRPr="009C39CA">
        <w:rPr>
          <w:rFonts w:ascii="Arial" w:hAnsi="Arial" w:cs="Arial"/>
          <w:b/>
          <w:sz w:val="24"/>
          <w:szCs w:val="24"/>
        </w:rPr>
        <w:t>2</w:t>
      </w:r>
      <w:r w:rsidR="009C39CA" w:rsidRPr="009C39CA">
        <w:rPr>
          <w:rFonts w:ascii="Arial" w:hAnsi="Arial" w:cs="Arial"/>
          <w:b/>
          <w:sz w:val="24"/>
          <w:szCs w:val="24"/>
        </w:rPr>
        <w:t>2</w:t>
      </w:r>
      <w:r w:rsidR="009C39CA" w:rsidRPr="009C39CA">
        <w:rPr>
          <w:rFonts w:ascii="Arial" w:hAnsi="Arial" w:cs="Arial"/>
          <w:b/>
          <w:sz w:val="24"/>
          <w:szCs w:val="24"/>
          <w:vertAlign w:val="superscript"/>
        </w:rPr>
        <w:t>nd</w:t>
      </w:r>
      <w:r w:rsidR="009C39CA" w:rsidRPr="009C39CA">
        <w:rPr>
          <w:rFonts w:ascii="Arial" w:hAnsi="Arial" w:cs="Arial"/>
          <w:b/>
          <w:sz w:val="24"/>
          <w:szCs w:val="24"/>
        </w:rPr>
        <w:t xml:space="preserve"> </w:t>
      </w:r>
      <w:r w:rsidR="003A7405" w:rsidRPr="009C39CA">
        <w:rPr>
          <w:rFonts w:ascii="Arial" w:hAnsi="Arial" w:cs="Arial"/>
          <w:b/>
          <w:sz w:val="24"/>
          <w:szCs w:val="24"/>
        </w:rPr>
        <w:t>March 202</w:t>
      </w:r>
      <w:r w:rsidR="00C31251" w:rsidRPr="009C39CA">
        <w:rPr>
          <w:rFonts w:ascii="Arial" w:hAnsi="Arial" w:cs="Arial"/>
          <w:b/>
          <w:sz w:val="24"/>
          <w:szCs w:val="24"/>
        </w:rPr>
        <w:t>4</w:t>
      </w:r>
    </w:p>
    <w:p w14:paraId="258CB1E0" w14:textId="77777777" w:rsidR="00BC5418" w:rsidRPr="00A553B7" w:rsidRDefault="00BC5418" w:rsidP="00BC5418">
      <w:pPr>
        <w:spacing w:after="0" w:line="240" w:lineRule="auto"/>
        <w:jc w:val="both"/>
        <w:rPr>
          <w:rFonts w:ascii="Arial" w:hAnsi="Arial" w:cs="Arial"/>
          <w:b/>
          <w:sz w:val="24"/>
          <w:szCs w:val="24"/>
        </w:rPr>
      </w:pPr>
      <w:r w:rsidRPr="00A553B7">
        <w:rPr>
          <w:rFonts w:ascii="Arial" w:hAnsi="Arial" w:cs="Arial"/>
          <w:b/>
          <w:sz w:val="24"/>
          <w:szCs w:val="24"/>
        </w:rPr>
        <w:t xml:space="preserve">TIMING: </w:t>
      </w:r>
      <w:r w:rsidR="00554912" w:rsidRPr="00A553B7">
        <w:rPr>
          <w:rFonts w:ascii="Arial" w:hAnsi="Arial" w:cs="Arial"/>
          <w:sz w:val="24"/>
          <w:szCs w:val="24"/>
        </w:rPr>
        <w:tab/>
      </w:r>
      <w:r w:rsidR="00617F12" w:rsidRPr="00A553B7">
        <w:rPr>
          <w:rFonts w:ascii="Arial" w:hAnsi="Arial" w:cs="Arial"/>
          <w:b/>
          <w:sz w:val="24"/>
          <w:szCs w:val="24"/>
        </w:rPr>
        <w:t>Annual</w:t>
      </w:r>
    </w:p>
    <w:p w14:paraId="21909261" w14:textId="77777777" w:rsidR="00BC5418" w:rsidRPr="00A553B7" w:rsidRDefault="00BC5418" w:rsidP="00BC5418">
      <w:pPr>
        <w:spacing w:after="0" w:line="240" w:lineRule="auto"/>
        <w:jc w:val="both"/>
        <w:rPr>
          <w:rFonts w:ascii="Arial" w:hAnsi="Arial" w:cs="Arial"/>
          <w:b/>
          <w:sz w:val="24"/>
          <w:szCs w:val="24"/>
        </w:rPr>
      </w:pPr>
    </w:p>
    <w:p w14:paraId="0397E847" w14:textId="4D409350" w:rsidR="00BC5418" w:rsidRDefault="00BC5418" w:rsidP="00BC5418">
      <w:pPr>
        <w:spacing w:after="0" w:line="240" w:lineRule="auto"/>
        <w:jc w:val="both"/>
        <w:rPr>
          <w:rFonts w:ascii="Arial" w:hAnsi="Arial" w:cs="Arial"/>
          <w:b/>
          <w:sz w:val="24"/>
          <w:szCs w:val="24"/>
        </w:rPr>
      </w:pPr>
      <w:r w:rsidRPr="00A553B7">
        <w:rPr>
          <w:rFonts w:ascii="Arial" w:hAnsi="Arial" w:cs="Arial"/>
          <w:b/>
          <w:sz w:val="24"/>
          <w:szCs w:val="24"/>
        </w:rPr>
        <w:t xml:space="preserve">PURPOSE: </w:t>
      </w:r>
      <w:r w:rsidR="00554912" w:rsidRPr="00A553B7">
        <w:rPr>
          <w:rFonts w:ascii="Arial" w:hAnsi="Arial" w:cs="Arial"/>
          <w:b/>
          <w:sz w:val="24"/>
          <w:szCs w:val="24"/>
        </w:rPr>
        <w:tab/>
        <w:t xml:space="preserve">For </w:t>
      </w:r>
      <w:r w:rsidR="00800542">
        <w:rPr>
          <w:rFonts w:ascii="Arial" w:hAnsi="Arial" w:cs="Arial"/>
          <w:b/>
          <w:sz w:val="24"/>
          <w:szCs w:val="24"/>
        </w:rPr>
        <w:t>Approval</w:t>
      </w:r>
    </w:p>
    <w:p w14:paraId="3E8EC5B5" w14:textId="77777777" w:rsidR="00E66BA7" w:rsidRPr="00A553B7" w:rsidRDefault="00E66BA7" w:rsidP="00BC5418">
      <w:pPr>
        <w:spacing w:after="0" w:line="240" w:lineRule="auto"/>
        <w:jc w:val="both"/>
        <w:rPr>
          <w:rFonts w:ascii="Arial" w:hAnsi="Arial" w:cs="Arial"/>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8312"/>
      </w:tblGrid>
      <w:tr w:rsidR="00D26302" w:rsidRPr="00A553B7" w14:paraId="1246E853" w14:textId="77777777" w:rsidTr="005D4534">
        <w:tc>
          <w:tcPr>
            <w:tcW w:w="748" w:type="dxa"/>
            <w:shd w:val="clear" w:color="auto" w:fill="auto"/>
          </w:tcPr>
          <w:p w14:paraId="75B69646" w14:textId="77777777" w:rsidR="00D26302" w:rsidRPr="00A553B7" w:rsidRDefault="005C173F" w:rsidP="00055BFA">
            <w:pPr>
              <w:spacing w:after="0"/>
              <w:rPr>
                <w:rFonts w:ascii="Arial" w:hAnsi="Arial" w:cs="Arial"/>
                <w:b/>
                <w:sz w:val="24"/>
                <w:szCs w:val="24"/>
              </w:rPr>
            </w:pPr>
            <w:r w:rsidRPr="00A553B7">
              <w:rPr>
                <w:rFonts w:ascii="Arial" w:hAnsi="Arial" w:cs="Arial"/>
                <w:b/>
                <w:sz w:val="24"/>
                <w:szCs w:val="24"/>
              </w:rPr>
              <w:t>1</w:t>
            </w:r>
            <w:r w:rsidR="00D26302" w:rsidRPr="00A553B7">
              <w:rPr>
                <w:rFonts w:ascii="Arial" w:hAnsi="Arial" w:cs="Arial"/>
                <w:b/>
                <w:sz w:val="24"/>
                <w:szCs w:val="24"/>
              </w:rPr>
              <w:t>.</w:t>
            </w:r>
          </w:p>
        </w:tc>
        <w:tc>
          <w:tcPr>
            <w:tcW w:w="8312" w:type="dxa"/>
            <w:shd w:val="clear" w:color="auto" w:fill="auto"/>
          </w:tcPr>
          <w:p w14:paraId="78AFFB41" w14:textId="77777777" w:rsidR="00554912" w:rsidRPr="00A553B7" w:rsidRDefault="007413DB" w:rsidP="007413DB">
            <w:pPr>
              <w:spacing w:after="0"/>
              <w:jc w:val="both"/>
              <w:rPr>
                <w:rFonts w:ascii="Arial" w:hAnsi="Arial" w:cs="Arial"/>
                <w:b/>
                <w:sz w:val="24"/>
                <w:szCs w:val="24"/>
                <w:u w:val="single"/>
              </w:rPr>
            </w:pPr>
            <w:r w:rsidRPr="00A553B7">
              <w:rPr>
                <w:rFonts w:ascii="Arial" w:hAnsi="Arial" w:cs="Arial"/>
                <w:b/>
                <w:sz w:val="24"/>
                <w:szCs w:val="24"/>
                <w:u w:val="single"/>
              </w:rPr>
              <w:t>RECOMMENDATION</w:t>
            </w:r>
          </w:p>
        </w:tc>
      </w:tr>
      <w:tr w:rsidR="007413DB" w:rsidRPr="00A553B7" w14:paraId="25BD9277" w14:textId="77777777" w:rsidTr="005D4534">
        <w:tc>
          <w:tcPr>
            <w:tcW w:w="748" w:type="dxa"/>
            <w:shd w:val="clear" w:color="auto" w:fill="auto"/>
          </w:tcPr>
          <w:p w14:paraId="454B676F" w14:textId="77777777" w:rsidR="007413DB" w:rsidRPr="00A553B7" w:rsidRDefault="007413DB" w:rsidP="00055BFA">
            <w:pPr>
              <w:spacing w:after="0"/>
              <w:rPr>
                <w:rFonts w:ascii="Arial" w:hAnsi="Arial" w:cs="Arial"/>
                <w:sz w:val="24"/>
                <w:szCs w:val="24"/>
              </w:rPr>
            </w:pPr>
            <w:r w:rsidRPr="00A553B7">
              <w:rPr>
                <w:rFonts w:ascii="Arial" w:hAnsi="Arial" w:cs="Arial"/>
                <w:sz w:val="24"/>
                <w:szCs w:val="24"/>
              </w:rPr>
              <w:t>1.1</w:t>
            </w:r>
          </w:p>
        </w:tc>
        <w:tc>
          <w:tcPr>
            <w:tcW w:w="8312" w:type="dxa"/>
            <w:shd w:val="clear" w:color="auto" w:fill="auto"/>
          </w:tcPr>
          <w:p w14:paraId="664340AC" w14:textId="77777777" w:rsidR="008A4650" w:rsidRPr="00A553B7" w:rsidRDefault="008A4650" w:rsidP="008A4650">
            <w:pPr>
              <w:spacing w:after="0"/>
              <w:jc w:val="both"/>
              <w:rPr>
                <w:rFonts w:ascii="Arial" w:hAnsi="Arial" w:cs="Arial"/>
                <w:sz w:val="24"/>
                <w:szCs w:val="24"/>
              </w:rPr>
            </w:pPr>
            <w:r w:rsidRPr="00A553B7">
              <w:rPr>
                <w:rFonts w:ascii="Arial" w:hAnsi="Arial" w:cs="Arial"/>
                <w:sz w:val="24"/>
                <w:szCs w:val="24"/>
              </w:rPr>
              <w:t>That the Police and Crime Commissioner (PCC) and Chief Constable approve the proposed amendments to the Manual of Corporate Governance (</w:t>
            </w:r>
            <w:proofErr w:type="spellStart"/>
            <w:r w:rsidRPr="00A553B7">
              <w:rPr>
                <w:rFonts w:ascii="Arial" w:hAnsi="Arial" w:cs="Arial"/>
                <w:sz w:val="24"/>
                <w:szCs w:val="24"/>
              </w:rPr>
              <w:t>MoCG</w:t>
            </w:r>
            <w:proofErr w:type="spellEnd"/>
            <w:r w:rsidRPr="00A553B7">
              <w:rPr>
                <w:rFonts w:ascii="Arial" w:hAnsi="Arial" w:cs="Arial"/>
                <w:sz w:val="24"/>
                <w:szCs w:val="24"/>
              </w:rPr>
              <w:t>)</w:t>
            </w:r>
            <w:r>
              <w:rPr>
                <w:rFonts w:ascii="Arial" w:hAnsi="Arial" w:cs="Arial"/>
                <w:sz w:val="24"/>
                <w:szCs w:val="24"/>
              </w:rPr>
              <w:t>.</w:t>
            </w:r>
          </w:p>
          <w:p w14:paraId="3F39C168" w14:textId="5DDF130A" w:rsidR="00046A4F" w:rsidRPr="00A553B7" w:rsidRDefault="00E66BA7" w:rsidP="00E66BA7">
            <w:pPr>
              <w:spacing w:after="0"/>
              <w:jc w:val="both"/>
              <w:rPr>
                <w:rFonts w:ascii="Arial" w:hAnsi="Arial" w:cs="Arial"/>
                <w:sz w:val="24"/>
                <w:szCs w:val="24"/>
              </w:rPr>
            </w:pPr>
            <w:r>
              <w:rPr>
                <w:rFonts w:ascii="Arial" w:hAnsi="Arial" w:cs="Arial"/>
                <w:sz w:val="24"/>
                <w:szCs w:val="24"/>
              </w:rPr>
              <w:t xml:space="preserve"> </w:t>
            </w:r>
          </w:p>
        </w:tc>
      </w:tr>
      <w:tr w:rsidR="00D26302" w:rsidRPr="00A553B7" w14:paraId="050AA29A" w14:textId="77777777" w:rsidTr="005D4534">
        <w:tc>
          <w:tcPr>
            <w:tcW w:w="748" w:type="dxa"/>
            <w:shd w:val="clear" w:color="auto" w:fill="auto"/>
          </w:tcPr>
          <w:p w14:paraId="74A8B758" w14:textId="77777777" w:rsidR="00D26302" w:rsidRPr="00A553B7" w:rsidRDefault="005C173F" w:rsidP="00055BFA">
            <w:pPr>
              <w:spacing w:after="0"/>
              <w:rPr>
                <w:rFonts w:ascii="Arial" w:hAnsi="Arial" w:cs="Arial"/>
                <w:b/>
                <w:sz w:val="24"/>
                <w:szCs w:val="24"/>
              </w:rPr>
            </w:pPr>
            <w:r w:rsidRPr="00A553B7">
              <w:rPr>
                <w:rFonts w:ascii="Arial" w:hAnsi="Arial" w:cs="Arial"/>
                <w:b/>
                <w:sz w:val="24"/>
                <w:szCs w:val="24"/>
              </w:rPr>
              <w:t>2</w:t>
            </w:r>
            <w:r w:rsidR="00D26302" w:rsidRPr="00A553B7">
              <w:rPr>
                <w:rFonts w:ascii="Arial" w:hAnsi="Arial" w:cs="Arial"/>
                <w:b/>
                <w:sz w:val="24"/>
                <w:szCs w:val="24"/>
              </w:rPr>
              <w:t>.</w:t>
            </w:r>
          </w:p>
        </w:tc>
        <w:tc>
          <w:tcPr>
            <w:tcW w:w="8312" w:type="dxa"/>
            <w:shd w:val="clear" w:color="auto" w:fill="auto"/>
          </w:tcPr>
          <w:p w14:paraId="078E9C30" w14:textId="77777777" w:rsidR="00554912" w:rsidRPr="00A553B7" w:rsidRDefault="00D26302" w:rsidP="007413DB">
            <w:pPr>
              <w:spacing w:after="0"/>
              <w:jc w:val="both"/>
              <w:rPr>
                <w:rFonts w:ascii="Arial" w:hAnsi="Arial" w:cs="Arial"/>
                <w:b/>
                <w:sz w:val="24"/>
                <w:szCs w:val="24"/>
                <w:u w:val="single"/>
              </w:rPr>
            </w:pPr>
            <w:r w:rsidRPr="00A553B7">
              <w:rPr>
                <w:rFonts w:ascii="Arial" w:hAnsi="Arial" w:cs="Arial"/>
                <w:b/>
                <w:sz w:val="24"/>
                <w:szCs w:val="24"/>
                <w:u w:val="single"/>
              </w:rPr>
              <w:t>INTRODUCTION &amp; BACKGROUN</w:t>
            </w:r>
            <w:r w:rsidR="009E19DB" w:rsidRPr="00A553B7">
              <w:rPr>
                <w:rFonts w:ascii="Arial" w:hAnsi="Arial" w:cs="Arial"/>
                <w:b/>
                <w:sz w:val="24"/>
                <w:szCs w:val="24"/>
                <w:u w:val="single"/>
              </w:rPr>
              <w:t>D</w:t>
            </w:r>
          </w:p>
        </w:tc>
      </w:tr>
      <w:tr w:rsidR="007413DB" w:rsidRPr="00A553B7" w14:paraId="30F60FD3" w14:textId="77777777" w:rsidTr="005D4534">
        <w:tc>
          <w:tcPr>
            <w:tcW w:w="748" w:type="dxa"/>
            <w:shd w:val="clear" w:color="auto" w:fill="auto"/>
          </w:tcPr>
          <w:p w14:paraId="32DB7B5A" w14:textId="77777777" w:rsidR="007413DB" w:rsidRDefault="007413DB" w:rsidP="00055BFA">
            <w:pPr>
              <w:spacing w:after="0"/>
              <w:rPr>
                <w:rFonts w:ascii="Arial" w:hAnsi="Arial" w:cs="Arial"/>
                <w:sz w:val="24"/>
                <w:szCs w:val="24"/>
              </w:rPr>
            </w:pPr>
            <w:r w:rsidRPr="00A553B7">
              <w:rPr>
                <w:rFonts w:ascii="Arial" w:hAnsi="Arial" w:cs="Arial"/>
                <w:sz w:val="24"/>
                <w:szCs w:val="24"/>
              </w:rPr>
              <w:t>2.1</w:t>
            </w:r>
          </w:p>
          <w:p w14:paraId="1651D035" w14:textId="77777777" w:rsidR="004C243E" w:rsidRDefault="004C243E" w:rsidP="00055BFA">
            <w:pPr>
              <w:spacing w:after="0"/>
              <w:rPr>
                <w:rFonts w:ascii="Arial" w:hAnsi="Arial" w:cs="Arial"/>
                <w:sz w:val="24"/>
                <w:szCs w:val="24"/>
              </w:rPr>
            </w:pPr>
          </w:p>
          <w:p w14:paraId="20D7E412" w14:textId="77777777" w:rsidR="004C243E" w:rsidRDefault="004C243E" w:rsidP="00055BFA">
            <w:pPr>
              <w:spacing w:after="0"/>
              <w:rPr>
                <w:rFonts w:ascii="Arial" w:hAnsi="Arial" w:cs="Arial"/>
                <w:sz w:val="24"/>
                <w:szCs w:val="24"/>
              </w:rPr>
            </w:pPr>
          </w:p>
          <w:p w14:paraId="04236029" w14:textId="77777777" w:rsidR="004C243E" w:rsidRDefault="004C243E" w:rsidP="00055BFA">
            <w:pPr>
              <w:spacing w:after="0"/>
              <w:rPr>
                <w:rFonts w:ascii="Arial" w:hAnsi="Arial" w:cs="Arial"/>
                <w:sz w:val="24"/>
                <w:szCs w:val="24"/>
              </w:rPr>
            </w:pPr>
          </w:p>
          <w:p w14:paraId="3A3CAB19" w14:textId="77777777" w:rsidR="004C243E" w:rsidRDefault="004C243E" w:rsidP="00055BFA">
            <w:pPr>
              <w:spacing w:after="0"/>
              <w:rPr>
                <w:rFonts w:ascii="Arial" w:hAnsi="Arial" w:cs="Arial"/>
                <w:sz w:val="24"/>
                <w:szCs w:val="24"/>
              </w:rPr>
            </w:pPr>
          </w:p>
          <w:p w14:paraId="2D701B38" w14:textId="77777777" w:rsidR="00AA066C" w:rsidRDefault="00AA066C" w:rsidP="00055BFA">
            <w:pPr>
              <w:spacing w:after="0"/>
              <w:rPr>
                <w:rFonts w:ascii="Arial" w:hAnsi="Arial" w:cs="Arial"/>
                <w:sz w:val="24"/>
                <w:szCs w:val="24"/>
              </w:rPr>
            </w:pPr>
          </w:p>
          <w:p w14:paraId="2B787DD7" w14:textId="77777777" w:rsidR="00AA066C" w:rsidRDefault="00AA066C" w:rsidP="00055BFA">
            <w:pPr>
              <w:spacing w:after="0"/>
              <w:rPr>
                <w:rFonts w:ascii="Arial" w:hAnsi="Arial" w:cs="Arial"/>
                <w:sz w:val="24"/>
                <w:szCs w:val="24"/>
              </w:rPr>
            </w:pPr>
          </w:p>
          <w:p w14:paraId="7FE316A8" w14:textId="77777777" w:rsidR="00AA066C" w:rsidRDefault="00AA066C" w:rsidP="00055BFA">
            <w:pPr>
              <w:spacing w:after="0"/>
              <w:rPr>
                <w:rFonts w:ascii="Arial" w:hAnsi="Arial" w:cs="Arial"/>
                <w:sz w:val="24"/>
                <w:szCs w:val="24"/>
              </w:rPr>
            </w:pPr>
          </w:p>
          <w:p w14:paraId="7C22C6EB" w14:textId="77777777" w:rsidR="004C243E" w:rsidRDefault="004C243E" w:rsidP="00055BFA">
            <w:pPr>
              <w:spacing w:after="0"/>
              <w:rPr>
                <w:rFonts w:ascii="Arial" w:hAnsi="Arial" w:cs="Arial"/>
                <w:sz w:val="24"/>
                <w:szCs w:val="24"/>
              </w:rPr>
            </w:pPr>
            <w:r>
              <w:rPr>
                <w:rFonts w:ascii="Arial" w:hAnsi="Arial" w:cs="Arial"/>
                <w:sz w:val="24"/>
                <w:szCs w:val="24"/>
              </w:rPr>
              <w:t>2.2</w:t>
            </w:r>
          </w:p>
          <w:p w14:paraId="0071D3FB" w14:textId="77777777" w:rsidR="00800542" w:rsidRDefault="00800542" w:rsidP="00055BFA">
            <w:pPr>
              <w:spacing w:after="0"/>
              <w:rPr>
                <w:rFonts w:ascii="Arial" w:hAnsi="Arial" w:cs="Arial"/>
                <w:sz w:val="24"/>
                <w:szCs w:val="24"/>
              </w:rPr>
            </w:pPr>
          </w:p>
          <w:p w14:paraId="455E69F4" w14:textId="77777777" w:rsidR="00800542" w:rsidRDefault="00800542" w:rsidP="00055BFA">
            <w:pPr>
              <w:spacing w:after="0"/>
              <w:rPr>
                <w:rFonts w:ascii="Arial" w:hAnsi="Arial" w:cs="Arial"/>
                <w:sz w:val="24"/>
                <w:szCs w:val="24"/>
              </w:rPr>
            </w:pPr>
          </w:p>
          <w:p w14:paraId="52FCE8AF" w14:textId="77777777" w:rsidR="00800542" w:rsidRDefault="00800542" w:rsidP="00055BFA">
            <w:pPr>
              <w:spacing w:after="0"/>
              <w:rPr>
                <w:rFonts w:ascii="Arial" w:hAnsi="Arial" w:cs="Arial"/>
                <w:sz w:val="24"/>
                <w:szCs w:val="24"/>
              </w:rPr>
            </w:pPr>
          </w:p>
          <w:p w14:paraId="3F05EBA5" w14:textId="77777777" w:rsidR="00800542" w:rsidRDefault="00800542" w:rsidP="00055BFA">
            <w:pPr>
              <w:spacing w:after="0"/>
              <w:rPr>
                <w:rFonts w:ascii="Arial" w:hAnsi="Arial" w:cs="Arial"/>
                <w:sz w:val="24"/>
                <w:szCs w:val="24"/>
              </w:rPr>
            </w:pPr>
          </w:p>
          <w:p w14:paraId="759A9E74" w14:textId="77777777" w:rsidR="00800542" w:rsidRDefault="00800542" w:rsidP="00055BFA">
            <w:pPr>
              <w:spacing w:after="0"/>
              <w:rPr>
                <w:rFonts w:ascii="Arial" w:hAnsi="Arial" w:cs="Arial"/>
                <w:sz w:val="24"/>
                <w:szCs w:val="24"/>
              </w:rPr>
            </w:pPr>
            <w:r>
              <w:rPr>
                <w:rFonts w:ascii="Arial" w:hAnsi="Arial" w:cs="Arial"/>
                <w:sz w:val="24"/>
                <w:szCs w:val="24"/>
              </w:rPr>
              <w:t>2.3</w:t>
            </w:r>
          </w:p>
          <w:p w14:paraId="55A1F663" w14:textId="77777777" w:rsidR="00476B91" w:rsidRDefault="00476B91" w:rsidP="00055BFA">
            <w:pPr>
              <w:spacing w:after="0"/>
              <w:rPr>
                <w:rFonts w:ascii="Arial" w:hAnsi="Arial" w:cs="Arial"/>
                <w:sz w:val="24"/>
                <w:szCs w:val="24"/>
              </w:rPr>
            </w:pPr>
          </w:p>
          <w:p w14:paraId="6CFE9B56" w14:textId="77777777" w:rsidR="00476B91" w:rsidRDefault="00476B91" w:rsidP="00055BFA">
            <w:pPr>
              <w:spacing w:after="0"/>
              <w:rPr>
                <w:rFonts w:ascii="Arial" w:hAnsi="Arial" w:cs="Arial"/>
                <w:sz w:val="24"/>
                <w:szCs w:val="24"/>
              </w:rPr>
            </w:pPr>
          </w:p>
          <w:p w14:paraId="040C942A" w14:textId="40558C6D" w:rsidR="00476B91" w:rsidRPr="00A553B7" w:rsidRDefault="00476B91" w:rsidP="00055BFA">
            <w:pPr>
              <w:spacing w:after="0"/>
              <w:rPr>
                <w:rFonts w:ascii="Arial" w:hAnsi="Arial" w:cs="Arial"/>
                <w:sz w:val="24"/>
                <w:szCs w:val="24"/>
              </w:rPr>
            </w:pPr>
            <w:r>
              <w:rPr>
                <w:rFonts w:ascii="Arial" w:hAnsi="Arial" w:cs="Arial"/>
                <w:sz w:val="24"/>
                <w:szCs w:val="24"/>
              </w:rPr>
              <w:t>2.4</w:t>
            </w:r>
          </w:p>
        </w:tc>
        <w:tc>
          <w:tcPr>
            <w:tcW w:w="8312" w:type="dxa"/>
            <w:shd w:val="clear" w:color="auto" w:fill="auto"/>
          </w:tcPr>
          <w:p w14:paraId="3841E330" w14:textId="506AC430" w:rsidR="001F6D1A" w:rsidRDefault="001F6D1A" w:rsidP="001F6D1A">
            <w:pPr>
              <w:spacing w:after="0"/>
              <w:jc w:val="both"/>
              <w:rPr>
                <w:rFonts w:ascii="Arial" w:hAnsi="Arial" w:cs="Arial"/>
                <w:sz w:val="24"/>
              </w:rPr>
            </w:pPr>
            <w:r>
              <w:rPr>
                <w:rFonts w:ascii="Arial" w:hAnsi="Arial" w:cs="Arial"/>
                <w:sz w:val="24"/>
              </w:rPr>
              <w:t xml:space="preserve">On </w:t>
            </w:r>
            <w:r w:rsidR="00C31251">
              <w:rPr>
                <w:rFonts w:ascii="Arial" w:hAnsi="Arial" w:cs="Arial"/>
                <w:sz w:val="24"/>
              </w:rPr>
              <w:t>13</w:t>
            </w:r>
            <w:r w:rsidR="00C31251" w:rsidRPr="00C31251">
              <w:rPr>
                <w:rFonts w:ascii="Arial" w:hAnsi="Arial" w:cs="Arial"/>
                <w:sz w:val="24"/>
                <w:vertAlign w:val="superscript"/>
              </w:rPr>
              <w:t>th</w:t>
            </w:r>
            <w:r w:rsidR="00C31251">
              <w:rPr>
                <w:rFonts w:ascii="Arial" w:hAnsi="Arial" w:cs="Arial"/>
                <w:sz w:val="24"/>
              </w:rPr>
              <w:t xml:space="preserve"> </w:t>
            </w:r>
            <w:r>
              <w:rPr>
                <w:rFonts w:ascii="Arial" w:hAnsi="Arial" w:cs="Arial"/>
                <w:sz w:val="24"/>
              </w:rPr>
              <w:t>December 202</w:t>
            </w:r>
            <w:r w:rsidR="00C31251">
              <w:rPr>
                <w:rFonts w:ascii="Arial" w:hAnsi="Arial" w:cs="Arial"/>
                <w:sz w:val="24"/>
              </w:rPr>
              <w:t>3</w:t>
            </w:r>
            <w:r>
              <w:rPr>
                <w:rFonts w:ascii="Arial" w:hAnsi="Arial" w:cs="Arial"/>
                <w:sz w:val="24"/>
              </w:rPr>
              <w:t>, the Head of Assurance and Compliance</w:t>
            </w:r>
            <w:r w:rsidR="00C31251">
              <w:rPr>
                <w:rFonts w:ascii="Arial" w:hAnsi="Arial" w:cs="Arial"/>
                <w:sz w:val="24"/>
              </w:rPr>
              <w:t xml:space="preserve"> (HoAC)</w:t>
            </w:r>
            <w:r>
              <w:rPr>
                <w:rFonts w:ascii="Arial" w:hAnsi="Arial" w:cs="Arial"/>
                <w:sz w:val="24"/>
              </w:rPr>
              <w:t xml:space="preserve"> initiated the annual review of the </w:t>
            </w:r>
            <w:proofErr w:type="spellStart"/>
            <w:r>
              <w:rPr>
                <w:rFonts w:ascii="Arial" w:hAnsi="Arial" w:cs="Arial"/>
                <w:sz w:val="24"/>
              </w:rPr>
              <w:t>MoCG</w:t>
            </w:r>
            <w:proofErr w:type="spellEnd"/>
            <w:r>
              <w:rPr>
                <w:rFonts w:ascii="Arial" w:hAnsi="Arial" w:cs="Arial"/>
                <w:sz w:val="24"/>
              </w:rPr>
              <w:t xml:space="preserve"> via email.  Relevant staff and officers were asked to review sections of the document and feed any proposed changes back to the Office of the Police and Crime Commissioner (OPCC).</w:t>
            </w:r>
            <w:r w:rsidR="00C31251">
              <w:rPr>
                <w:rFonts w:ascii="Arial" w:hAnsi="Arial" w:cs="Arial"/>
                <w:sz w:val="24"/>
              </w:rPr>
              <w:t xml:space="preserve">  A subsequent meeting was held between the OPCC, Joint Legal Services (JLS) and Gwent Police to discuss change</w:t>
            </w:r>
            <w:r w:rsidR="00ED746F">
              <w:rPr>
                <w:rFonts w:ascii="Arial" w:hAnsi="Arial" w:cs="Arial"/>
                <w:sz w:val="24"/>
              </w:rPr>
              <w:t>s</w:t>
            </w:r>
            <w:r w:rsidR="00C31251">
              <w:rPr>
                <w:rFonts w:ascii="Arial" w:hAnsi="Arial" w:cs="Arial"/>
                <w:sz w:val="24"/>
              </w:rPr>
              <w:t xml:space="preserve"> with the HoAC and Head of JLS meeting to discuss and finalise the</w:t>
            </w:r>
            <w:r w:rsidR="00ED746F">
              <w:rPr>
                <w:rFonts w:ascii="Arial" w:hAnsi="Arial" w:cs="Arial"/>
                <w:sz w:val="24"/>
              </w:rPr>
              <w:t>se</w:t>
            </w:r>
            <w:r w:rsidR="00C31251">
              <w:rPr>
                <w:rFonts w:ascii="Arial" w:hAnsi="Arial" w:cs="Arial"/>
                <w:sz w:val="24"/>
              </w:rPr>
              <w:t xml:space="preserve"> changes.</w:t>
            </w:r>
          </w:p>
          <w:p w14:paraId="23D0D006" w14:textId="77777777" w:rsidR="00310A3C" w:rsidRDefault="00310A3C" w:rsidP="003B3A67">
            <w:pPr>
              <w:spacing w:after="0"/>
              <w:jc w:val="both"/>
              <w:rPr>
                <w:rFonts w:ascii="Arial" w:hAnsi="Arial" w:cs="Arial"/>
                <w:sz w:val="24"/>
              </w:rPr>
            </w:pPr>
          </w:p>
          <w:p w14:paraId="6710B72E" w14:textId="4F9296B5" w:rsidR="00AA066C" w:rsidRDefault="00AA066C" w:rsidP="00AA066C">
            <w:pPr>
              <w:spacing w:after="0"/>
              <w:jc w:val="both"/>
              <w:rPr>
                <w:rFonts w:ascii="Arial" w:hAnsi="Arial" w:cs="Arial"/>
                <w:sz w:val="24"/>
                <w:szCs w:val="24"/>
              </w:rPr>
            </w:pPr>
            <w:r w:rsidRPr="00A553B7">
              <w:rPr>
                <w:rFonts w:ascii="Arial" w:hAnsi="Arial" w:cs="Arial"/>
                <w:sz w:val="24"/>
                <w:szCs w:val="24"/>
              </w:rPr>
              <w:t xml:space="preserve">A report providing the proposed changes to the </w:t>
            </w:r>
            <w:proofErr w:type="spellStart"/>
            <w:r w:rsidRPr="00A553B7">
              <w:rPr>
                <w:rFonts w:ascii="Arial" w:hAnsi="Arial" w:cs="Arial"/>
                <w:sz w:val="24"/>
                <w:szCs w:val="24"/>
              </w:rPr>
              <w:t>MoCG</w:t>
            </w:r>
            <w:proofErr w:type="spellEnd"/>
            <w:r w:rsidRPr="00A553B7">
              <w:rPr>
                <w:rFonts w:ascii="Arial" w:hAnsi="Arial" w:cs="Arial"/>
                <w:sz w:val="24"/>
                <w:szCs w:val="24"/>
              </w:rPr>
              <w:t xml:space="preserve"> </w:t>
            </w:r>
            <w:r>
              <w:rPr>
                <w:rFonts w:ascii="Arial" w:hAnsi="Arial" w:cs="Arial"/>
                <w:sz w:val="24"/>
                <w:szCs w:val="24"/>
              </w:rPr>
              <w:t xml:space="preserve">was presented to the </w:t>
            </w:r>
            <w:r w:rsidRPr="00A553B7">
              <w:rPr>
                <w:rFonts w:ascii="Arial" w:hAnsi="Arial" w:cs="Arial"/>
                <w:sz w:val="24"/>
                <w:szCs w:val="24"/>
              </w:rPr>
              <w:t xml:space="preserve">Strategy and Performance Board </w:t>
            </w:r>
            <w:r>
              <w:rPr>
                <w:rFonts w:ascii="Arial" w:hAnsi="Arial" w:cs="Arial"/>
                <w:sz w:val="24"/>
                <w:szCs w:val="24"/>
              </w:rPr>
              <w:t>(</w:t>
            </w:r>
            <w:r w:rsidRPr="00A553B7">
              <w:rPr>
                <w:rFonts w:ascii="Arial" w:hAnsi="Arial" w:cs="Arial"/>
                <w:sz w:val="24"/>
                <w:szCs w:val="24"/>
              </w:rPr>
              <w:t>SPB)</w:t>
            </w:r>
            <w:r>
              <w:rPr>
                <w:rFonts w:ascii="Arial" w:hAnsi="Arial" w:cs="Arial"/>
                <w:sz w:val="24"/>
                <w:szCs w:val="24"/>
              </w:rPr>
              <w:t xml:space="preserve"> on 7</w:t>
            </w:r>
            <w:r w:rsidRPr="00AA066C">
              <w:rPr>
                <w:rFonts w:ascii="Arial" w:hAnsi="Arial" w:cs="Arial"/>
                <w:sz w:val="24"/>
                <w:szCs w:val="24"/>
                <w:vertAlign w:val="superscript"/>
              </w:rPr>
              <w:t>th</w:t>
            </w:r>
            <w:r>
              <w:rPr>
                <w:rFonts w:ascii="Arial" w:hAnsi="Arial" w:cs="Arial"/>
                <w:sz w:val="24"/>
                <w:szCs w:val="24"/>
              </w:rPr>
              <w:t xml:space="preserve"> March 2024</w:t>
            </w:r>
            <w:r w:rsidRPr="00A553B7">
              <w:rPr>
                <w:rFonts w:ascii="Arial" w:hAnsi="Arial" w:cs="Arial"/>
                <w:sz w:val="24"/>
                <w:szCs w:val="24"/>
              </w:rPr>
              <w:t xml:space="preserve">.  </w:t>
            </w:r>
            <w:r>
              <w:rPr>
                <w:rFonts w:ascii="Arial" w:hAnsi="Arial" w:cs="Arial"/>
                <w:sz w:val="24"/>
                <w:szCs w:val="24"/>
              </w:rPr>
              <w:t xml:space="preserve">The </w:t>
            </w:r>
            <w:r w:rsidRPr="00A553B7">
              <w:rPr>
                <w:rFonts w:ascii="Arial" w:hAnsi="Arial" w:cs="Arial"/>
                <w:sz w:val="24"/>
                <w:szCs w:val="24"/>
              </w:rPr>
              <w:t>PCC and Chief Constable</w:t>
            </w:r>
            <w:r>
              <w:rPr>
                <w:rFonts w:ascii="Arial" w:hAnsi="Arial" w:cs="Arial"/>
                <w:sz w:val="24"/>
                <w:szCs w:val="24"/>
              </w:rPr>
              <w:t xml:space="preserve"> </w:t>
            </w:r>
            <w:r w:rsidRPr="00A553B7">
              <w:rPr>
                <w:rFonts w:ascii="Arial" w:hAnsi="Arial" w:cs="Arial"/>
                <w:sz w:val="24"/>
                <w:szCs w:val="24"/>
              </w:rPr>
              <w:t>approve</w:t>
            </w:r>
            <w:r w:rsidR="00800542">
              <w:rPr>
                <w:rFonts w:ascii="Arial" w:hAnsi="Arial" w:cs="Arial"/>
                <w:sz w:val="24"/>
                <w:szCs w:val="24"/>
              </w:rPr>
              <w:t>d</w:t>
            </w:r>
            <w:r w:rsidRPr="00A553B7">
              <w:rPr>
                <w:rFonts w:ascii="Arial" w:hAnsi="Arial" w:cs="Arial"/>
                <w:sz w:val="24"/>
                <w:szCs w:val="24"/>
              </w:rPr>
              <w:t xml:space="preserve"> the changes in principle prior to their consideration by the J</w:t>
            </w:r>
            <w:r w:rsidR="00800542">
              <w:rPr>
                <w:rFonts w:ascii="Arial" w:hAnsi="Arial" w:cs="Arial"/>
                <w:sz w:val="24"/>
                <w:szCs w:val="24"/>
              </w:rPr>
              <w:t xml:space="preserve">oint </w:t>
            </w:r>
            <w:r w:rsidRPr="00A553B7">
              <w:rPr>
                <w:rFonts w:ascii="Arial" w:hAnsi="Arial" w:cs="Arial"/>
                <w:sz w:val="24"/>
                <w:szCs w:val="24"/>
              </w:rPr>
              <w:t>A</w:t>
            </w:r>
            <w:r w:rsidR="00800542">
              <w:rPr>
                <w:rFonts w:ascii="Arial" w:hAnsi="Arial" w:cs="Arial"/>
                <w:sz w:val="24"/>
                <w:szCs w:val="24"/>
              </w:rPr>
              <w:t xml:space="preserve">udit </w:t>
            </w:r>
            <w:r w:rsidRPr="00A553B7">
              <w:rPr>
                <w:rFonts w:ascii="Arial" w:hAnsi="Arial" w:cs="Arial"/>
                <w:sz w:val="24"/>
                <w:szCs w:val="24"/>
              </w:rPr>
              <w:t>C</w:t>
            </w:r>
            <w:r w:rsidR="00800542">
              <w:rPr>
                <w:rFonts w:ascii="Arial" w:hAnsi="Arial" w:cs="Arial"/>
                <w:sz w:val="24"/>
                <w:szCs w:val="24"/>
              </w:rPr>
              <w:t>ommittee (JAC)</w:t>
            </w:r>
            <w:r w:rsidRPr="00A553B7">
              <w:rPr>
                <w:rFonts w:ascii="Arial" w:hAnsi="Arial" w:cs="Arial"/>
                <w:sz w:val="24"/>
                <w:szCs w:val="24"/>
              </w:rPr>
              <w:t>.</w:t>
            </w:r>
          </w:p>
          <w:p w14:paraId="7A0DD214" w14:textId="77777777" w:rsidR="00800542" w:rsidRDefault="00800542" w:rsidP="00AA066C">
            <w:pPr>
              <w:spacing w:after="0"/>
              <w:jc w:val="both"/>
              <w:rPr>
                <w:rFonts w:ascii="Arial" w:hAnsi="Arial" w:cs="Arial"/>
                <w:sz w:val="24"/>
                <w:szCs w:val="24"/>
              </w:rPr>
            </w:pPr>
          </w:p>
          <w:p w14:paraId="050B852C" w14:textId="600999B2" w:rsidR="00800542" w:rsidRDefault="00800542" w:rsidP="00AA066C">
            <w:pPr>
              <w:spacing w:after="0"/>
              <w:jc w:val="both"/>
              <w:rPr>
                <w:rFonts w:ascii="Arial" w:hAnsi="Arial" w:cs="Arial"/>
                <w:sz w:val="24"/>
                <w:szCs w:val="24"/>
              </w:rPr>
            </w:pPr>
            <w:r>
              <w:rPr>
                <w:rFonts w:ascii="Arial" w:hAnsi="Arial" w:cs="Arial"/>
                <w:sz w:val="24"/>
                <w:szCs w:val="24"/>
              </w:rPr>
              <w:t>On 21</w:t>
            </w:r>
            <w:r w:rsidRPr="00800542">
              <w:rPr>
                <w:rFonts w:ascii="Arial" w:hAnsi="Arial" w:cs="Arial"/>
                <w:sz w:val="24"/>
                <w:szCs w:val="24"/>
                <w:vertAlign w:val="superscript"/>
              </w:rPr>
              <w:t>st</w:t>
            </w:r>
            <w:r>
              <w:rPr>
                <w:rFonts w:ascii="Arial" w:hAnsi="Arial" w:cs="Arial"/>
                <w:sz w:val="24"/>
                <w:szCs w:val="24"/>
              </w:rPr>
              <w:t xml:space="preserve"> March 2024, the JAC confirmed they were satisfied with the proposed changes to the </w:t>
            </w:r>
            <w:proofErr w:type="spellStart"/>
            <w:r>
              <w:rPr>
                <w:rFonts w:ascii="Arial" w:hAnsi="Arial" w:cs="Arial"/>
                <w:sz w:val="24"/>
                <w:szCs w:val="24"/>
              </w:rPr>
              <w:t>MoCG</w:t>
            </w:r>
            <w:proofErr w:type="spellEnd"/>
            <w:r>
              <w:rPr>
                <w:rFonts w:ascii="Arial" w:hAnsi="Arial" w:cs="Arial"/>
                <w:sz w:val="24"/>
                <w:szCs w:val="24"/>
              </w:rPr>
              <w:t xml:space="preserve"> which would come into effect from 1</w:t>
            </w:r>
            <w:r w:rsidRPr="00800542">
              <w:rPr>
                <w:rFonts w:ascii="Arial" w:hAnsi="Arial" w:cs="Arial"/>
                <w:sz w:val="24"/>
                <w:szCs w:val="24"/>
                <w:vertAlign w:val="superscript"/>
              </w:rPr>
              <w:t>st</w:t>
            </w:r>
            <w:r>
              <w:rPr>
                <w:rFonts w:ascii="Arial" w:hAnsi="Arial" w:cs="Arial"/>
                <w:sz w:val="24"/>
                <w:szCs w:val="24"/>
              </w:rPr>
              <w:t xml:space="preserve"> April 2024. </w:t>
            </w:r>
          </w:p>
          <w:p w14:paraId="6869A2AB" w14:textId="77777777" w:rsidR="00041F9A" w:rsidRDefault="00041F9A" w:rsidP="00C31251">
            <w:pPr>
              <w:spacing w:after="0"/>
              <w:jc w:val="both"/>
              <w:rPr>
                <w:rFonts w:ascii="Arial" w:hAnsi="Arial" w:cs="Arial"/>
                <w:sz w:val="24"/>
                <w:szCs w:val="24"/>
              </w:rPr>
            </w:pPr>
          </w:p>
          <w:p w14:paraId="78FCACA1" w14:textId="77777777" w:rsidR="00476B91" w:rsidRDefault="00476B91" w:rsidP="00C31251">
            <w:pPr>
              <w:spacing w:after="0"/>
              <w:jc w:val="both"/>
              <w:rPr>
                <w:rFonts w:ascii="Arial" w:hAnsi="Arial" w:cs="Arial"/>
                <w:sz w:val="24"/>
                <w:szCs w:val="24"/>
              </w:rPr>
            </w:pPr>
            <w:r>
              <w:rPr>
                <w:rFonts w:ascii="Arial" w:hAnsi="Arial" w:cs="Arial"/>
                <w:sz w:val="24"/>
                <w:szCs w:val="24"/>
              </w:rPr>
              <w:t>A copy of this document detailing the formal changes has also been submitted to the Chief Constable’s office.</w:t>
            </w:r>
          </w:p>
          <w:p w14:paraId="27F9B088" w14:textId="430DAFD7" w:rsidR="00476B91" w:rsidRPr="00A553B7" w:rsidRDefault="00476B91" w:rsidP="00C31251">
            <w:pPr>
              <w:spacing w:after="0"/>
              <w:jc w:val="both"/>
              <w:rPr>
                <w:rFonts w:ascii="Arial" w:hAnsi="Arial" w:cs="Arial"/>
                <w:sz w:val="24"/>
                <w:szCs w:val="24"/>
              </w:rPr>
            </w:pPr>
          </w:p>
        </w:tc>
      </w:tr>
      <w:tr w:rsidR="00D26302" w:rsidRPr="00A553B7" w14:paraId="7E97A1B1" w14:textId="77777777" w:rsidTr="005D4534">
        <w:tc>
          <w:tcPr>
            <w:tcW w:w="748" w:type="dxa"/>
            <w:shd w:val="clear" w:color="auto" w:fill="auto"/>
          </w:tcPr>
          <w:p w14:paraId="6AC9D0E4" w14:textId="77777777" w:rsidR="00D26302" w:rsidRPr="00A553B7" w:rsidRDefault="005C173F" w:rsidP="00055BFA">
            <w:pPr>
              <w:spacing w:after="0"/>
              <w:rPr>
                <w:rFonts w:ascii="Arial" w:hAnsi="Arial" w:cs="Arial"/>
                <w:b/>
                <w:sz w:val="24"/>
                <w:szCs w:val="24"/>
              </w:rPr>
            </w:pPr>
            <w:r w:rsidRPr="00A553B7">
              <w:rPr>
                <w:rFonts w:ascii="Arial" w:hAnsi="Arial" w:cs="Arial"/>
                <w:b/>
                <w:sz w:val="24"/>
                <w:szCs w:val="24"/>
              </w:rPr>
              <w:t>3</w:t>
            </w:r>
            <w:r w:rsidR="00D26302" w:rsidRPr="00A553B7">
              <w:rPr>
                <w:rFonts w:ascii="Arial" w:hAnsi="Arial" w:cs="Arial"/>
                <w:b/>
                <w:sz w:val="24"/>
                <w:szCs w:val="24"/>
              </w:rPr>
              <w:t>.</w:t>
            </w:r>
          </w:p>
        </w:tc>
        <w:tc>
          <w:tcPr>
            <w:tcW w:w="8312" w:type="dxa"/>
            <w:shd w:val="clear" w:color="auto" w:fill="auto"/>
          </w:tcPr>
          <w:p w14:paraId="5B5FA05B" w14:textId="77777777" w:rsidR="000A369B" w:rsidRPr="00A553B7" w:rsidRDefault="00544418" w:rsidP="007413DB">
            <w:pPr>
              <w:spacing w:after="0"/>
              <w:jc w:val="both"/>
              <w:rPr>
                <w:rFonts w:ascii="Arial" w:hAnsi="Arial" w:cs="Arial"/>
                <w:b/>
                <w:sz w:val="24"/>
                <w:szCs w:val="24"/>
                <w:u w:val="single"/>
              </w:rPr>
            </w:pPr>
            <w:r w:rsidRPr="00A553B7">
              <w:rPr>
                <w:rFonts w:ascii="Arial" w:hAnsi="Arial" w:cs="Arial"/>
                <w:b/>
                <w:sz w:val="24"/>
                <w:szCs w:val="24"/>
                <w:u w:val="single"/>
              </w:rPr>
              <w:t>ISSUES FOR CONSIDERATION</w:t>
            </w:r>
          </w:p>
        </w:tc>
      </w:tr>
      <w:tr w:rsidR="00544418" w:rsidRPr="00A553B7" w14:paraId="116E785B" w14:textId="77777777" w:rsidTr="005D4534">
        <w:tc>
          <w:tcPr>
            <w:tcW w:w="748" w:type="dxa"/>
            <w:shd w:val="clear" w:color="auto" w:fill="auto"/>
          </w:tcPr>
          <w:p w14:paraId="1A22ECF4" w14:textId="77777777" w:rsidR="00544418" w:rsidRPr="00A553B7" w:rsidRDefault="00697411" w:rsidP="00055BFA">
            <w:pPr>
              <w:spacing w:after="0"/>
              <w:rPr>
                <w:rFonts w:ascii="Arial" w:hAnsi="Arial" w:cs="Arial"/>
                <w:sz w:val="24"/>
                <w:szCs w:val="24"/>
              </w:rPr>
            </w:pPr>
            <w:r w:rsidRPr="00A553B7">
              <w:rPr>
                <w:rFonts w:ascii="Arial" w:hAnsi="Arial" w:cs="Arial"/>
                <w:sz w:val="24"/>
                <w:szCs w:val="24"/>
              </w:rPr>
              <w:t>3.1</w:t>
            </w:r>
          </w:p>
        </w:tc>
        <w:tc>
          <w:tcPr>
            <w:tcW w:w="8312" w:type="dxa"/>
            <w:shd w:val="clear" w:color="auto" w:fill="auto"/>
          </w:tcPr>
          <w:p w14:paraId="48E9049D" w14:textId="77777777" w:rsidR="00697411" w:rsidRPr="00041F9A" w:rsidRDefault="00697411" w:rsidP="00697411">
            <w:pPr>
              <w:spacing w:after="0"/>
              <w:jc w:val="both"/>
              <w:rPr>
                <w:rFonts w:ascii="Arial" w:hAnsi="Arial" w:cs="Arial"/>
                <w:b/>
                <w:sz w:val="24"/>
                <w:szCs w:val="24"/>
              </w:rPr>
            </w:pPr>
            <w:r w:rsidRPr="00041F9A">
              <w:rPr>
                <w:rFonts w:ascii="Arial" w:hAnsi="Arial" w:cs="Arial"/>
                <w:b/>
                <w:sz w:val="24"/>
                <w:szCs w:val="24"/>
              </w:rPr>
              <w:t>Amendments to Manual of Corporate Governance</w:t>
            </w:r>
          </w:p>
          <w:p w14:paraId="2E62C8D0" w14:textId="1D488C6D" w:rsidR="00FB16F4" w:rsidRDefault="00DC266A" w:rsidP="00227BE8">
            <w:pPr>
              <w:spacing w:after="0"/>
              <w:jc w:val="both"/>
              <w:rPr>
                <w:rFonts w:ascii="Arial" w:hAnsi="Arial" w:cs="Arial"/>
                <w:sz w:val="24"/>
                <w:szCs w:val="24"/>
              </w:rPr>
            </w:pPr>
            <w:proofErr w:type="gramStart"/>
            <w:r w:rsidRPr="00041F9A">
              <w:rPr>
                <w:rFonts w:ascii="Arial" w:hAnsi="Arial" w:cs="Arial"/>
                <w:sz w:val="24"/>
                <w:szCs w:val="24"/>
              </w:rPr>
              <w:t>A number of</w:t>
            </w:r>
            <w:proofErr w:type="gramEnd"/>
            <w:r w:rsidRPr="00041F9A">
              <w:rPr>
                <w:rFonts w:ascii="Arial" w:hAnsi="Arial" w:cs="Arial"/>
                <w:sz w:val="24"/>
                <w:szCs w:val="24"/>
              </w:rPr>
              <w:t xml:space="preserve"> changes have been identified as a result of the annual review process.  A detailed list of these can be found at appendix 1</w:t>
            </w:r>
            <w:r w:rsidR="00227BE8" w:rsidRPr="00041F9A">
              <w:rPr>
                <w:rFonts w:ascii="Arial" w:hAnsi="Arial" w:cs="Arial"/>
                <w:sz w:val="24"/>
                <w:szCs w:val="24"/>
              </w:rPr>
              <w:t>.</w:t>
            </w:r>
          </w:p>
          <w:p w14:paraId="57A33680" w14:textId="77777777" w:rsidR="0053792F" w:rsidRDefault="0053792F" w:rsidP="00227BE8">
            <w:pPr>
              <w:spacing w:after="0"/>
              <w:jc w:val="both"/>
              <w:rPr>
                <w:rFonts w:ascii="Arial" w:hAnsi="Arial" w:cs="Arial"/>
                <w:sz w:val="24"/>
                <w:szCs w:val="24"/>
              </w:rPr>
            </w:pPr>
          </w:p>
          <w:p w14:paraId="2328B76E" w14:textId="51F40099" w:rsidR="0053792F" w:rsidRDefault="0053792F" w:rsidP="00227BE8">
            <w:pPr>
              <w:spacing w:after="0"/>
              <w:jc w:val="both"/>
              <w:rPr>
                <w:rFonts w:ascii="Arial" w:eastAsia="Times New Roman" w:hAnsi="Arial" w:cs="Arial"/>
                <w:sz w:val="24"/>
                <w:szCs w:val="24"/>
              </w:rPr>
            </w:pPr>
            <w:r>
              <w:rPr>
                <w:rFonts w:ascii="Arial" w:hAnsi="Arial" w:cs="Arial"/>
                <w:sz w:val="24"/>
                <w:szCs w:val="24"/>
              </w:rPr>
              <w:t>At the SPB on 7</w:t>
            </w:r>
            <w:r w:rsidRPr="0053792F">
              <w:rPr>
                <w:rFonts w:ascii="Arial" w:hAnsi="Arial" w:cs="Arial"/>
                <w:sz w:val="24"/>
                <w:szCs w:val="24"/>
                <w:vertAlign w:val="superscript"/>
              </w:rPr>
              <w:t>th</w:t>
            </w:r>
            <w:r>
              <w:rPr>
                <w:rFonts w:ascii="Arial" w:hAnsi="Arial" w:cs="Arial"/>
                <w:sz w:val="24"/>
                <w:szCs w:val="24"/>
              </w:rPr>
              <w:t xml:space="preserve"> March 2024, an additional verbal amendment was proposed and agreed by the PCC and Chief Constable.  This relates to an increase to the </w:t>
            </w:r>
            <w:r>
              <w:rPr>
                <w:rFonts w:ascii="Arial" w:eastAsia="Times New Roman" w:hAnsi="Arial" w:cs="Arial"/>
                <w:sz w:val="24"/>
                <w:szCs w:val="24"/>
              </w:rPr>
              <w:t>Level 2 procurement threshold limit from £50,000 to £100,000</w:t>
            </w:r>
            <w:r w:rsidR="009C39CA">
              <w:rPr>
                <w:rFonts w:ascii="Arial" w:eastAsia="Times New Roman" w:hAnsi="Arial" w:cs="Arial"/>
                <w:sz w:val="24"/>
                <w:szCs w:val="24"/>
              </w:rPr>
              <w:t xml:space="preserve"> (excluding VAT, £120,000 including VAT)</w:t>
            </w:r>
            <w:r>
              <w:rPr>
                <w:rFonts w:ascii="Arial" w:eastAsia="Times New Roman" w:hAnsi="Arial" w:cs="Arial"/>
                <w:sz w:val="24"/>
                <w:szCs w:val="24"/>
              </w:rPr>
              <w:t xml:space="preserve">.  This increase will only be utilised in certain circumstances.  </w:t>
            </w:r>
            <w:proofErr w:type="gramStart"/>
            <w:r>
              <w:rPr>
                <w:rFonts w:ascii="Arial" w:eastAsia="Times New Roman" w:hAnsi="Arial" w:cs="Arial"/>
                <w:sz w:val="24"/>
                <w:szCs w:val="24"/>
              </w:rPr>
              <w:t>In order to</w:t>
            </w:r>
            <w:proofErr w:type="gramEnd"/>
            <w:r>
              <w:rPr>
                <w:rFonts w:ascii="Arial" w:eastAsia="Times New Roman" w:hAnsi="Arial" w:cs="Arial"/>
                <w:sz w:val="24"/>
                <w:szCs w:val="24"/>
              </w:rPr>
              <w:t xml:space="preserve"> ensure clarity, JLS will provide wording to include </w:t>
            </w:r>
            <w:r>
              <w:rPr>
                <w:rFonts w:ascii="Arial" w:eastAsia="Times New Roman" w:hAnsi="Arial" w:cs="Arial"/>
                <w:sz w:val="24"/>
                <w:szCs w:val="24"/>
              </w:rPr>
              <w:lastRenderedPageBreak/>
              <w:t>in the threshold table.  As a result, the lower limit of Level 3 will also increase to read ‘above £1</w:t>
            </w:r>
            <w:r w:rsidR="009C39CA">
              <w:rPr>
                <w:rFonts w:ascii="Arial" w:eastAsia="Times New Roman" w:hAnsi="Arial" w:cs="Arial"/>
                <w:sz w:val="24"/>
                <w:szCs w:val="24"/>
              </w:rPr>
              <w:t>2</w:t>
            </w:r>
            <w:r>
              <w:rPr>
                <w:rFonts w:ascii="Arial" w:eastAsia="Times New Roman" w:hAnsi="Arial" w:cs="Arial"/>
                <w:sz w:val="24"/>
                <w:szCs w:val="24"/>
              </w:rPr>
              <w:t>0,00</w:t>
            </w:r>
            <w:r w:rsidR="009C39CA">
              <w:rPr>
                <w:rFonts w:ascii="Arial" w:eastAsia="Times New Roman" w:hAnsi="Arial" w:cs="Arial"/>
                <w:sz w:val="24"/>
                <w:szCs w:val="24"/>
              </w:rPr>
              <w:t>0 (including VAT)</w:t>
            </w:r>
            <w:r>
              <w:rPr>
                <w:rFonts w:ascii="Arial" w:eastAsia="Times New Roman" w:hAnsi="Arial" w:cs="Arial"/>
                <w:sz w:val="24"/>
                <w:szCs w:val="24"/>
              </w:rPr>
              <w:t>’.</w:t>
            </w:r>
          </w:p>
          <w:p w14:paraId="0CB79AAD" w14:textId="77777777" w:rsidR="00D90148" w:rsidRDefault="00D90148" w:rsidP="00227BE8">
            <w:pPr>
              <w:spacing w:after="0"/>
              <w:jc w:val="both"/>
              <w:rPr>
                <w:rFonts w:ascii="Arial" w:eastAsia="Times New Roman" w:hAnsi="Arial" w:cs="Arial"/>
                <w:sz w:val="24"/>
                <w:szCs w:val="24"/>
              </w:rPr>
            </w:pPr>
          </w:p>
          <w:p w14:paraId="24A6D5B6" w14:textId="4EE664B1" w:rsidR="00D90148" w:rsidRDefault="00D90148" w:rsidP="00227BE8">
            <w:pPr>
              <w:spacing w:after="0"/>
              <w:jc w:val="both"/>
              <w:rPr>
                <w:rFonts w:ascii="Arial" w:eastAsia="Times New Roman" w:hAnsi="Arial" w:cs="Arial"/>
                <w:sz w:val="24"/>
                <w:szCs w:val="24"/>
              </w:rPr>
            </w:pPr>
            <w:r>
              <w:rPr>
                <w:rFonts w:ascii="Arial" w:eastAsia="Times New Roman" w:hAnsi="Arial" w:cs="Arial"/>
                <w:sz w:val="24"/>
                <w:szCs w:val="24"/>
              </w:rPr>
              <w:t xml:space="preserve">Discussions also took place in relation to the </w:t>
            </w:r>
            <w:proofErr w:type="gramStart"/>
            <w:r>
              <w:rPr>
                <w:rFonts w:ascii="Arial" w:eastAsia="Times New Roman" w:hAnsi="Arial" w:cs="Arial"/>
                <w:sz w:val="24"/>
                <w:szCs w:val="24"/>
              </w:rPr>
              <w:t>pensions</w:t>
            </w:r>
            <w:proofErr w:type="gramEnd"/>
            <w:r>
              <w:rPr>
                <w:rFonts w:ascii="Arial" w:eastAsia="Times New Roman" w:hAnsi="Arial" w:cs="Arial"/>
                <w:sz w:val="24"/>
                <w:szCs w:val="24"/>
              </w:rPr>
              <w:t xml:space="preserve"> delegations.  It was confirmed that the following paragraph, which had been under delegations to the Assistant Chief Officer, Resources and had been transferred to the Assistant Chief Constable (Organisation), would need to be re-allocated to the Deputy Chief Constable.</w:t>
            </w:r>
          </w:p>
          <w:p w14:paraId="7B93B1B4" w14:textId="77777777" w:rsidR="00800542" w:rsidRDefault="00800542" w:rsidP="00227BE8">
            <w:pPr>
              <w:spacing w:after="0"/>
              <w:jc w:val="both"/>
              <w:rPr>
                <w:rFonts w:ascii="Arial" w:eastAsia="Times New Roman" w:hAnsi="Arial" w:cs="Arial"/>
                <w:sz w:val="24"/>
                <w:szCs w:val="24"/>
              </w:rPr>
            </w:pPr>
          </w:p>
          <w:p w14:paraId="49C589E2" w14:textId="31BCB269" w:rsidR="00D90148" w:rsidRDefault="00D90148" w:rsidP="00227BE8">
            <w:pPr>
              <w:spacing w:after="0"/>
              <w:jc w:val="both"/>
              <w:rPr>
                <w:rFonts w:ascii="Arial" w:hAnsi="Arial" w:cs="Arial"/>
                <w:sz w:val="24"/>
                <w:szCs w:val="24"/>
              </w:rPr>
            </w:pPr>
            <w:r>
              <w:rPr>
                <w:rFonts w:ascii="Arial" w:hAnsi="Arial" w:cs="Arial"/>
                <w:sz w:val="24"/>
                <w:szCs w:val="24"/>
              </w:rPr>
              <w:t>“</w:t>
            </w:r>
            <w:r w:rsidRPr="00D90148">
              <w:rPr>
                <w:rFonts w:ascii="Arial" w:hAnsi="Arial" w:cs="Arial"/>
                <w:sz w:val="24"/>
                <w:szCs w:val="24"/>
              </w:rPr>
              <w:t>To recommend to the Chief Constable the retirement of police staff on the grounds of ill health and the payment of ordinary and ill health pensions and other payments, as appropriate following advice from a medical practitioner and in consultation with the CFO(CC)</w:t>
            </w:r>
            <w:r>
              <w:rPr>
                <w:rFonts w:ascii="Arial" w:hAnsi="Arial" w:cs="Arial"/>
                <w:sz w:val="24"/>
                <w:szCs w:val="24"/>
              </w:rPr>
              <w:t>”.</w:t>
            </w:r>
          </w:p>
          <w:p w14:paraId="627EFBEA" w14:textId="77777777" w:rsidR="00D90148" w:rsidRDefault="00D90148" w:rsidP="00227BE8">
            <w:pPr>
              <w:spacing w:after="0"/>
              <w:jc w:val="both"/>
              <w:rPr>
                <w:rFonts w:ascii="Arial" w:hAnsi="Arial" w:cs="Arial"/>
                <w:sz w:val="24"/>
                <w:szCs w:val="24"/>
              </w:rPr>
            </w:pPr>
          </w:p>
          <w:p w14:paraId="771ED447" w14:textId="09221172" w:rsidR="00D90148" w:rsidRPr="00041F9A" w:rsidRDefault="00D90148" w:rsidP="00227BE8">
            <w:pPr>
              <w:spacing w:after="0"/>
              <w:jc w:val="both"/>
              <w:rPr>
                <w:rFonts w:ascii="Arial" w:hAnsi="Arial" w:cs="Arial"/>
                <w:sz w:val="24"/>
                <w:szCs w:val="24"/>
              </w:rPr>
            </w:pPr>
            <w:r>
              <w:rPr>
                <w:rFonts w:ascii="Arial" w:hAnsi="Arial" w:cs="Arial"/>
                <w:sz w:val="24"/>
                <w:szCs w:val="24"/>
              </w:rPr>
              <w:t xml:space="preserve">The appendix detailing the changes has been updated to reflect the </w:t>
            </w:r>
            <w:proofErr w:type="gramStart"/>
            <w:r>
              <w:rPr>
                <w:rFonts w:ascii="Arial" w:hAnsi="Arial" w:cs="Arial"/>
                <w:sz w:val="24"/>
                <w:szCs w:val="24"/>
              </w:rPr>
              <w:t>above</w:t>
            </w:r>
            <w:r w:rsidR="00800542">
              <w:rPr>
                <w:rFonts w:ascii="Arial" w:hAnsi="Arial" w:cs="Arial"/>
                <w:sz w:val="24"/>
                <w:szCs w:val="24"/>
              </w:rPr>
              <w:t xml:space="preserve"> </w:t>
            </w:r>
            <w:r>
              <w:rPr>
                <w:rFonts w:ascii="Arial" w:hAnsi="Arial" w:cs="Arial"/>
                <w:sz w:val="24"/>
                <w:szCs w:val="24"/>
              </w:rPr>
              <w:t>mentioned</w:t>
            </w:r>
            <w:proofErr w:type="gramEnd"/>
            <w:r>
              <w:rPr>
                <w:rFonts w:ascii="Arial" w:hAnsi="Arial" w:cs="Arial"/>
                <w:sz w:val="24"/>
                <w:szCs w:val="24"/>
              </w:rPr>
              <w:t xml:space="preserve"> changes.</w:t>
            </w:r>
          </w:p>
          <w:p w14:paraId="033FE4ED" w14:textId="453E1BD5" w:rsidR="001532C7" w:rsidRPr="00041F9A" w:rsidRDefault="001532C7" w:rsidP="00227BE8">
            <w:pPr>
              <w:spacing w:after="0"/>
              <w:jc w:val="both"/>
              <w:rPr>
                <w:rFonts w:ascii="Arial" w:hAnsi="Arial" w:cs="Arial"/>
                <w:sz w:val="24"/>
                <w:szCs w:val="24"/>
                <w:highlight w:val="yellow"/>
              </w:rPr>
            </w:pPr>
          </w:p>
          <w:p w14:paraId="0E618ADB" w14:textId="6B10E83F" w:rsidR="00BC06CB" w:rsidRPr="00041F9A" w:rsidRDefault="001532C7" w:rsidP="00D91D7B">
            <w:pPr>
              <w:spacing w:after="0"/>
              <w:jc w:val="both"/>
              <w:rPr>
                <w:rFonts w:ascii="Arial" w:hAnsi="Arial" w:cs="Arial"/>
                <w:sz w:val="24"/>
                <w:szCs w:val="24"/>
              </w:rPr>
            </w:pPr>
            <w:r w:rsidRPr="00041F9A">
              <w:rPr>
                <w:rFonts w:ascii="Arial" w:hAnsi="Arial" w:cs="Arial"/>
                <w:sz w:val="24"/>
                <w:szCs w:val="24"/>
              </w:rPr>
              <w:t>A</w:t>
            </w:r>
            <w:r w:rsidR="00BC06CB" w:rsidRPr="00041F9A">
              <w:rPr>
                <w:rFonts w:ascii="Arial" w:hAnsi="Arial" w:cs="Arial"/>
                <w:sz w:val="24"/>
                <w:szCs w:val="24"/>
              </w:rPr>
              <w:t xml:space="preserve">s part of the </w:t>
            </w:r>
            <w:proofErr w:type="spellStart"/>
            <w:r w:rsidR="00BC06CB" w:rsidRPr="00041F9A">
              <w:rPr>
                <w:rFonts w:ascii="Arial" w:hAnsi="Arial" w:cs="Arial"/>
                <w:sz w:val="24"/>
                <w:szCs w:val="24"/>
              </w:rPr>
              <w:t>MoCG</w:t>
            </w:r>
            <w:proofErr w:type="spellEnd"/>
            <w:r w:rsidR="00BC06CB" w:rsidRPr="00041F9A">
              <w:rPr>
                <w:rFonts w:ascii="Arial" w:hAnsi="Arial" w:cs="Arial"/>
                <w:sz w:val="24"/>
                <w:szCs w:val="24"/>
              </w:rPr>
              <w:t xml:space="preserve"> review, the</w:t>
            </w:r>
            <w:r w:rsidR="00E474D6" w:rsidRPr="00041F9A">
              <w:rPr>
                <w:rFonts w:ascii="Arial" w:hAnsi="Arial" w:cs="Arial"/>
                <w:sz w:val="24"/>
                <w:szCs w:val="24"/>
              </w:rPr>
              <w:t xml:space="preserve"> </w:t>
            </w:r>
            <w:r w:rsidR="00BC06CB" w:rsidRPr="00041F9A">
              <w:rPr>
                <w:rFonts w:ascii="Arial" w:hAnsi="Arial" w:cs="Arial"/>
                <w:sz w:val="24"/>
                <w:szCs w:val="24"/>
              </w:rPr>
              <w:t>JAC T</w:t>
            </w:r>
            <w:r w:rsidR="00E474D6" w:rsidRPr="00041F9A">
              <w:rPr>
                <w:rFonts w:ascii="Arial" w:hAnsi="Arial" w:cs="Arial"/>
                <w:sz w:val="24"/>
                <w:szCs w:val="24"/>
              </w:rPr>
              <w:t xml:space="preserve">erms </w:t>
            </w:r>
            <w:r w:rsidR="00BC06CB" w:rsidRPr="00041F9A">
              <w:rPr>
                <w:rFonts w:ascii="Arial" w:hAnsi="Arial" w:cs="Arial"/>
                <w:sz w:val="24"/>
                <w:szCs w:val="24"/>
              </w:rPr>
              <w:t>o</w:t>
            </w:r>
            <w:r w:rsidR="00E474D6" w:rsidRPr="00041F9A">
              <w:rPr>
                <w:rFonts w:ascii="Arial" w:hAnsi="Arial" w:cs="Arial"/>
                <w:sz w:val="24"/>
                <w:szCs w:val="24"/>
              </w:rPr>
              <w:t xml:space="preserve">f </w:t>
            </w:r>
            <w:r w:rsidR="00BC06CB" w:rsidRPr="00041F9A">
              <w:rPr>
                <w:rFonts w:ascii="Arial" w:hAnsi="Arial" w:cs="Arial"/>
                <w:sz w:val="24"/>
                <w:szCs w:val="24"/>
              </w:rPr>
              <w:t>R</w:t>
            </w:r>
            <w:r w:rsidR="00E474D6" w:rsidRPr="00041F9A">
              <w:rPr>
                <w:rFonts w:ascii="Arial" w:hAnsi="Arial" w:cs="Arial"/>
                <w:sz w:val="24"/>
                <w:szCs w:val="24"/>
              </w:rPr>
              <w:t>eference (</w:t>
            </w:r>
            <w:proofErr w:type="spellStart"/>
            <w:r w:rsidR="00E474D6" w:rsidRPr="00041F9A">
              <w:rPr>
                <w:rFonts w:ascii="Arial" w:hAnsi="Arial" w:cs="Arial"/>
                <w:sz w:val="24"/>
                <w:szCs w:val="24"/>
              </w:rPr>
              <w:t>ToR</w:t>
            </w:r>
            <w:proofErr w:type="spellEnd"/>
            <w:r w:rsidR="00E474D6" w:rsidRPr="00041F9A">
              <w:rPr>
                <w:rFonts w:ascii="Arial" w:hAnsi="Arial" w:cs="Arial"/>
                <w:sz w:val="24"/>
                <w:szCs w:val="24"/>
              </w:rPr>
              <w:t>)</w:t>
            </w:r>
            <w:r w:rsidR="00BC06CB" w:rsidRPr="00041F9A">
              <w:rPr>
                <w:rFonts w:ascii="Arial" w:hAnsi="Arial" w:cs="Arial"/>
                <w:sz w:val="24"/>
                <w:szCs w:val="24"/>
              </w:rPr>
              <w:t xml:space="preserve"> are also</w:t>
            </w:r>
            <w:r w:rsidR="00041F9A" w:rsidRPr="00041F9A">
              <w:rPr>
                <w:rFonts w:ascii="Arial" w:hAnsi="Arial" w:cs="Arial"/>
                <w:sz w:val="24"/>
                <w:szCs w:val="24"/>
              </w:rPr>
              <w:t xml:space="preserve"> usually</w:t>
            </w:r>
            <w:r w:rsidR="00BC06CB" w:rsidRPr="00041F9A">
              <w:rPr>
                <w:rFonts w:ascii="Arial" w:hAnsi="Arial" w:cs="Arial"/>
                <w:sz w:val="24"/>
                <w:szCs w:val="24"/>
              </w:rPr>
              <w:t xml:space="preserve"> reviewed.  </w:t>
            </w:r>
            <w:r w:rsidR="00041F9A" w:rsidRPr="00041F9A">
              <w:rPr>
                <w:rFonts w:ascii="Arial" w:hAnsi="Arial" w:cs="Arial"/>
                <w:sz w:val="24"/>
                <w:szCs w:val="24"/>
              </w:rPr>
              <w:t xml:space="preserve">This review is the subject of a separate report to the JAC as it is proposed that all </w:t>
            </w:r>
            <w:proofErr w:type="spellStart"/>
            <w:r w:rsidR="00041F9A" w:rsidRPr="00041F9A">
              <w:rPr>
                <w:rFonts w:ascii="Arial" w:hAnsi="Arial" w:cs="Arial"/>
                <w:sz w:val="24"/>
                <w:szCs w:val="24"/>
              </w:rPr>
              <w:t>ToRs</w:t>
            </w:r>
            <w:proofErr w:type="spellEnd"/>
            <w:r w:rsidR="00041F9A" w:rsidRPr="00041F9A">
              <w:rPr>
                <w:rFonts w:ascii="Arial" w:hAnsi="Arial" w:cs="Arial"/>
                <w:sz w:val="24"/>
                <w:szCs w:val="24"/>
              </w:rPr>
              <w:t xml:space="preserve"> are removed from the </w:t>
            </w:r>
            <w:proofErr w:type="spellStart"/>
            <w:r w:rsidR="00041F9A" w:rsidRPr="00041F9A">
              <w:rPr>
                <w:rFonts w:ascii="Arial" w:hAnsi="Arial" w:cs="Arial"/>
                <w:sz w:val="24"/>
                <w:szCs w:val="24"/>
              </w:rPr>
              <w:t>MoCG</w:t>
            </w:r>
            <w:proofErr w:type="spellEnd"/>
            <w:r w:rsidR="00041F9A" w:rsidRPr="00041F9A">
              <w:rPr>
                <w:rFonts w:ascii="Arial" w:hAnsi="Arial" w:cs="Arial"/>
                <w:sz w:val="24"/>
                <w:szCs w:val="24"/>
              </w:rPr>
              <w:t xml:space="preserve"> going forward. </w:t>
            </w:r>
          </w:p>
          <w:p w14:paraId="7E2C08B1" w14:textId="08569A32" w:rsidR="00BC06CB" w:rsidRDefault="00BC06CB" w:rsidP="00D91D7B">
            <w:pPr>
              <w:spacing w:after="0"/>
              <w:jc w:val="both"/>
              <w:rPr>
                <w:rFonts w:ascii="Arial" w:hAnsi="Arial" w:cs="Arial"/>
                <w:sz w:val="24"/>
                <w:szCs w:val="24"/>
                <w:highlight w:val="yellow"/>
              </w:rPr>
            </w:pPr>
          </w:p>
          <w:p w14:paraId="4098425C" w14:textId="765EBAEF" w:rsidR="008B428F" w:rsidRPr="008B428F" w:rsidRDefault="008B428F" w:rsidP="00D91D7B">
            <w:pPr>
              <w:spacing w:after="0"/>
              <w:jc w:val="both"/>
              <w:rPr>
                <w:rFonts w:ascii="Arial" w:hAnsi="Arial" w:cs="Arial"/>
                <w:sz w:val="24"/>
                <w:szCs w:val="24"/>
              </w:rPr>
            </w:pPr>
            <w:r w:rsidRPr="008B428F">
              <w:rPr>
                <w:rFonts w:ascii="Arial" w:hAnsi="Arial" w:cs="Arial"/>
                <w:sz w:val="24"/>
                <w:szCs w:val="24"/>
              </w:rPr>
              <w:t xml:space="preserve">Work has been undertaken nationally to produce a </w:t>
            </w:r>
            <w:proofErr w:type="spellStart"/>
            <w:r w:rsidRPr="008B428F">
              <w:rPr>
                <w:rFonts w:ascii="Arial" w:hAnsi="Arial" w:cs="Arial"/>
                <w:sz w:val="24"/>
                <w:szCs w:val="24"/>
              </w:rPr>
              <w:t>MoCG</w:t>
            </w:r>
            <w:proofErr w:type="spellEnd"/>
            <w:r w:rsidRPr="008B428F">
              <w:rPr>
                <w:rFonts w:ascii="Arial" w:hAnsi="Arial" w:cs="Arial"/>
                <w:sz w:val="24"/>
                <w:szCs w:val="24"/>
              </w:rPr>
              <w:t xml:space="preserve"> template.  This is at the final draft stage therefore certain changes have been adopted in this review.  A further review will take place when the final template has been approved.</w:t>
            </w:r>
          </w:p>
          <w:p w14:paraId="697C10DE" w14:textId="77777777" w:rsidR="00F2037D" w:rsidRDefault="00F2037D" w:rsidP="00D91D7B">
            <w:pPr>
              <w:spacing w:after="0"/>
              <w:jc w:val="both"/>
              <w:rPr>
                <w:rFonts w:ascii="Arial" w:hAnsi="Arial" w:cs="Arial"/>
                <w:sz w:val="24"/>
                <w:szCs w:val="24"/>
                <w:highlight w:val="yellow"/>
              </w:rPr>
            </w:pPr>
          </w:p>
          <w:p w14:paraId="618F7CB9" w14:textId="05104EE7" w:rsidR="00227BE8" w:rsidRPr="00326A5A" w:rsidRDefault="00326A5A" w:rsidP="00350E0B">
            <w:pPr>
              <w:spacing w:after="0"/>
              <w:jc w:val="both"/>
              <w:rPr>
                <w:rFonts w:ascii="Arial" w:hAnsi="Arial" w:cs="Arial"/>
                <w:sz w:val="24"/>
                <w:szCs w:val="24"/>
              </w:rPr>
            </w:pPr>
            <w:r w:rsidRPr="00326A5A">
              <w:rPr>
                <w:rFonts w:ascii="Arial" w:hAnsi="Arial" w:cs="Arial"/>
                <w:sz w:val="24"/>
                <w:szCs w:val="24"/>
              </w:rPr>
              <w:t xml:space="preserve">All numbering of paragraphs within the </w:t>
            </w:r>
            <w:proofErr w:type="spellStart"/>
            <w:r w:rsidRPr="00326A5A">
              <w:rPr>
                <w:rFonts w:ascii="Arial" w:hAnsi="Arial" w:cs="Arial"/>
                <w:sz w:val="24"/>
                <w:szCs w:val="24"/>
              </w:rPr>
              <w:t>MoCG</w:t>
            </w:r>
            <w:proofErr w:type="spellEnd"/>
            <w:r w:rsidRPr="00326A5A">
              <w:rPr>
                <w:rFonts w:ascii="Arial" w:hAnsi="Arial" w:cs="Arial"/>
                <w:sz w:val="24"/>
                <w:szCs w:val="24"/>
              </w:rPr>
              <w:t xml:space="preserve"> will be amended to ensure they flow correctly when the changes have been approved.  The contents page will also be reviewed.</w:t>
            </w:r>
          </w:p>
          <w:p w14:paraId="1EBE9BDF" w14:textId="5DAFA6CB" w:rsidR="00926970" w:rsidRPr="00041F9A" w:rsidRDefault="00926970" w:rsidP="00350E0B">
            <w:pPr>
              <w:spacing w:after="0"/>
              <w:jc w:val="both"/>
              <w:rPr>
                <w:rFonts w:ascii="Arial" w:hAnsi="Arial" w:cs="Arial"/>
                <w:sz w:val="24"/>
                <w:szCs w:val="24"/>
                <w:highlight w:val="yellow"/>
              </w:rPr>
            </w:pPr>
          </w:p>
        </w:tc>
      </w:tr>
      <w:tr w:rsidR="00B913D2" w:rsidRPr="00A553B7" w14:paraId="4D431FD9" w14:textId="77777777" w:rsidTr="005D4534">
        <w:tc>
          <w:tcPr>
            <w:tcW w:w="748" w:type="dxa"/>
            <w:shd w:val="clear" w:color="auto" w:fill="auto"/>
          </w:tcPr>
          <w:p w14:paraId="560BF354" w14:textId="77777777" w:rsidR="00B913D2" w:rsidRPr="00A553B7" w:rsidRDefault="005C173F" w:rsidP="00055BFA">
            <w:pPr>
              <w:spacing w:after="0"/>
              <w:rPr>
                <w:rFonts w:ascii="Arial" w:hAnsi="Arial" w:cs="Arial"/>
                <w:b/>
                <w:sz w:val="24"/>
                <w:szCs w:val="24"/>
              </w:rPr>
            </w:pPr>
            <w:r w:rsidRPr="00A553B7">
              <w:rPr>
                <w:rFonts w:ascii="Arial" w:hAnsi="Arial" w:cs="Arial"/>
                <w:b/>
                <w:sz w:val="24"/>
                <w:szCs w:val="24"/>
              </w:rPr>
              <w:lastRenderedPageBreak/>
              <w:t>4</w:t>
            </w:r>
            <w:r w:rsidR="00B913D2" w:rsidRPr="00A553B7">
              <w:rPr>
                <w:rFonts w:ascii="Arial" w:hAnsi="Arial" w:cs="Arial"/>
                <w:b/>
                <w:sz w:val="24"/>
                <w:szCs w:val="24"/>
              </w:rPr>
              <w:t>.</w:t>
            </w:r>
          </w:p>
          <w:p w14:paraId="2382C72B" w14:textId="77777777" w:rsidR="003B3A67" w:rsidRPr="00A553B7" w:rsidRDefault="003B3A67" w:rsidP="00055BFA">
            <w:pPr>
              <w:spacing w:after="0"/>
              <w:rPr>
                <w:rFonts w:ascii="Arial" w:hAnsi="Arial" w:cs="Arial"/>
                <w:sz w:val="24"/>
                <w:szCs w:val="24"/>
              </w:rPr>
            </w:pPr>
            <w:r w:rsidRPr="00A553B7">
              <w:rPr>
                <w:rFonts w:ascii="Arial" w:hAnsi="Arial" w:cs="Arial"/>
                <w:sz w:val="24"/>
                <w:szCs w:val="24"/>
              </w:rPr>
              <w:t>4.1</w:t>
            </w:r>
          </w:p>
        </w:tc>
        <w:tc>
          <w:tcPr>
            <w:tcW w:w="8312" w:type="dxa"/>
            <w:shd w:val="clear" w:color="auto" w:fill="auto"/>
          </w:tcPr>
          <w:p w14:paraId="6B1F7471" w14:textId="77777777" w:rsidR="00B913D2" w:rsidRPr="00A553B7" w:rsidRDefault="00B913D2" w:rsidP="009E19DB">
            <w:pPr>
              <w:spacing w:after="0"/>
              <w:jc w:val="both"/>
              <w:rPr>
                <w:rFonts w:ascii="Arial" w:hAnsi="Arial" w:cs="Arial"/>
                <w:b/>
                <w:sz w:val="24"/>
                <w:szCs w:val="24"/>
                <w:u w:val="single"/>
              </w:rPr>
            </w:pPr>
            <w:r w:rsidRPr="00A553B7">
              <w:rPr>
                <w:rFonts w:ascii="Arial" w:hAnsi="Arial" w:cs="Arial"/>
                <w:b/>
                <w:sz w:val="24"/>
                <w:szCs w:val="24"/>
                <w:u w:val="single"/>
              </w:rPr>
              <w:t>NEXT STEPS</w:t>
            </w:r>
          </w:p>
          <w:p w14:paraId="30C2F941" w14:textId="7B0405C5" w:rsidR="00604FBA" w:rsidRDefault="00796C82" w:rsidP="00604FBA">
            <w:pPr>
              <w:spacing w:after="0"/>
              <w:jc w:val="both"/>
              <w:rPr>
                <w:rFonts w:ascii="Arial" w:hAnsi="Arial" w:cs="Arial"/>
                <w:sz w:val="24"/>
                <w:szCs w:val="24"/>
              </w:rPr>
            </w:pPr>
            <w:r>
              <w:rPr>
                <w:rFonts w:ascii="Arial" w:hAnsi="Arial" w:cs="Arial"/>
                <w:sz w:val="24"/>
                <w:szCs w:val="24"/>
              </w:rPr>
              <w:t>Once</w:t>
            </w:r>
            <w:r w:rsidR="00604FBA" w:rsidRPr="00617F12">
              <w:rPr>
                <w:rFonts w:ascii="Arial" w:hAnsi="Arial" w:cs="Arial"/>
                <w:sz w:val="24"/>
                <w:szCs w:val="24"/>
              </w:rPr>
              <w:t xml:space="preserve"> </w:t>
            </w:r>
            <w:r w:rsidR="00041F9A">
              <w:rPr>
                <w:rFonts w:ascii="Arial" w:hAnsi="Arial" w:cs="Arial"/>
                <w:sz w:val="24"/>
                <w:szCs w:val="24"/>
              </w:rPr>
              <w:t>the final document has been approved,</w:t>
            </w:r>
            <w:r w:rsidR="00604FBA" w:rsidRPr="00617F12">
              <w:rPr>
                <w:rFonts w:ascii="Arial" w:hAnsi="Arial" w:cs="Arial"/>
                <w:sz w:val="24"/>
                <w:szCs w:val="24"/>
              </w:rPr>
              <w:t xml:space="preserve"> the</w:t>
            </w:r>
            <w:r w:rsidR="00604FBA">
              <w:rPr>
                <w:rFonts w:ascii="Arial" w:hAnsi="Arial" w:cs="Arial"/>
                <w:sz w:val="24"/>
                <w:szCs w:val="24"/>
              </w:rPr>
              <w:t xml:space="preserve"> </w:t>
            </w:r>
            <w:proofErr w:type="spellStart"/>
            <w:r w:rsidR="00604FBA" w:rsidRPr="00617F12">
              <w:rPr>
                <w:rFonts w:ascii="Arial" w:hAnsi="Arial" w:cs="Arial"/>
                <w:sz w:val="24"/>
                <w:szCs w:val="24"/>
              </w:rPr>
              <w:t>MoCG</w:t>
            </w:r>
            <w:proofErr w:type="spellEnd"/>
            <w:r w:rsidR="00604FBA" w:rsidRPr="00617F12">
              <w:rPr>
                <w:rFonts w:ascii="Arial" w:hAnsi="Arial" w:cs="Arial"/>
                <w:sz w:val="24"/>
                <w:szCs w:val="24"/>
              </w:rPr>
              <w:t xml:space="preserve"> will be</w:t>
            </w:r>
            <w:r w:rsidR="00604FBA">
              <w:rPr>
                <w:rFonts w:ascii="Arial" w:hAnsi="Arial" w:cs="Arial"/>
                <w:sz w:val="24"/>
                <w:szCs w:val="24"/>
              </w:rPr>
              <w:t xml:space="preserve"> amended</w:t>
            </w:r>
            <w:r w:rsidR="005D4534">
              <w:rPr>
                <w:rFonts w:ascii="Arial" w:hAnsi="Arial" w:cs="Arial"/>
                <w:sz w:val="24"/>
                <w:szCs w:val="24"/>
              </w:rPr>
              <w:t xml:space="preserve"> in both English and Welsh</w:t>
            </w:r>
            <w:r w:rsidR="00604FBA">
              <w:rPr>
                <w:rFonts w:ascii="Arial" w:hAnsi="Arial" w:cs="Arial"/>
                <w:sz w:val="24"/>
                <w:szCs w:val="24"/>
              </w:rPr>
              <w:t>, circulated to relevant officers and</w:t>
            </w:r>
            <w:r w:rsidR="00604FBA" w:rsidRPr="00617F12">
              <w:rPr>
                <w:rFonts w:ascii="Arial" w:hAnsi="Arial" w:cs="Arial"/>
                <w:sz w:val="24"/>
                <w:szCs w:val="24"/>
              </w:rPr>
              <w:t xml:space="preserve"> published to the </w:t>
            </w:r>
            <w:r w:rsidR="00604FBA">
              <w:rPr>
                <w:rFonts w:ascii="Arial" w:hAnsi="Arial" w:cs="Arial"/>
                <w:sz w:val="24"/>
                <w:szCs w:val="24"/>
              </w:rPr>
              <w:t>OPCC</w:t>
            </w:r>
            <w:r>
              <w:rPr>
                <w:rFonts w:ascii="Arial" w:hAnsi="Arial" w:cs="Arial"/>
                <w:sz w:val="24"/>
                <w:szCs w:val="24"/>
              </w:rPr>
              <w:t>’</w:t>
            </w:r>
            <w:r w:rsidR="00604FBA">
              <w:rPr>
                <w:rFonts w:ascii="Arial" w:hAnsi="Arial" w:cs="Arial"/>
                <w:sz w:val="24"/>
                <w:szCs w:val="24"/>
              </w:rPr>
              <w:t xml:space="preserve">s </w:t>
            </w:r>
            <w:r w:rsidR="00604FBA" w:rsidRPr="00617F12">
              <w:rPr>
                <w:rFonts w:ascii="Arial" w:hAnsi="Arial" w:cs="Arial"/>
                <w:sz w:val="24"/>
                <w:szCs w:val="24"/>
              </w:rPr>
              <w:t>website.</w:t>
            </w:r>
          </w:p>
          <w:p w14:paraId="42E10329" w14:textId="77777777" w:rsidR="003B3A67" w:rsidRPr="00A553B7" w:rsidRDefault="003B3A67" w:rsidP="00282A95">
            <w:pPr>
              <w:spacing w:after="0"/>
              <w:jc w:val="both"/>
              <w:rPr>
                <w:rFonts w:ascii="Arial" w:hAnsi="Arial" w:cs="Arial"/>
                <w:sz w:val="24"/>
                <w:szCs w:val="24"/>
              </w:rPr>
            </w:pPr>
          </w:p>
        </w:tc>
      </w:tr>
      <w:tr w:rsidR="00D26302" w:rsidRPr="00A553B7" w14:paraId="4D8AA122" w14:textId="77777777" w:rsidTr="005D4534">
        <w:tc>
          <w:tcPr>
            <w:tcW w:w="748" w:type="dxa"/>
            <w:shd w:val="clear" w:color="auto" w:fill="auto"/>
          </w:tcPr>
          <w:p w14:paraId="3BA63C75" w14:textId="77777777" w:rsidR="00D26302" w:rsidRDefault="005C173F" w:rsidP="00055BFA">
            <w:pPr>
              <w:spacing w:after="0"/>
              <w:rPr>
                <w:rFonts w:ascii="Arial" w:hAnsi="Arial" w:cs="Arial"/>
                <w:b/>
                <w:sz w:val="24"/>
                <w:szCs w:val="24"/>
              </w:rPr>
            </w:pPr>
            <w:r w:rsidRPr="00A553B7">
              <w:rPr>
                <w:rFonts w:ascii="Arial" w:hAnsi="Arial" w:cs="Arial"/>
                <w:b/>
                <w:sz w:val="24"/>
                <w:szCs w:val="24"/>
              </w:rPr>
              <w:t>5</w:t>
            </w:r>
            <w:r w:rsidR="00F8795E" w:rsidRPr="00A553B7">
              <w:rPr>
                <w:rFonts w:ascii="Arial" w:hAnsi="Arial" w:cs="Arial"/>
                <w:b/>
                <w:sz w:val="24"/>
                <w:szCs w:val="24"/>
              </w:rPr>
              <w:t>.</w:t>
            </w:r>
          </w:p>
          <w:p w14:paraId="736A2A72" w14:textId="77777777" w:rsidR="00796C82" w:rsidRPr="00796C82" w:rsidRDefault="00796C82" w:rsidP="00055BFA">
            <w:pPr>
              <w:spacing w:after="0"/>
              <w:rPr>
                <w:rFonts w:ascii="Arial" w:hAnsi="Arial" w:cs="Arial"/>
                <w:bCs/>
                <w:sz w:val="24"/>
                <w:szCs w:val="24"/>
              </w:rPr>
            </w:pPr>
            <w:r>
              <w:rPr>
                <w:rFonts w:ascii="Arial" w:hAnsi="Arial" w:cs="Arial"/>
                <w:bCs/>
                <w:sz w:val="24"/>
                <w:szCs w:val="24"/>
              </w:rPr>
              <w:t>5.1</w:t>
            </w:r>
          </w:p>
        </w:tc>
        <w:tc>
          <w:tcPr>
            <w:tcW w:w="8312" w:type="dxa"/>
            <w:shd w:val="clear" w:color="auto" w:fill="auto"/>
          </w:tcPr>
          <w:p w14:paraId="4AEB3E5D" w14:textId="77777777" w:rsidR="00D26302" w:rsidRPr="00A553B7" w:rsidRDefault="00F8795E" w:rsidP="00055BFA">
            <w:pPr>
              <w:spacing w:after="0"/>
              <w:rPr>
                <w:rFonts w:ascii="Arial" w:hAnsi="Arial" w:cs="Arial"/>
                <w:b/>
                <w:sz w:val="24"/>
                <w:szCs w:val="24"/>
                <w:u w:val="single"/>
              </w:rPr>
            </w:pPr>
            <w:r w:rsidRPr="00A553B7">
              <w:rPr>
                <w:rFonts w:ascii="Arial" w:hAnsi="Arial" w:cs="Arial"/>
                <w:b/>
                <w:sz w:val="24"/>
                <w:szCs w:val="24"/>
                <w:u w:val="single"/>
              </w:rPr>
              <w:t>FINANCIAL CONSIDERATIONS</w:t>
            </w:r>
          </w:p>
          <w:p w14:paraId="3DC465CE" w14:textId="77777777" w:rsidR="00F8795E" w:rsidRDefault="00B3484A" w:rsidP="00737D64">
            <w:pPr>
              <w:spacing w:after="0"/>
              <w:rPr>
                <w:rFonts w:ascii="Arial" w:hAnsi="Arial" w:cs="Arial"/>
                <w:sz w:val="24"/>
                <w:szCs w:val="24"/>
              </w:rPr>
            </w:pPr>
            <w:r w:rsidRPr="00A553B7">
              <w:rPr>
                <w:rFonts w:ascii="Arial" w:hAnsi="Arial" w:cs="Arial"/>
                <w:sz w:val="24"/>
                <w:szCs w:val="24"/>
              </w:rPr>
              <w:t xml:space="preserve">There are no financial considerations </w:t>
            </w:r>
            <w:proofErr w:type="gramStart"/>
            <w:r w:rsidRPr="00A553B7">
              <w:rPr>
                <w:rFonts w:ascii="Arial" w:hAnsi="Arial" w:cs="Arial"/>
                <w:sz w:val="24"/>
                <w:szCs w:val="24"/>
              </w:rPr>
              <w:t>as a result of</w:t>
            </w:r>
            <w:proofErr w:type="gramEnd"/>
            <w:r w:rsidRPr="00A553B7">
              <w:rPr>
                <w:rFonts w:ascii="Arial" w:hAnsi="Arial" w:cs="Arial"/>
                <w:sz w:val="24"/>
                <w:szCs w:val="24"/>
              </w:rPr>
              <w:t xml:space="preserve"> this report.</w:t>
            </w:r>
          </w:p>
          <w:p w14:paraId="32825884" w14:textId="637DC614" w:rsidR="00287A7F" w:rsidRPr="00A553B7" w:rsidRDefault="00287A7F" w:rsidP="00737D64">
            <w:pPr>
              <w:spacing w:after="0"/>
              <w:rPr>
                <w:rFonts w:ascii="Arial" w:hAnsi="Arial" w:cs="Arial"/>
                <w:sz w:val="24"/>
                <w:szCs w:val="24"/>
              </w:rPr>
            </w:pPr>
          </w:p>
        </w:tc>
      </w:tr>
      <w:tr w:rsidR="00F8795E" w:rsidRPr="00A553B7" w14:paraId="39C2C683" w14:textId="77777777" w:rsidTr="005D4534">
        <w:tc>
          <w:tcPr>
            <w:tcW w:w="748" w:type="dxa"/>
            <w:shd w:val="clear" w:color="auto" w:fill="auto"/>
          </w:tcPr>
          <w:p w14:paraId="5A5485BE" w14:textId="77777777" w:rsidR="00F8795E" w:rsidRDefault="005C173F" w:rsidP="00055BFA">
            <w:pPr>
              <w:spacing w:after="0"/>
              <w:rPr>
                <w:rFonts w:ascii="Arial" w:hAnsi="Arial" w:cs="Arial"/>
                <w:b/>
                <w:sz w:val="24"/>
                <w:szCs w:val="24"/>
              </w:rPr>
            </w:pPr>
            <w:r w:rsidRPr="00A553B7">
              <w:rPr>
                <w:rFonts w:ascii="Arial" w:hAnsi="Arial" w:cs="Arial"/>
                <w:b/>
                <w:sz w:val="24"/>
                <w:szCs w:val="24"/>
              </w:rPr>
              <w:t>6</w:t>
            </w:r>
            <w:r w:rsidR="00F8795E" w:rsidRPr="00A553B7">
              <w:rPr>
                <w:rFonts w:ascii="Arial" w:hAnsi="Arial" w:cs="Arial"/>
                <w:b/>
                <w:sz w:val="24"/>
                <w:szCs w:val="24"/>
              </w:rPr>
              <w:t>.</w:t>
            </w:r>
          </w:p>
          <w:p w14:paraId="779BB58B" w14:textId="77777777" w:rsidR="00796C82" w:rsidRPr="00796C82" w:rsidRDefault="00796C82" w:rsidP="00055BFA">
            <w:pPr>
              <w:spacing w:after="0"/>
              <w:rPr>
                <w:rFonts w:ascii="Arial" w:hAnsi="Arial" w:cs="Arial"/>
                <w:bCs/>
                <w:sz w:val="24"/>
                <w:szCs w:val="24"/>
              </w:rPr>
            </w:pPr>
            <w:r>
              <w:rPr>
                <w:rFonts w:ascii="Arial" w:hAnsi="Arial" w:cs="Arial"/>
                <w:bCs/>
                <w:sz w:val="24"/>
                <w:szCs w:val="24"/>
              </w:rPr>
              <w:t>6.1</w:t>
            </w:r>
          </w:p>
        </w:tc>
        <w:tc>
          <w:tcPr>
            <w:tcW w:w="8312" w:type="dxa"/>
            <w:shd w:val="clear" w:color="auto" w:fill="auto"/>
          </w:tcPr>
          <w:p w14:paraId="2B908870" w14:textId="77777777" w:rsidR="00F8795E" w:rsidRPr="00A553B7" w:rsidRDefault="00F8795E" w:rsidP="00055BFA">
            <w:pPr>
              <w:spacing w:after="0"/>
              <w:rPr>
                <w:rFonts w:ascii="Arial" w:hAnsi="Arial" w:cs="Arial"/>
                <w:b/>
                <w:sz w:val="24"/>
                <w:szCs w:val="24"/>
                <w:u w:val="single"/>
              </w:rPr>
            </w:pPr>
            <w:r w:rsidRPr="00A553B7">
              <w:rPr>
                <w:rFonts w:ascii="Arial" w:hAnsi="Arial" w:cs="Arial"/>
                <w:b/>
                <w:sz w:val="24"/>
                <w:szCs w:val="24"/>
                <w:u w:val="single"/>
              </w:rPr>
              <w:t>PERSO</w:t>
            </w:r>
            <w:r w:rsidR="00A262EF" w:rsidRPr="00A553B7">
              <w:rPr>
                <w:rFonts w:ascii="Arial" w:hAnsi="Arial" w:cs="Arial"/>
                <w:b/>
                <w:sz w:val="24"/>
                <w:szCs w:val="24"/>
                <w:u w:val="single"/>
              </w:rPr>
              <w:t>N</w:t>
            </w:r>
            <w:r w:rsidRPr="00A553B7">
              <w:rPr>
                <w:rFonts w:ascii="Arial" w:hAnsi="Arial" w:cs="Arial"/>
                <w:b/>
                <w:sz w:val="24"/>
                <w:szCs w:val="24"/>
                <w:u w:val="single"/>
              </w:rPr>
              <w:t>N</w:t>
            </w:r>
            <w:r w:rsidR="00A262EF" w:rsidRPr="00A553B7">
              <w:rPr>
                <w:rFonts w:ascii="Arial" w:hAnsi="Arial" w:cs="Arial"/>
                <w:b/>
                <w:sz w:val="24"/>
                <w:szCs w:val="24"/>
                <w:u w:val="single"/>
              </w:rPr>
              <w:t>E</w:t>
            </w:r>
            <w:r w:rsidRPr="00A553B7">
              <w:rPr>
                <w:rFonts w:ascii="Arial" w:hAnsi="Arial" w:cs="Arial"/>
                <w:b/>
                <w:sz w:val="24"/>
                <w:szCs w:val="24"/>
                <w:u w:val="single"/>
              </w:rPr>
              <w:t>L CONSIDERATION</w:t>
            </w:r>
            <w:r w:rsidR="00A262EF" w:rsidRPr="00A553B7">
              <w:rPr>
                <w:rFonts w:ascii="Arial" w:hAnsi="Arial" w:cs="Arial"/>
                <w:b/>
                <w:sz w:val="24"/>
                <w:szCs w:val="24"/>
                <w:u w:val="single"/>
              </w:rPr>
              <w:t>S</w:t>
            </w:r>
          </w:p>
          <w:p w14:paraId="62CEFCBD" w14:textId="44317FBB" w:rsidR="00350E0B" w:rsidRPr="00287A7F" w:rsidRDefault="00B3484A" w:rsidP="00737D64">
            <w:pPr>
              <w:spacing w:after="0"/>
              <w:rPr>
                <w:rFonts w:ascii="Arial" w:hAnsi="Arial" w:cs="Arial"/>
                <w:bCs/>
                <w:iCs/>
                <w:sz w:val="24"/>
                <w:szCs w:val="24"/>
              </w:rPr>
            </w:pPr>
            <w:r w:rsidRPr="00A553B7">
              <w:rPr>
                <w:rFonts w:ascii="Arial" w:hAnsi="Arial" w:cs="Arial"/>
                <w:sz w:val="24"/>
                <w:szCs w:val="24"/>
              </w:rPr>
              <w:t xml:space="preserve">There are no personnel considerations </w:t>
            </w:r>
            <w:proofErr w:type="gramStart"/>
            <w:r w:rsidRPr="00A553B7">
              <w:rPr>
                <w:rFonts w:ascii="Arial" w:hAnsi="Arial" w:cs="Arial"/>
                <w:sz w:val="24"/>
                <w:szCs w:val="24"/>
              </w:rPr>
              <w:t>as a result of</w:t>
            </w:r>
            <w:proofErr w:type="gramEnd"/>
            <w:r w:rsidRPr="00A553B7">
              <w:rPr>
                <w:rFonts w:ascii="Arial" w:hAnsi="Arial" w:cs="Arial"/>
                <w:sz w:val="24"/>
                <w:szCs w:val="24"/>
              </w:rPr>
              <w:t xml:space="preserve"> this report.</w:t>
            </w:r>
            <w:r w:rsidR="00737D64" w:rsidRPr="00A553B7">
              <w:rPr>
                <w:rFonts w:ascii="Arial" w:hAnsi="Arial" w:cs="Arial"/>
                <w:sz w:val="24"/>
                <w:szCs w:val="24"/>
              </w:rPr>
              <w:br/>
            </w:r>
          </w:p>
        </w:tc>
      </w:tr>
      <w:tr w:rsidR="00F8795E" w:rsidRPr="00A553B7" w14:paraId="7D36D4A2" w14:textId="77777777" w:rsidTr="005D4534">
        <w:tc>
          <w:tcPr>
            <w:tcW w:w="748" w:type="dxa"/>
            <w:shd w:val="clear" w:color="auto" w:fill="auto"/>
          </w:tcPr>
          <w:p w14:paraId="00465FFE" w14:textId="77777777" w:rsidR="00F8795E" w:rsidRDefault="005C173F" w:rsidP="00055BFA">
            <w:pPr>
              <w:spacing w:after="0"/>
              <w:rPr>
                <w:rFonts w:ascii="Arial" w:hAnsi="Arial" w:cs="Arial"/>
                <w:b/>
                <w:sz w:val="24"/>
                <w:szCs w:val="24"/>
              </w:rPr>
            </w:pPr>
            <w:r w:rsidRPr="00A553B7">
              <w:rPr>
                <w:rFonts w:ascii="Arial" w:hAnsi="Arial" w:cs="Arial"/>
                <w:b/>
                <w:sz w:val="24"/>
                <w:szCs w:val="24"/>
              </w:rPr>
              <w:t>7</w:t>
            </w:r>
            <w:r w:rsidR="00F8795E" w:rsidRPr="00A553B7">
              <w:rPr>
                <w:rFonts w:ascii="Arial" w:hAnsi="Arial" w:cs="Arial"/>
                <w:b/>
                <w:sz w:val="24"/>
                <w:szCs w:val="24"/>
              </w:rPr>
              <w:t>.</w:t>
            </w:r>
          </w:p>
          <w:p w14:paraId="26DD42EE" w14:textId="77777777" w:rsidR="00796C82" w:rsidRPr="00796C82" w:rsidRDefault="00796C82" w:rsidP="00055BFA">
            <w:pPr>
              <w:spacing w:after="0"/>
              <w:rPr>
                <w:rFonts w:ascii="Arial" w:hAnsi="Arial" w:cs="Arial"/>
                <w:bCs/>
                <w:sz w:val="24"/>
                <w:szCs w:val="24"/>
              </w:rPr>
            </w:pPr>
            <w:r>
              <w:rPr>
                <w:rFonts w:ascii="Arial" w:hAnsi="Arial" w:cs="Arial"/>
                <w:bCs/>
                <w:sz w:val="24"/>
                <w:szCs w:val="24"/>
              </w:rPr>
              <w:t>7.1</w:t>
            </w:r>
          </w:p>
        </w:tc>
        <w:tc>
          <w:tcPr>
            <w:tcW w:w="8312" w:type="dxa"/>
            <w:shd w:val="clear" w:color="auto" w:fill="auto"/>
          </w:tcPr>
          <w:p w14:paraId="115D6C06" w14:textId="77777777" w:rsidR="00F8795E" w:rsidRPr="00A553B7" w:rsidRDefault="00F8795E" w:rsidP="00055BFA">
            <w:pPr>
              <w:spacing w:after="0"/>
              <w:rPr>
                <w:rFonts w:ascii="Arial" w:hAnsi="Arial" w:cs="Arial"/>
                <w:b/>
                <w:sz w:val="24"/>
                <w:szCs w:val="24"/>
                <w:u w:val="single"/>
              </w:rPr>
            </w:pPr>
            <w:r w:rsidRPr="00A553B7">
              <w:rPr>
                <w:rFonts w:ascii="Arial" w:hAnsi="Arial" w:cs="Arial"/>
                <w:b/>
                <w:sz w:val="24"/>
                <w:szCs w:val="24"/>
                <w:u w:val="single"/>
              </w:rPr>
              <w:t>LEGAL IMPLICATIONS</w:t>
            </w:r>
          </w:p>
          <w:p w14:paraId="4805CF96" w14:textId="1C2F451F" w:rsidR="00737D64" w:rsidRDefault="00CC1728" w:rsidP="00737D64">
            <w:pPr>
              <w:spacing w:after="0"/>
              <w:jc w:val="both"/>
              <w:rPr>
                <w:rFonts w:ascii="Arial" w:hAnsi="Arial" w:cs="Arial"/>
                <w:sz w:val="24"/>
                <w:szCs w:val="24"/>
              </w:rPr>
            </w:pPr>
            <w:r w:rsidRPr="00A553B7">
              <w:rPr>
                <w:rFonts w:ascii="Arial" w:hAnsi="Arial" w:cs="Arial"/>
                <w:sz w:val="24"/>
                <w:szCs w:val="24"/>
              </w:rPr>
              <w:t xml:space="preserve">The </w:t>
            </w:r>
            <w:r w:rsidR="00301D1F">
              <w:rPr>
                <w:rFonts w:ascii="Arial" w:hAnsi="Arial" w:cs="Arial"/>
                <w:sz w:val="24"/>
                <w:szCs w:val="24"/>
              </w:rPr>
              <w:t>JLS</w:t>
            </w:r>
            <w:r w:rsidRPr="00A553B7">
              <w:rPr>
                <w:rFonts w:ascii="Arial" w:hAnsi="Arial" w:cs="Arial"/>
                <w:sz w:val="24"/>
                <w:szCs w:val="24"/>
              </w:rPr>
              <w:t xml:space="preserve"> department h</w:t>
            </w:r>
            <w:r w:rsidR="00E64D38" w:rsidRPr="00A553B7">
              <w:rPr>
                <w:rFonts w:ascii="Arial" w:hAnsi="Arial" w:cs="Arial"/>
                <w:sz w:val="24"/>
                <w:szCs w:val="24"/>
              </w:rPr>
              <w:t>as</w:t>
            </w:r>
            <w:r w:rsidRPr="00A553B7">
              <w:rPr>
                <w:rFonts w:ascii="Arial" w:hAnsi="Arial" w:cs="Arial"/>
                <w:sz w:val="24"/>
                <w:szCs w:val="24"/>
              </w:rPr>
              <w:t xml:space="preserve"> been involved in the review of the </w:t>
            </w:r>
            <w:proofErr w:type="spellStart"/>
            <w:r w:rsidRPr="00A553B7">
              <w:rPr>
                <w:rFonts w:ascii="Arial" w:hAnsi="Arial" w:cs="Arial"/>
                <w:sz w:val="24"/>
                <w:szCs w:val="24"/>
              </w:rPr>
              <w:t>MoCG</w:t>
            </w:r>
            <w:proofErr w:type="spellEnd"/>
            <w:r w:rsidRPr="00A553B7">
              <w:rPr>
                <w:rFonts w:ascii="Arial" w:hAnsi="Arial" w:cs="Arial"/>
                <w:sz w:val="24"/>
                <w:szCs w:val="24"/>
              </w:rPr>
              <w:t>, ensuring that any legal implications that have arisen have been resolved during the review process.</w:t>
            </w:r>
          </w:p>
          <w:p w14:paraId="21F98A2E" w14:textId="77777777" w:rsidR="00800542" w:rsidRPr="00A553B7" w:rsidRDefault="00800542" w:rsidP="00737D64">
            <w:pPr>
              <w:spacing w:after="0"/>
              <w:jc w:val="both"/>
              <w:rPr>
                <w:rFonts w:ascii="Arial" w:hAnsi="Arial" w:cs="Arial"/>
                <w:sz w:val="24"/>
                <w:szCs w:val="24"/>
              </w:rPr>
            </w:pPr>
          </w:p>
        </w:tc>
      </w:tr>
      <w:tr w:rsidR="00F8795E" w:rsidRPr="00A553B7" w14:paraId="652F9B9E" w14:textId="77777777" w:rsidTr="005D4534">
        <w:tc>
          <w:tcPr>
            <w:tcW w:w="748" w:type="dxa"/>
            <w:shd w:val="clear" w:color="auto" w:fill="auto"/>
          </w:tcPr>
          <w:p w14:paraId="3B884775" w14:textId="77777777" w:rsidR="00F8795E" w:rsidRDefault="005C173F" w:rsidP="00055BFA">
            <w:pPr>
              <w:spacing w:after="0"/>
              <w:rPr>
                <w:rFonts w:ascii="Arial" w:hAnsi="Arial" w:cs="Arial"/>
                <w:b/>
                <w:sz w:val="24"/>
                <w:szCs w:val="24"/>
              </w:rPr>
            </w:pPr>
            <w:r w:rsidRPr="00A553B7">
              <w:rPr>
                <w:rFonts w:ascii="Arial" w:hAnsi="Arial" w:cs="Arial"/>
                <w:b/>
                <w:sz w:val="24"/>
                <w:szCs w:val="24"/>
              </w:rPr>
              <w:lastRenderedPageBreak/>
              <w:t>8</w:t>
            </w:r>
            <w:r w:rsidR="00F8795E" w:rsidRPr="00A553B7">
              <w:rPr>
                <w:rFonts w:ascii="Arial" w:hAnsi="Arial" w:cs="Arial"/>
                <w:b/>
                <w:sz w:val="24"/>
                <w:szCs w:val="24"/>
              </w:rPr>
              <w:t>.</w:t>
            </w:r>
          </w:p>
          <w:p w14:paraId="762A300A" w14:textId="77777777" w:rsidR="00796C82" w:rsidRDefault="00796C82" w:rsidP="00055BFA">
            <w:pPr>
              <w:spacing w:after="0"/>
              <w:rPr>
                <w:rFonts w:ascii="Arial" w:hAnsi="Arial" w:cs="Arial"/>
                <w:bCs/>
                <w:sz w:val="24"/>
                <w:szCs w:val="24"/>
              </w:rPr>
            </w:pPr>
            <w:r>
              <w:rPr>
                <w:rFonts w:ascii="Arial" w:hAnsi="Arial" w:cs="Arial"/>
                <w:bCs/>
                <w:sz w:val="24"/>
                <w:szCs w:val="24"/>
              </w:rPr>
              <w:t>8.1</w:t>
            </w:r>
          </w:p>
          <w:p w14:paraId="4B81D5FC" w14:textId="77777777" w:rsidR="00796C82" w:rsidRDefault="00796C82" w:rsidP="00055BFA">
            <w:pPr>
              <w:spacing w:after="0"/>
              <w:rPr>
                <w:rFonts w:ascii="Arial" w:hAnsi="Arial" w:cs="Arial"/>
                <w:bCs/>
                <w:sz w:val="24"/>
                <w:szCs w:val="24"/>
              </w:rPr>
            </w:pPr>
          </w:p>
          <w:p w14:paraId="4EFB032E" w14:textId="77777777" w:rsidR="00796C82" w:rsidRDefault="00796C82" w:rsidP="00055BFA">
            <w:pPr>
              <w:spacing w:after="0"/>
              <w:rPr>
                <w:rFonts w:ascii="Arial" w:hAnsi="Arial" w:cs="Arial"/>
                <w:bCs/>
                <w:sz w:val="24"/>
                <w:szCs w:val="24"/>
              </w:rPr>
            </w:pPr>
          </w:p>
          <w:p w14:paraId="0EB5E55D" w14:textId="77777777" w:rsidR="00796C82" w:rsidRDefault="00796C82" w:rsidP="00055BFA">
            <w:pPr>
              <w:spacing w:after="0"/>
              <w:rPr>
                <w:rFonts w:ascii="Arial" w:hAnsi="Arial" w:cs="Arial"/>
                <w:bCs/>
                <w:sz w:val="24"/>
                <w:szCs w:val="24"/>
              </w:rPr>
            </w:pPr>
          </w:p>
          <w:p w14:paraId="732CD89B" w14:textId="77777777" w:rsidR="00796C82" w:rsidRPr="00796C82" w:rsidRDefault="00796C82" w:rsidP="00055BFA">
            <w:pPr>
              <w:spacing w:after="0"/>
              <w:rPr>
                <w:rFonts w:ascii="Arial" w:hAnsi="Arial" w:cs="Arial"/>
                <w:bCs/>
                <w:sz w:val="24"/>
                <w:szCs w:val="24"/>
              </w:rPr>
            </w:pPr>
            <w:r>
              <w:rPr>
                <w:rFonts w:ascii="Arial" w:hAnsi="Arial" w:cs="Arial"/>
                <w:bCs/>
                <w:sz w:val="24"/>
                <w:szCs w:val="24"/>
              </w:rPr>
              <w:t>8.2</w:t>
            </w:r>
          </w:p>
        </w:tc>
        <w:tc>
          <w:tcPr>
            <w:tcW w:w="8312" w:type="dxa"/>
            <w:shd w:val="clear" w:color="auto" w:fill="auto"/>
          </w:tcPr>
          <w:p w14:paraId="1A7E9883" w14:textId="77777777" w:rsidR="00F8795E" w:rsidRPr="00A553B7" w:rsidRDefault="00BC5418" w:rsidP="00055BFA">
            <w:pPr>
              <w:spacing w:after="0"/>
              <w:rPr>
                <w:rFonts w:ascii="Arial" w:hAnsi="Arial" w:cs="Arial"/>
                <w:b/>
                <w:sz w:val="24"/>
                <w:szCs w:val="24"/>
                <w:u w:val="single"/>
              </w:rPr>
            </w:pPr>
            <w:r w:rsidRPr="00A553B7">
              <w:rPr>
                <w:rFonts w:ascii="Arial" w:hAnsi="Arial" w:cs="Arial"/>
                <w:b/>
                <w:sz w:val="24"/>
                <w:szCs w:val="24"/>
                <w:u w:val="single"/>
              </w:rPr>
              <w:t xml:space="preserve">EQUALITIES AND </w:t>
            </w:r>
            <w:r w:rsidR="00F8795E" w:rsidRPr="00A553B7">
              <w:rPr>
                <w:rFonts w:ascii="Arial" w:hAnsi="Arial" w:cs="Arial"/>
                <w:b/>
                <w:sz w:val="24"/>
                <w:szCs w:val="24"/>
                <w:u w:val="single"/>
              </w:rPr>
              <w:t>HUMAN RIGHTS CONSIDERATIONS</w:t>
            </w:r>
          </w:p>
          <w:p w14:paraId="05ADAA24" w14:textId="77777777" w:rsidR="001F41AD" w:rsidRPr="00A553B7" w:rsidRDefault="001F41AD" w:rsidP="00B3484A">
            <w:pPr>
              <w:spacing w:after="0"/>
              <w:jc w:val="both"/>
              <w:rPr>
                <w:rFonts w:ascii="Arial" w:hAnsi="Arial" w:cs="Arial"/>
                <w:snapToGrid w:val="0"/>
                <w:sz w:val="24"/>
                <w:szCs w:val="24"/>
              </w:rPr>
            </w:pPr>
            <w:r w:rsidRPr="00A553B7">
              <w:rPr>
                <w:rFonts w:ascii="Arial" w:hAnsi="Arial" w:cs="Arial"/>
                <w:snapToGrid w:val="0"/>
                <w:sz w:val="24"/>
                <w:szCs w:val="24"/>
              </w:rPr>
              <w:t xml:space="preserve">This </w:t>
            </w:r>
            <w:r w:rsidR="00B3484A" w:rsidRPr="00A553B7">
              <w:rPr>
                <w:rFonts w:ascii="Arial" w:hAnsi="Arial" w:cs="Arial"/>
                <w:snapToGrid w:val="0"/>
                <w:sz w:val="24"/>
                <w:szCs w:val="24"/>
              </w:rPr>
              <w:t>report</w:t>
            </w:r>
            <w:r w:rsidRPr="00A553B7">
              <w:rPr>
                <w:rFonts w:ascii="Arial" w:hAnsi="Arial" w:cs="Arial"/>
                <w:snapToGrid w:val="0"/>
                <w:sz w:val="24"/>
                <w:szCs w:val="24"/>
              </w:rPr>
              <w:t xml:space="preserve"> has been considered against the general duty to promote equality, as stipulated under the </w:t>
            </w:r>
            <w:r w:rsidR="00950DC7" w:rsidRPr="00A553B7">
              <w:rPr>
                <w:rFonts w:ascii="Arial" w:hAnsi="Arial" w:cs="Arial"/>
                <w:snapToGrid w:val="0"/>
                <w:sz w:val="24"/>
                <w:szCs w:val="24"/>
              </w:rPr>
              <w:t>Strategic Equality Plan</w:t>
            </w:r>
            <w:r w:rsidRPr="00A553B7">
              <w:rPr>
                <w:rFonts w:ascii="Arial" w:hAnsi="Arial" w:cs="Arial"/>
                <w:snapToGrid w:val="0"/>
                <w:sz w:val="24"/>
                <w:szCs w:val="24"/>
              </w:rPr>
              <w:t xml:space="preserve"> and has been assessed not to discriminate against any </w:t>
            </w:r>
            <w:proofErr w:type="gramStart"/>
            <w:r w:rsidRPr="00A553B7">
              <w:rPr>
                <w:rFonts w:ascii="Arial" w:hAnsi="Arial" w:cs="Arial"/>
                <w:snapToGrid w:val="0"/>
                <w:sz w:val="24"/>
                <w:szCs w:val="24"/>
              </w:rPr>
              <w:t>particular group</w:t>
            </w:r>
            <w:proofErr w:type="gramEnd"/>
            <w:r w:rsidRPr="00A553B7">
              <w:rPr>
                <w:rFonts w:ascii="Arial" w:hAnsi="Arial" w:cs="Arial"/>
                <w:snapToGrid w:val="0"/>
                <w:sz w:val="24"/>
                <w:szCs w:val="24"/>
              </w:rPr>
              <w:t xml:space="preserve">. </w:t>
            </w:r>
          </w:p>
          <w:p w14:paraId="23A559CD" w14:textId="0B6D885B" w:rsidR="00737D64" w:rsidRPr="00A553B7" w:rsidRDefault="00D90148" w:rsidP="00B3484A">
            <w:pPr>
              <w:spacing w:after="0"/>
              <w:jc w:val="both"/>
              <w:rPr>
                <w:rFonts w:ascii="Arial" w:hAnsi="Arial" w:cs="Arial"/>
                <w:bCs/>
                <w:iCs/>
                <w:sz w:val="24"/>
                <w:szCs w:val="24"/>
              </w:rPr>
            </w:pPr>
            <w:r>
              <w:rPr>
                <w:rFonts w:ascii="Arial" w:hAnsi="Arial" w:cs="Arial"/>
                <w:bCs/>
                <w:iCs/>
                <w:sz w:val="24"/>
                <w:szCs w:val="24"/>
              </w:rPr>
              <w:br/>
            </w:r>
            <w:r w:rsidR="001F41AD" w:rsidRPr="00A553B7">
              <w:rPr>
                <w:rFonts w:ascii="Arial" w:hAnsi="Arial" w:cs="Arial"/>
                <w:bCs/>
                <w:iCs/>
                <w:sz w:val="24"/>
                <w:szCs w:val="24"/>
              </w:rPr>
              <w:t>Consideration has been given to requirements of the Articles contained in the European Convention on Human Rights and the Human Rights Act 1998 in preparing this report.</w:t>
            </w:r>
          </w:p>
          <w:p w14:paraId="1972D3AF" w14:textId="77777777" w:rsidR="00D90148" w:rsidRPr="00A553B7" w:rsidRDefault="00D90148" w:rsidP="00B3484A">
            <w:pPr>
              <w:spacing w:after="0"/>
              <w:jc w:val="both"/>
              <w:rPr>
                <w:rFonts w:ascii="Arial" w:hAnsi="Arial" w:cs="Arial"/>
                <w:sz w:val="24"/>
                <w:szCs w:val="24"/>
              </w:rPr>
            </w:pPr>
          </w:p>
        </w:tc>
      </w:tr>
      <w:tr w:rsidR="00D22780" w:rsidRPr="00A553B7" w14:paraId="12523D44" w14:textId="77777777" w:rsidTr="005D4534">
        <w:tc>
          <w:tcPr>
            <w:tcW w:w="748" w:type="dxa"/>
            <w:shd w:val="clear" w:color="auto" w:fill="auto"/>
          </w:tcPr>
          <w:p w14:paraId="6E71DB54" w14:textId="77777777" w:rsidR="00D22780" w:rsidRDefault="005C173F" w:rsidP="00055BFA">
            <w:pPr>
              <w:spacing w:after="0"/>
              <w:rPr>
                <w:rFonts w:ascii="Arial" w:hAnsi="Arial" w:cs="Arial"/>
                <w:b/>
                <w:sz w:val="24"/>
                <w:szCs w:val="24"/>
              </w:rPr>
            </w:pPr>
            <w:r w:rsidRPr="00A553B7">
              <w:rPr>
                <w:rFonts w:ascii="Arial" w:hAnsi="Arial" w:cs="Arial"/>
                <w:b/>
                <w:sz w:val="24"/>
                <w:szCs w:val="24"/>
              </w:rPr>
              <w:t>9</w:t>
            </w:r>
            <w:r w:rsidR="00D22780" w:rsidRPr="00A553B7">
              <w:rPr>
                <w:rFonts w:ascii="Arial" w:hAnsi="Arial" w:cs="Arial"/>
                <w:b/>
                <w:sz w:val="24"/>
                <w:szCs w:val="24"/>
              </w:rPr>
              <w:t>.</w:t>
            </w:r>
          </w:p>
          <w:p w14:paraId="20F82B0A" w14:textId="77777777" w:rsidR="00796C82" w:rsidRPr="00796C82" w:rsidRDefault="00796C82" w:rsidP="00055BFA">
            <w:pPr>
              <w:spacing w:after="0"/>
              <w:rPr>
                <w:rFonts w:ascii="Arial" w:hAnsi="Arial" w:cs="Arial"/>
                <w:bCs/>
                <w:sz w:val="24"/>
                <w:szCs w:val="24"/>
              </w:rPr>
            </w:pPr>
            <w:r>
              <w:rPr>
                <w:rFonts w:ascii="Arial" w:hAnsi="Arial" w:cs="Arial"/>
                <w:bCs/>
                <w:sz w:val="24"/>
                <w:szCs w:val="24"/>
              </w:rPr>
              <w:t>9.1</w:t>
            </w:r>
          </w:p>
        </w:tc>
        <w:tc>
          <w:tcPr>
            <w:tcW w:w="8312" w:type="dxa"/>
            <w:shd w:val="clear" w:color="auto" w:fill="auto"/>
          </w:tcPr>
          <w:p w14:paraId="6B97EC7B" w14:textId="77777777" w:rsidR="00D22780" w:rsidRPr="00A553B7" w:rsidRDefault="00D22780" w:rsidP="00055BFA">
            <w:pPr>
              <w:spacing w:after="0"/>
              <w:rPr>
                <w:rFonts w:ascii="Arial" w:hAnsi="Arial" w:cs="Arial"/>
                <w:b/>
                <w:sz w:val="24"/>
                <w:szCs w:val="24"/>
                <w:u w:val="single"/>
              </w:rPr>
            </w:pPr>
            <w:r w:rsidRPr="00A553B7">
              <w:rPr>
                <w:rFonts w:ascii="Arial" w:hAnsi="Arial" w:cs="Arial"/>
                <w:b/>
                <w:sz w:val="24"/>
                <w:szCs w:val="24"/>
                <w:u w:val="single"/>
              </w:rPr>
              <w:t>RISK</w:t>
            </w:r>
          </w:p>
          <w:p w14:paraId="3E582052" w14:textId="77777777" w:rsidR="00737D64" w:rsidRPr="00A553B7" w:rsidRDefault="00CC1728" w:rsidP="00B3484A">
            <w:pPr>
              <w:spacing w:after="0"/>
              <w:jc w:val="both"/>
              <w:rPr>
                <w:rFonts w:ascii="Arial" w:hAnsi="Arial" w:cs="Arial"/>
                <w:sz w:val="24"/>
                <w:szCs w:val="24"/>
              </w:rPr>
            </w:pPr>
            <w:r w:rsidRPr="00A553B7">
              <w:rPr>
                <w:rFonts w:ascii="Arial" w:hAnsi="Arial" w:cs="Arial"/>
                <w:sz w:val="24"/>
                <w:szCs w:val="24"/>
              </w:rPr>
              <w:t xml:space="preserve">Any risks identified </w:t>
            </w:r>
            <w:r w:rsidR="00DF17CD" w:rsidRPr="00A553B7">
              <w:rPr>
                <w:rFonts w:ascii="Arial" w:hAnsi="Arial" w:cs="Arial"/>
                <w:sz w:val="24"/>
                <w:szCs w:val="24"/>
              </w:rPr>
              <w:t xml:space="preserve">during the review of the </w:t>
            </w:r>
            <w:proofErr w:type="spellStart"/>
            <w:r w:rsidR="00DF17CD" w:rsidRPr="00A553B7">
              <w:rPr>
                <w:rFonts w:ascii="Arial" w:hAnsi="Arial" w:cs="Arial"/>
                <w:sz w:val="24"/>
                <w:szCs w:val="24"/>
              </w:rPr>
              <w:t>MoCG</w:t>
            </w:r>
            <w:proofErr w:type="spellEnd"/>
            <w:r w:rsidR="00DF17CD" w:rsidRPr="00A553B7">
              <w:rPr>
                <w:rFonts w:ascii="Arial" w:hAnsi="Arial" w:cs="Arial"/>
                <w:sz w:val="24"/>
                <w:szCs w:val="24"/>
              </w:rPr>
              <w:t xml:space="preserve"> will be</w:t>
            </w:r>
            <w:r w:rsidRPr="00A553B7">
              <w:rPr>
                <w:rFonts w:ascii="Arial" w:hAnsi="Arial" w:cs="Arial"/>
                <w:sz w:val="24"/>
                <w:szCs w:val="24"/>
              </w:rPr>
              <w:t xml:space="preserve"> neg</w:t>
            </w:r>
            <w:r w:rsidR="00024F8F">
              <w:rPr>
                <w:rFonts w:ascii="Arial" w:hAnsi="Arial" w:cs="Arial"/>
                <w:sz w:val="24"/>
                <w:szCs w:val="24"/>
              </w:rPr>
              <w:t>ated by</w:t>
            </w:r>
            <w:r w:rsidR="00DF17CD" w:rsidRPr="00A553B7">
              <w:rPr>
                <w:rFonts w:ascii="Arial" w:hAnsi="Arial" w:cs="Arial"/>
                <w:sz w:val="24"/>
                <w:szCs w:val="24"/>
              </w:rPr>
              <w:t xml:space="preserve"> the approval of the amended document.</w:t>
            </w:r>
          </w:p>
          <w:p w14:paraId="55DCCA85" w14:textId="77777777" w:rsidR="00D22780" w:rsidRPr="00A553B7" w:rsidRDefault="00D22780" w:rsidP="00B3484A">
            <w:pPr>
              <w:spacing w:after="0"/>
              <w:jc w:val="both"/>
              <w:rPr>
                <w:rFonts w:ascii="Arial" w:hAnsi="Arial" w:cs="Arial"/>
                <w:sz w:val="24"/>
                <w:szCs w:val="24"/>
              </w:rPr>
            </w:pPr>
          </w:p>
        </w:tc>
      </w:tr>
      <w:tr w:rsidR="00D22780" w:rsidRPr="00A553B7" w14:paraId="06D3776F" w14:textId="77777777" w:rsidTr="005D4534">
        <w:tc>
          <w:tcPr>
            <w:tcW w:w="748" w:type="dxa"/>
            <w:shd w:val="clear" w:color="auto" w:fill="auto"/>
          </w:tcPr>
          <w:p w14:paraId="78051139" w14:textId="77777777" w:rsidR="00D22780" w:rsidRDefault="00B913D2" w:rsidP="005C173F">
            <w:pPr>
              <w:spacing w:after="0"/>
              <w:rPr>
                <w:rFonts w:ascii="Arial" w:hAnsi="Arial" w:cs="Arial"/>
                <w:b/>
                <w:sz w:val="24"/>
                <w:szCs w:val="24"/>
              </w:rPr>
            </w:pPr>
            <w:r w:rsidRPr="00A553B7">
              <w:rPr>
                <w:rFonts w:ascii="Arial" w:hAnsi="Arial" w:cs="Arial"/>
                <w:b/>
                <w:sz w:val="24"/>
                <w:szCs w:val="24"/>
              </w:rPr>
              <w:t>1</w:t>
            </w:r>
            <w:r w:rsidR="005C173F" w:rsidRPr="00A553B7">
              <w:rPr>
                <w:rFonts w:ascii="Arial" w:hAnsi="Arial" w:cs="Arial"/>
                <w:b/>
                <w:sz w:val="24"/>
                <w:szCs w:val="24"/>
              </w:rPr>
              <w:t>0</w:t>
            </w:r>
            <w:r w:rsidR="00D22780" w:rsidRPr="00A553B7">
              <w:rPr>
                <w:rFonts w:ascii="Arial" w:hAnsi="Arial" w:cs="Arial"/>
                <w:b/>
                <w:sz w:val="24"/>
                <w:szCs w:val="24"/>
              </w:rPr>
              <w:t>.</w:t>
            </w:r>
          </w:p>
          <w:p w14:paraId="7572A865" w14:textId="77777777" w:rsidR="00796C82" w:rsidRPr="00796C82" w:rsidRDefault="00796C82" w:rsidP="005C173F">
            <w:pPr>
              <w:spacing w:after="0"/>
              <w:rPr>
                <w:rFonts w:ascii="Arial" w:hAnsi="Arial" w:cs="Arial"/>
                <w:bCs/>
                <w:sz w:val="24"/>
                <w:szCs w:val="24"/>
              </w:rPr>
            </w:pPr>
            <w:r>
              <w:rPr>
                <w:rFonts w:ascii="Arial" w:hAnsi="Arial" w:cs="Arial"/>
                <w:bCs/>
                <w:sz w:val="24"/>
                <w:szCs w:val="24"/>
              </w:rPr>
              <w:t>10.1</w:t>
            </w:r>
          </w:p>
        </w:tc>
        <w:tc>
          <w:tcPr>
            <w:tcW w:w="8312" w:type="dxa"/>
            <w:shd w:val="clear" w:color="auto" w:fill="auto"/>
          </w:tcPr>
          <w:p w14:paraId="4AB33216" w14:textId="77777777" w:rsidR="00D22780" w:rsidRPr="00A553B7" w:rsidRDefault="00D22780" w:rsidP="00055BFA">
            <w:pPr>
              <w:spacing w:after="0"/>
              <w:rPr>
                <w:rFonts w:ascii="Arial" w:hAnsi="Arial" w:cs="Arial"/>
                <w:b/>
                <w:sz w:val="24"/>
                <w:szCs w:val="24"/>
                <w:u w:val="single"/>
              </w:rPr>
            </w:pPr>
            <w:r w:rsidRPr="00A553B7">
              <w:rPr>
                <w:rFonts w:ascii="Arial" w:hAnsi="Arial" w:cs="Arial"/>
                <w:b/>
                <w:sz w:val="24"/>
                <w:szCs w:val="24"/>
                <w:u w:val="single"/>
              </w:rPr>
              <w:t>PUBLIC INTEREST</w:t>
            </w:r>
          </w:p>
          <w:p w14:paraId="050D2F6A" w14:textId="77777777" w:rsidR="00604FBA" w:rsidRDefault="00B3484A" w:rsidP="00055BFA">
            <w:pPr>
              <w:spacing w:after="0"/>
              <w:rPr>
                <w:rFonts w:ascii="Arial" w:hAnsi="Arial" w:cs="Arial"/>
                <w:sz w:val="24"/>
                <w:szCs w:val="24"/>
              </w:rPr>
            </w:pPr>
            <w:r w:rsidRPr="00A553B7">
              <w:rPr>
                <w:rFonts w:ascii="Arial" w:hAnsi="Arial" w:cs="Arial"/>
                <w:sz w:val="24"/>
                <w:szCs w:val="24"/>
              </w:rPr>
              <w:t>This document can be made available to the public.</w:t>
            </w:r>
          </w:p>
          <w:p w14:paraId="1771E10D" w14:textId="670F326A" w:rsidR="00283D5B" w:rsidRPr="00A553B7" w:rsidRDefault="00283D5B" w:rsidP="00055BFA">
            <w:pPr>
              <w:spacing w:after="0"/>
              <w:rPr>
                <w:rFonts w:ascii="Arial" w:hAnsi="Arial" w:cs="Arial"/>
                <w:sz w:val="24"/>
                <w:szCs w:val="24"/>
              </w:rPr>
            </w:pPr>
          </w:p>
        </w:tc>
      </w:tr>
      <w:tr w:rsidR="00D22780" w:rsidRPr="00A553B7" w14:paraId="15B339DA" w14:textId="77777777" w:rsidTr="005D4534">
        <w:tc>
          <w:tcPr>
            <w:tcW w:w="748" w:type="dxa"/>
            <w:shd w:val="clear" w:color="auto" w:fill="auto"/>
          </w:tcPr>
          <w:p w14:paraId="79998A47" w14:textId="77777777" w:rsidR="00D22780" w:rsidRDefault="005C173F" w:rsidP="00055BFA">
            <w:pPr>
              <w:spacing w:after="0"/>
              <w:rPr>
                <w:rFonts w:ascii="Arial" w:hAnsi="Arial" w:cs="Arial"/>
                <w:b/>
                <w:sz w:val="24"/>
                <w:szCs w:val="24"/>
              </w:rPr>
            </w:pPr>
            <w:r w:rsidRPr="00A553B7">
              <w:rPr>
                <w:rFonts w:ascii="Arial" w:hAnsi="Arial" w:cs="Arial"/>
                <w:b/>
                <w:sz w:val="24"/>
                <w:szCs w:val="24"/>
              </w:rPr>
              <w:t>11</w:t>
            </w:r>
            <w:r w:rsidR="00D22780" w:rsidRPr="00A553B7">
              <w:rPr>
                <w:rFonts w:ascii="Arial" w:hAnsi="Arial" w:cs="Arial"/>
                <w:b/>
                <w:sz w:val="24"/>
                <w:szCs w:val="24"/>
              </w:rPr>
              <w:t>.</w:t>
            </w:r>
          </w:p>
          <w:p w14:paraId="125AC566" w14:textId="77777777" w:rsidR="00796C82" w:rsidRPr="00796C82" w:rsidRDefault="00796C82" w:rsidP="00055BFA">
            <w:pPr>
              <w:spacing w:after="0"/>
              <w:rPr>
                <w:rFonts w:ascii="Arial" w:hAnsi="Arial" w:cs="Arial"/>
                <w:bCs/>
                <w:sz w:val="24"/>
                <w:szCs w:val="24"/>
              </w:rPr>
            </w:pPr>
            <w:r>
              <w:rPr>
                <w:rFonts w:ascii="Arial" w:hAnsi="Arial" w:cs="Arial"/>
                <w:bCs/>
                <w:sz w:val="24"/>
                <w:szCs w:val="24"/>
              </w:rPr>
              <w:t>11.1</w:t>
            </w:r>
          </w:p>
        </w:tc>
        <w:tc>
          <w:tcPr>
            <w:tcW w:w="8312" w:type="dxa"/>
            <w:shd w:val="clear" w:color="auto" w:fill="auto"/>
          </w:tcPr>
          <w:p w14:paraId="3F539A6B" w14:textId="77777777" w:rsidR="00D22780" w:rsidRPr="00A553B7" w:rsidRDefault="00D22780" w:rsidP="00055BFA">
            <w:pPr>
              <w:spacing w:after="0"/>
              <w:rPr>
                <w:rFonts w:ascii="Arial" w:hAnsi="Arial" w:cs="Arial"/>
                <w:b/>
                <w:sz w:val="24"/>
                <w:szCs w:val="24"/>
                <w:u w:val="single"/>
              </w:rPr>
            </w:pPr>
            <w:r w:rsidRPr="00A553B7">
              <w:rPr>
                <w:rFonts w:ascii="Arial" w:hAnsi="Arial" w:cs="Arial"/>
                <w:b/>
                <w:sz w:val="24"/>
                <w:szCs w:val="24"/>
                <w:u w:val="single"/>
              </w:rPr>
              <w:t>CONTACT OFFICER</w:t>
            </w:r>
          </w:p>
          <w:p w14:paraId="76F63AC2" w14:textId="77777777" w:rsidR="00E474D6" w:rsidRDefault="00C27AB1" w:rsidP="00C27AB1">
            <w:pPr>
              <w:spacing w:after="0"/>
              <w:rPr>
                <w:rFonts w:ascii="Arial" w:hAnsi="Arial" w:cs="Arial"/>
                <w:sz w:val="24"/>
                <w:szCs w:val="24"/>
              </w:rPr>
            </w:pPr>
            <w:r>
              <w:rPr>
                <w:rFonts w:ascii="Arial" w:hAnsi="Arial" w:cs="Arial"/>
                <w:sz w:val="24"/>
                <w:szCs w:val="24"/>
              </w:rPr>
              <w:t>Joanne Regan</w:t>
            </w:r>
            <w:r w:rsidR="00953D5F">
              <w:rPr>
                <w:rFonts w:ascii="Arial" w:hAnsi="Arial" w:cs="Arial"/>
                <w:sz w:val="24"/>
                <w:szCs w:val="24"/>
              </w:rPr>
              <w:t xml:space="preserve">, </w:t>
            </w:r>
            <w:r>
              <w:rPr>
                <w:rFonts w:ascii="Arial" w:hAnsi="Arial" w:cs="Arial"/>
                <w:sz w:val="24"/>
                <w:szCs w:val="24"/>
              </w:rPr>
              <w:t>Head of Assurance and Compliance.</w:t>
            </w:r>
          </w:p>
          <w:p w14:paraId="0557D5D7" w14:textId="24A4F31C" w:rsidR="00283D5B" w:rsidRPr="00A553B7" w:rsidRDefault="00283D5B" w:rsidP="00C27AB1">
            <w:pPr>
              <w:spacing w:after="0"/>
              <w:rPr>
                <w:rFonts w:ascii="Arial" w:hAnsi="Arial" w:cs="Arial"/>
                <w:sz w:val="24"/>
                <w:szCs w:val="24"/>
              </w:rPr>
            </w:pPr>
          </w:p>
        </w:tc>
      </w:tr>
      <w:tr w:rsidR="00B45594" w:rsidRPr="00A553B7" w14:paraId="4EFFF056" w14:textId="77777777" w:rsidTr="005D4534">
        <w:tc>
          <w:tcPr>
            <w:tcW w:w="748" w:type="dxa"/>
            <w:shd w:val="clear" w:color="auto" w:fill="auto"/>
          </w:tcPr>
          <w:p w14:paraId="17BF2223" w14:textId="77777777" w:rsidR="00B45594" w:rsidRDefault="005C173F" w:rsidP="00055BFA">
            <w:pPr>
              <w:spacing w:after="0"/>
              <w:rPr>
                <w:rFonts w:ascii="Arial" w:hAnsi="Arial" w:cs="Arial"/>
                <w:b/>
                <w:sz w:val="24"/>
                <w:szCs w:val="24"/>
              </w:rPr>
            </w:pPr>
            <w:r w:rsidRPr="00A553B7">
              <w:rPr>
                <w:rFonts w:ascii="Arial" w:hAnsi="Arial" w:cs="Arial"/>
                <w:b/>
                <w:sz w:val="24"/>
                <w:szCs w:val="24"/>
              </w:rPr>
              <w:t>12</w:t>
            </w:r>
            <w:r w:rsidR="00B45594" w:rsidRPr="00A553B7">
              <w:rPr>
                <w:rFonts w:ascii="Arial" w:hAnsi="Arial" w:cs="Arial"/>
                <w:b/>
                <w:sz w:val="24"/>
                <w:szCs w:val="24"/>
              </w:rPr>
              <w:t>.</w:t>
            </w:r>
          </w:p>
          <w:p w14:paraId="1A8D4633" w14:textId="77777777" w:rsidR="00796C82" w:rsidRPr="00796C82" w:rsidRDefault="00796C82" w:rsidP="00055BFA">
            <w:pPr>
              <w:spacing w:after="0"/>
              <w:rPr>
                <w:rFonts w:ascii="Arial" w:hAnsi="Arial" w:cs="Arial"/>
                <w:bCs/>
                <w:sz w:val="24"/>
                <w:szCs w:val="24"/>
              </w:rPr>
            </w:pPr>
            <w:r>
              <w:rPr>
                <w:rFonts w:ascii="Arial" w:hAnsi="Arial" w:cs="Arial"/>
                <w:bCs/>
                <w:sz w:val="24"/>
                <w:szCs w:val="24"/>
              </w:rPr>
              <w:t>12.1</w:t>
            </w:r>
          </w:p>
        </w:tc>
        <w:tc>
          <w:tcPr>
            <w:tcW w:w="8312" w:type="dxa"/>
            <w:shd w:val="clear" w:color="auto" w:fill="auto"/>
          </w:tcPr>
          <w:p w14:paraId="38CACFD2" w14:textId="77777777" w:rsidR="00B45594" w:rsidRPr="00A553B7" w:rsidRDefault="00B45594" w:rsidP="00055BFA">
            <w:pPr>
              <w:spacing w:after="0"/>
              <w:rPr>
                <w:rFonts w:ascii="Arial" w:hAnsi="Arial" w:cs="Arial"/>
                <w:b/>
                <w:sz w:val="24"/>
                <w:szCs w:val="24"/>
                <w:u w:val="single"/>
              </w:rPr>
            </w:pPr>
            <w:r w:rsidRPr="00A553B7">
              <w:rPr>
                <w:rFonts w:ascii="Arial" w:hAnsi="Arial" w:cs="Arial"/>
                <w:b/>
                <w:sz w:val="24"/>
                <w:szCs w:val="24"/>
                <w:u w:val="single"/>
              </w:rPr>
              <w:t>ANNEXES</w:t>
            </w:r>
          </w:p>
          <w:p w14:paraId="0E5335F4" w14:textId="77777777" w:rsidR="003B3A67" w:rsidRDefault="003B3A67" w:rsidP="00E64D38">
            <w:pPr>
              <w:spacing w:after="0"/>
              <w:rPr>
                <w:rFonts w:ascii="Arial" w:hAnsi="Arial" w:cs="Arial"/>
                <w:sz w:val="24"/>
                <w:szCs w:val="24"/>
              </w:rPr>
            </w:pPr>
            <w:r w:rsidRPr="00A553B7">
              <w:rPr>
                <w:rFonts w:ascii="Arial" w:hAnsi="Arial" w:cs="Arial"/>
                <w:sz w:val="24"/>
                <w:szCs w:val="24"/>
              </w:rPr>
              <w:t xml:space="preserve">Appendix 1 – </w:t>
            </w:r>
            <w:r w:rsidR="009637EF" w:rsidRPr="00A553B7">
              <w:rPr>
                <w:rFonts w:ascii="Arial" w:hAnsi="Arial" w:cs="Arial"/>
                <w:sz w:val="24"/>
                <w:szCs w:val="24"/>
              </w:rPr>
              <w:t xml:space="preserve">Details of proposed changes to the </w:t>
            </w:r>
            <w:proofErr w:type="spellStart"/>
            <w:r w:rsidR="009637EF" w:rsidRPr="00A553B7">
              <w:rPr>
                <w:rFonts w:ascii="Arial" w:hAnsi="Arial" w:cs="Arial"/>
                <w:sz w:val="24"/>
                <w:szCs w:val="24"/>
              </w:rPr>
              <w:t>MoCG</w:t>
            </w:r>
            <w:proofErr w:type="spellEnd"/>
            <w:r w:rsidR="009637EF" w:rsidRPr="00A553B7">
              <w:rPr>
                <w:rFonts w:ascii="Arial" w:hAnsi="Arial" w:cs="Arial"/>
                <w:sz w:val="24"/>
                <w:szCs w:val="24"/>
              </w:rPr>
              <w:t>.</w:t>
            </w:r>
          </w:p>
          <w:p w14:paraId="57937518" w14:textId="04C17FDF" w:rsidR="00350E0B" w:rsidRPr="00A553B7" w:rsidRDefault="00350E0B" w:rsidP="00E64D38">
            <w:pPr>
              <w:spacing w:after="0"/>
              <w:rPr>
                <w:rFonts w:ascii="Arial" w:hAnsi="Arial" w:cs="Arial"/>
                <w:sz w:val="24"/>
                <w:szCs w:val="24"/>
              </w:rPr>
            </w:pPr>
          </w:p>
        </w:tc>
      </w:tr>
    </w:tbl>
    <w:p w14:paraId="4BB3EC2F" w14:textId="77777777" w:rsidR="00E3332C" w:rsidRPr="00A553B7" w:rsidRDefault="00E3332C">
      <w:pPr>
        <w:rPr>
          <w:rFonts w:ascii="Arial" w:hAnsi="Arial" w:cs="Arial"/>
          <w:b/>
          <w:sz w:val="24"/>
          <w:szCs w:val="24"/>
        </w:rPr>
        <w:sectPr w:rsidR="00E3332C" w:rsidRPr="00A553B7" w:rsidSect="00C87429">
          <w:headerReference w:type="even" r:id="rId8"/>
          <w:headerReference w:type="default" r:id="rId9"/>
          <w:footerReference w:type="even" r:id="rId10"/>
          <w:footerReference w:type="default" r:id="rId11"/>
          <w:headerReference w:type="first" r:id="rId12"/>
          <w:footerReference w:type="first" r:id="rId13"/>
          <w:pgSz w:w="11906" w:h="16838" w:code="9"/>
          <w:pgMar w:top="454" w:right="1418" w:bottom="340" w:left="1418" w:header="284" w:footer="0" w:gutter="0"/>
          <w:cols w:space="708"/>
          <w:docGrid w:linePitch="360"/>
        </w:sectPr>
      </w:pPr>
    </w:p>
    <w:p w14:paraId="75333F87" w14:textId="77777777" w:rsidR="00E474D6" w:rsidRPr="00A553B7" w:rsidRDefault="00E474D6" w:rsidP="00E474D6">
      <w:pPr>
        <w:rPr>
          <w:rFonts w:ascii="Arial" w:hAnsi="Arial" w:cs="Arial"/>
          <w:b/>
          <w:sz w:val="24"/>
          <w:szCs w:val="24"/>
        </w:rPr>
      </w:pPr>
      <w:r w:rsidRPr="00CE36A0">
        <w:rPr>
          <w:rFonts w:ascii="Arial" w:hAnsi="Arial" w:cs="Arial"/>
          <w:b/>
          <w:sz w:val="24"/>
          <w:szCs w:val="24"/>
        </w:rPr>
        <w:lastRenderedPageBreak/>
        <w:t>Appendix 1</w:t>
      </w:r>
    </w:p>
    <w:p w14:paraId="4A190AB0" w14:textId="77777777" w:rsidR="00E474D6" w:rsidRPr="00A553B7" w:rsidRDefault="00E474D6" w:rsidP="00E474D6">
      <w:pPr>
        <w:rPr>
          <w:rFonts w:ascii="Arial" w:hAnsi="Arial" w:cs="Arial"/>
          <w:b/>
          <w:sz w:val="24"/>
          <w:szCs w:val="24"/>
          <w:u w:val="single"/>
        </w:rPr>
      </w:pPr>
      <w:r w:rsidRPr="00A553B7">
        <w:rPr>
          <w:rFonts w:ascii="Arial" w:hAnsi="Arial" w:cs="Arial"/>
          <w:b/>
          <w:sz w:val="24"/>
          <w:szCs w:val="24"/>
          <w:u w:val="single"/>
        </w:rPr>
        <w:t>Review of the Manual of Corporate Governance</w:t>
      </w:r>
    </w:p>
    <w:p w14:paraId="3DBBEA77" w14:textId="77777777" w:rsidR="00E474D6" w:rsidRPr="00A553B7" w:rsidRDefault="00E474D6" w:rsidP="00E474D6">
      <w:pPr>
        <w:rPr>
          <w:rFonts w:ascii="Arial" w:hAnsi="Arial" w:cs="Arial"/>
          <w:sz w:val="24"/>
          <w:szCs w:val="24"/>
        </w:rPr>
      </w:pPr>
      <w:r w:rsidRPr="00A553B7">
        <w:rPr>
          <w:rFonts w:ascii="Arial" w:hAnsi="Arial" w:cs="Arial"/>
          <w:sz w:val="24"/>
          <w:szCs w:val="24"/>
        </w:rPr>
        <w:t xml:space="preserve">Below are the key changes that are proposed in relation to the annual review of the </w:t>
      </w:r>
      <w:proofErr w:type="spellStart"/>
      <w:r w:rsidRPr="00A553B7">
        <w:rPr>
          <w:rFonts w:ascii="Arial" w:hAnsi="Arial" w:cs="Arial"/>
          <w:sz w:val="24"/>
          <w:szCs w:val="24"/>
        </w:rPr>
        <w:t>MoCG</w:t>
      </w:r>
      <w:proofErr w:type="spellEnd"/>
      <w:r w:rsidRPr="00A553B7">
        <w:rPr>
          <w:rFonts w:ascii="Arial" w:hAnsi="Arial" w:cs="Arial"/>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13697"/>
      </w:tblGrid>
      <w:tr w:rsidR="00E474D6" w:rsidRPr="00A553B7" w14:paraId="4DFE664E" w14:textId="77777777" w:rsidTr="00F6322B">
        <w:tc>
          <w:tcPr>
            <w:tcW w:w="1124" w:type="dxa"/>
            <w:shd w:val="clear" w:color="auto" w:fill="auto"/>
          </w:tcPr>
          <w:p w14:paraId="6D1E999D" w14:textId="77777777" w:rsidR="00E474D6" w:rsidRPr="00DC6E87" w:rsidRDefault="00E474D6" w:rsidP="00BA77D1">
            <w:pPr>
              <w:rPr>
                <w:rFonts w:ascii="Arial" w:hAnsi="Arial" w:cs="Arial"/>
                <w:b/>
                <w:sz w:val="24"/>
                <w:szCs w:val="24"/>
              </w:rPr>
            </w:pPr>
            <w:r w:rsidRPr="00DC6E87">
              <w:rPr>
                <w:rFonts w:ascii="Arial" w:hAnsi="Arial" w:cs="Arial"/>
                <w:b/>
                <w:sz w:val="24"/>
                <w:szCs w:val="24"/>
              </w:rPr>
              <w:t>Page Number</w:t>
            </w:r>
          </w:p>
        </w:tc>
        <w:tc>
          <w:tcPr>
            <w:tcW w:w="13697" w:type="dxa"/>
            <w:shd w:val="clear" w:color="auto" w:fill="auto"/>
          </w:tcPr>
          <w:p w14:paraId="49F819B1" w14:textId="77777777" w:rsidR="00E474D6" w:rsidRPr="00DC6E87" w:rsidRDefault="00E474D6" w:rsidP="00BA77D1">
            <w:pPr>
              <w:rPr>
                <w:rFonts w:ascii="Arial" w:hAnsi="Arial" w:cs="Arial"/>
                <w:b/>
                <w:sz w:val="24"/>
                <w:szCs w:val="24"/>
              </w:rPr>
            </w:pPr>
            <w:r w:rsidRPr="00DC6E87">
              <w:rPr>
                <w:rFonts w:ascii="Arial" w:hAnsi="Arial" w:cs="Arial"/>
                <w:b/>
                <w:sz w:val="24"/>
                <w:szCs w:val="24"/>
              </w:rPr>
              <w:t xml:space="preserve">Proposed Change </w:t>
            </w:r>
          </w:p>
        </w:tc>
      </w:tr>
      <w:tr w:rsidR="00F6322B" w:rsidRPr="00A553B7" w14:paraId="574F9D28" w14:textId="77777777" w:rsidTr="00F6322B">
        <w:tc>
          <w:tcPr>
            <w:tcW w:w="1124" w:type="dxa"/>
            <w:shd w:val="clear" w:color="auto" w:fill="auto"/>
          </w:tcPr>
          <w:p w14:paraId="33A7915C" w14:textId="21242050" w:rsidR="00F6322B" w:rsidRPr="00F6322B" w:rsidRDefault="00F6322B" w:rsidP="00F6322B">
            <w:pPr>
              <w:rPr>
                <w:rFonts w:ascii="Arial" w:hAnsi="Arial" w:cs="Arial"/>
                <w:sz w:val="24"/>
                <w:szCs w:val="24"/>
              </w:rPr>
            </w:pPr>
            <w:r w:rsidRPr="00F6322B">
              <w:rPr>
                <w:rFonts w:ascii="Arial" w:hAnsi="Arial" w:cs="Arial"/>
                <w:sz w:val="24"/>
                <w:szCs w:val="24"/>
              </w:rPr>
              <w:t>Various</w:t>
            </w:r>
          </w:p>
        </w:tc>
        <w:tc>
          <w:tcPr>
            <w:tcW w:w="13697" w:type="dxa"/>
            <w:shd w:val="clear" w:color="auto" w:fill="auto"/>
          </w:tcPr>
          <w:p w14:paraId="3E8033CA" w14:textId="72C79008" w:rsidR="00F6322B" w:rsidRPr="00F6322B" w:rsidRDefault="00F6322B" w:rsidP="00F6322B">
            <w:pPr>
              <w:spacing w:after="0" w:line="240" w:lineRule="auto"/>
              <w:jc w:val="both"/>
              <w:rPr>
                <w:rFonts w:ascii="Arial" w:hAnsi="Arial" w:cs="Arial"/>
                <w:sz w:val="24"/>
                <w:szCs w:val="24"/>
              </w:rPr>
            </w:pPr>
            <w:r w:rsidRPr="00F6322B">
              <w:rPr>
                <w:rFonts w:ascii="Arial" w:eastAsia="Times New Roman" w:hAnsi="Arial" w:cs="Arial"/>
                <w:sz w:val="24"/>
                <w:szCs w:val="24"/>
              </w:rPr>
              <w:t>Removal of reference to Assistant Chief Officer Resources (ACOR).</w:t>
            </w:r>
          </w:p>
        </w:tc>
      </w:tr>
      <w:tr w:rsidR="00E474D6" w:rsidRPr="00A553B7" w14:paraId="0DD62696" w14:textId="77777777" w:rsidTr="00F6322B">
        <w:tc>
          <w:tcPr>
            <w:tcW w:w="1124" w:type="dxa"/>
            <w:shd w:val="clear" w:color="auto" w:fill="auto"/>
          </w:tcPr>
          <w:p w14:paraId="244CDA08" w14:textId="5527738D" w:rsidR="00E474D6" w:rsidRPr="00F6322B" w:rsidRDefault="00F6322B" w:rsidP="00BA77D1">
            <w:pPr>
              <w:rPr>
                <w:rFonts w:ascii="Arial" w:hAnsi="Arial" w:cs="Arial"/>
                <w:sz w:val="24"/>
                <w:szCs w:val="24"/>
              </w:rPr>
            </w:pPr>
            <w:r w:rsidRPr="00F6322B">
              <w:rPr>
                <w:rFonts w:ascii="Arial" w:hAnsi="Arial" w:cs="Arial"/>
                <w:sz w:val="24"/>
                <w:szCs w:val="24"/>
              </w:rPr>
              <w:t>Various</w:t>
            </w:r>
          </w:p>
        </w:tc>
        <w:tc>
          <w:tcPr>
            <w:tcW w:w="13697" w:type="dxa"/>
            <w:shd w:val="clear" w:color="auto" w:fill="auto"/>
          </w:tcPr>
          <w:p w14:paraId="335517DC" w14:textId="25FCC2C8" w:rsidR="00E474D6" w:rsidRPr="00F6322B" w:rsidRDefault="00F6322B" w:rsidP="00BA77D1">
            <w:pPr>
              <w:spacing w:after="0" w:line="240" w:lineRule="auto"/>
              <w:jc w:val="both"/>
              <w:rPr>
                <w:rFonts w:ascii="Arial" w:eastAsia="Times New Roman" w:hAnsi="Arial" w:cs="Arial"/>
                <w:sz w:val="24"/>
                <w:szCs w:val="24"/>
              </w:rPr>
            </w:pPr>
            <w:r w:rsidRPr="00F6322B">
              <w:rPr>
                <w:rFonts w:ascii="Arial" w:eastAsia="Times New Roman" w:hAnsi="Arial" w:cs="Arial"/>
                <w:sz w:val="24"/>
                <w:szCs w:val="24"/>
              </w:rPr>
              <w:t>Inclusion additional Assistant Chief Constable (Organisation) and amendment to existing Assistant Chief Constable role to read as Assistant Chief Constable (Operation)</w:t>
            </w:r>
            <w:r w:rsidR="00047C3B">
              <w:rPr>
                <w:rFonts w:ascii="Arial" w:eastAsia="Times New Roman" w:hAnsi="Arial" w:cs="Arial"/>
                <w:sz w:val="24"/>
                <w:szCs w:val="24"/>
              </w:rPr>
              <w:t>.</w:t>
            </w:r>
          </w:p>
          <w:p w14:paraId="62811A2D" w14:textId="77777777" w:rsidR="00E474D6" w:rsidRPr="00F6322B" w:rsidRDefault="00E474D6" w:rsidP="00BA77D1">
            <w:pPr>
              <w:spacing w:after="0" w:line="240" w:lineRule="auto"/>
              <w:jc w:val="both"/>
              <w:rPr>
                <w:rFonts w:ascii="Arial" w:hAnsi="Arial" w:cs="Arial"/>
                <w:sz w:val="24"/>
                <w:szCs w:val="24"/>
              </w:rPr>
            </w:pPr>
          </w:p>
        </w:tc>
      </w:tr>
      <w:tr w:rsidR="00E474D6" w:rsidRPr="00A553B7" w14:paraId="5ADBAB63" w14:textId="77777777" w:rsidTr="00F6322B">
        <w:tc>
          <w:tcPr>
            <w:tcW w:w="1124" w:type="dxa"/>
            <w:shd w:val="clear" w:color="auto" w:fill="auto"/>
          </w:tcPr>
          <w:p w14:paraId="6B931418" w14:textId="65AB6C3F" w:rsidR="00E474D6" w:rsidRPr="00B06068" w:rsidRDefault="00B06068" w:rsidP="00BA77D1">
            <w:pPr>
              <w:rPr>
                <w:rFonts w:ascii="Arial" w:hAnsi="Arial" w:cs="Arial"/>
                <w:sz w:val="24"/>
                <w:szCs w:val="24"/>
              </w:rPr>
            </w:pPr>
            <w:r w:rsidRPr="00B06068">
              <w:rPr>
                <w:rFonts w:ascii="Arial" w:hAnsi="Arial" w:cs="Arial"/>
                <w:sz w:val="24"/>
                <w:szCs w:val="24"/>
              </w:rPr>
              <w:t>Various</w:t>
            </w:r>
          </w:p>
        </w:tc>
        <w:tc>
          <w:tcPr>
            <w:tcW w:w="13697" w:type="dxa"/>
            <w:shd w:val="clear" w:color="auto" w:fill="auto"/>
          </w:tcPr>
          <w:p w14:paraId="0476C120" w14:textId="6FDE4413" w:rsidR="00E474D6" w:rsidRPr="00B06068" w:rsidRDefault="00B06068" w:rsidP="00BA77D1">
            <w:pPr>
              <w:spacing w:after="0" w:line="240" w:lineRule="auto"/>
              <w:jc w:val="both"/>
              <w:rPr>
                <w:rFonts w:ascii="Arial" w:hAnsi="Arial" w:cs="Arial"/>
                <w:sz w:val="24"/>
                <w:szCs w:val="24"/>
              </w:rPr>
            </w:pPr>
            <w:r w:rsidRPr="00B06068">
              <w:rPr>
                <w:rFonts w:ascii="Arial" w:hAnsi="Arial" w:cs="Arial"/>
                <w:sz w:val="24"/>
                <w:szCs w:val="24"/>
              </w:rPr>
              <w:t>Wording added and removed to ensure the document reads appropriately.  This does not cover any significant changes</w:t>
            </w:r>
            <w:r w:rsidR="004724C9">
              <w:rPr>
                <w:rFonts w:ascii="Arial" w:hAnsi="Arial" w:cs="Arial"/>
                <w:sz w:val="24"/>
                <w:szCs w:val="24"/>
              </w:rPr>
              <w:t>; t</w:t>
            </w:r>
            <w:r w:rsidRPr="00B06068">
              <w:rPr>
                <w:rFonts w:ascii="Arial" w:hAnsi="Arial" w:cs="Arial"/>
                <w:sz w:val="24"/>
                <w:szCs w:val="24"/>
              </w:rPr>
              <w:t>hese are referenced in detail in this appendix.</w:t>
            </w:r>
          </w:p>
        </w:tc>
      </w:tr>
      <w:tr w:rsidR="00E474D6" w:rsidRPr="00A553B7" w14:paraId="71D8D532" w14:textId="77777777" w:rsidTr="00F6322B">
        <w:tc>
          <w:tcPr>
            <w:tcW w:w="1124" w:type="dxa"/>
            <w:shd w:val="clear" w:color="auto" w:fill="auto"/>
          </w:tcPr>
          <w:p w14:paraId="384AC8BC" w14:textId="1275141D" w:rsidR="00E474D6" w:rsidRPr="00B8330D" w:rsidRDefault="00B8330D" w:rsidP="00BA77D1">
            <w:pPr>
              <w:rPr>
                <w:rFonts w:ascii="Arial" w:hAnsi="Arial" w:cs="Arial"/>
                <w:sz w:val="24"/>
                <w:szCs w:val="24"/>
              </w:rPr>
            </w:pPr>
            <w:r w:rsidRPr="00B8330D">
              <w:rPr>
                <w:rFonts w:ascii="Arial" w:hAnsi="Arial" w:cs="Arial"/>
                <w:sz w:val="24"/>
                <w:szCs w:val="24"/>
              </w:rPr>
              <w:t>10</w:t>
            </w:r>
            <w:r>
              <w:rPr>
                <w:rFonts w:ascii="Arial" w:hAnsi="Arial" w:cs="Arial"/>
                <w:sz w:val="24"/>
                <w:szCs w:val="24"/>
              </w:rPr>
              <w:t>&amp;11</w:t>
            </w:r>
          </w:p>
        </w:tc>
        <w:tc>
          <w:tcPr>
            <w:tcW w:w="13697" w:type="dxa"/>
            <w:shd w:val="clear" w:color="auto" w:fill="auto"/>
          </w:tcPr>
          <w:p w14:paraId="205CA135" w14:textId="4E444743" w:rsidR="00E474D6" w:rsidRDefault="00B8330D" w:rsidP="00B8330D">
            <w:pPr>
              <w:spacing w:after="0" w:line="240" w:lineRule="auto"/>
              <w:jc w:val="both"/>
              <w:rPr>
                <w:rFonts w:ascii="Arial" w:hAnsi="Arial" w:cs="Arial"/>
                <w:sz w:val="24"/>
                <w:szCs w:val="24"/>
              </w:rPr>
            </w:pPr>
            <w:r w:rsidRPr="00B8330D">
              <w:rPr>
                <w:rFonts w:ascii="Arial" w:hAnsi="Arial" w:cs="Arial"/>
                <w:sz w:val="24"/>
                <w:szCs w:val="24"/>
              </w:rPr>
              <w:t>Inclusion of the principle aims of the C</w:t>
            </w:r>
            <w:r>
              <w:rPr>
                <w:rFonts w:ascii="Arial" w:hAnsi="Arial" w:cs="Arial"/>
                <w:sz w:val="24"/>
                <w:szCs w:val="24"/>
              </w:rPr>
              <w:t xml:space="preserve">hief </w:t>
            </w:r>
            <w:r w:rsidRPr="00B8330D">
              <w:rPr>
                <w:rFonts w:ascii="Arial" w:hAnsi="Arial" w:cs="Arial"/>
                <w:sz w:val="24"/>
                <w:szCs w:val="24"/>
              </w:rPr>
              <w:t>F</w:t>
            </w:r>
            <w:r>
              <w:rPr>
                <w:rFonts w:ascii="Arial" w:hAnsi="Arial" w:cs="Arial"/>
                <w:sz w:val="24"/>
                <w:szCs w:val="24"/>
              </w:rPr>
              <w:t xml:space="preserve">inance </w:t>
            </w:r>
            <w:r w:rsidRPr="00B8330D">
              <w:rPr>
                <w:rFonts w:ascii="Arial" w:hAnsi="Arial" w:cs="Arial"/>
                <w:sz w:val="24"/>
                <w:szCs w:val="24"/>
              </w:rPr>
              <w:t>O</w:t>
            </w:r>
            <w:r>
              <w:rPr>
                <w:rFonts w:ascii="Arial" w:hAnsi="Arial" w:cs="Arial"/>
                <w:sz w:val="24"/>
                <w:szCs w:val="24"/>
              </w:rPr>
              <w:t xml:space="preserve">fficer </w:t>
            </w:r>
            <w:r w:rsidRPr="00B8330D">
              <w:rPr>
                <w:rFonts w:ascii="Arial" w:hAnsi="Arial" w:cs="Arial"/>
                <w:sz w:val="24"/>
                <w:szCs w:val="24"/>
              </w:rPr>
              <w:t>(Chief Constable)</w:t>
            </w:r>
            <w:r>
              <w:rPr>
                <w:rFonts w:ascii="Arial" w:hAnsi="Arial" w:cs="Arial"/>
                <w:sz w:val="24"/>
                <w:szCs w:val="24"/>
              </w:rPr>
              <w:t xml:space="preserve"> and Chief Finance Office (PCC).</w:t>
            </w:r>
          </w:p>
          <w:p w14:paraId="30A98179" w14:textId="707B188D" w:rsidR="00B8330D" w:rsidRPr="00B8330D" w:rsidRDefault="00B8330D" w:rsidP="00B8330D">
            <w:pPr>
              <w:spacing w:after="0" w:line="240" w:lineRule="auto"/>
              <w:jc w:val="both"/>
              <w:rPr>
                <w:rFonts w:ascii="Arial" w:hAnsi="Arial" w:cs="Arial"/>
                <w:sz w:val="24"/>
                <w:szCs w:val="24"/>
              </w:rPr>
            </w:pPr>
          </w:p>
        </w:tc>
      </w:tr>
      <w:tr w:rsidR="00E474D6" w:rsidRPr="00A553B7" w14:paraId="1AA38D98" w14:textId="77777777" w:rsidTr="00F6322B">
        <w:tc>
          <w:tcPr>
            <w:tcW w:w="1124" w:type="dxa"/>
            <w:shd w:val="clear" w:color="auto" w:fill="auto"/>
          </w:tcPr>
          <w:p w14:paraId="2677E1FE" w14:textId="0555A5CB" w:rsidR="00E474D6" w:rsidRPr="000F1ABE" w:rsidRDefault="00B8330D" w:rsidP="00BA77D1">
            <w:pPr>
              <w:rPr>
                <w:rFonts w:ascii="Arial" w:hAnsi="Arial" w:cs="Arial"/>
                <w:sz w:val="24"/>
                <w:szCs w:val="24"/>
              </w:rPr>
            </w:pPr>
            <w:r w:rsidRPr="000F1ABE">
              <w:rPr>
                <w:rFonts w:ascii="Arial" w:hAnsi="Arial" w:cs="Arial"/>
                <w:sz w:val="24"/>
                <w:szCs w:val="24"/>
              </w:rPr>
              <w:t>14</w:t>
            </w:r>
          </w:p>
        </w:tc>
        <w:tc>
          <w:tcPr>
            <w:tcW w:w="13697" w:type="dxa"/>
            <w:shd w:val="clear" w:color="auto" w:fill="auto"/>
          </w:tcPr>
          <w:p w14:paraId="60258671" w14:textId="01A74EF7" w:rsidR="00E474D6" w:rsidRPr="000F1ABE" w:rsidRDefault="00B8330D" w:rsidP="00BA77D1">
            <w:pPr>
              <w:spacing w:after="0" w:line="240" w:lineRule="auto"/>
              <w:jc w:val="both"/>
              <w:rPr>
                <w:rFonts w:ascii="Arial" w:hAnsi="Arial" w:cs="Arial"/>
                <w:sz w:val="24"/>
                <w:szCs w:val="24"/>
              </w:rPr>
            </w:pPr>
            <w:r w:rsidRPr="000F1ABE">
              <w:rPr>
                <w:rFonts w:ascii="Arial" w:hAnsi="Arial" w:cs="Arial"/>
                <w:sz w:val="24"/>
                <w:szCs w:val="24"/>
              </w:rPr>
              <w:t>Clarification that the document sets out the governance arrangements established under legislation and best practice</w:t>
            </w:r>
            <w:r w:rsidR="000F1ABE" w:rsidRPr="000F1ABE">
              <w:rPr>
                <w:rFonts w:ascii="Arial" w:hAnsi="Arial" w:cs="Arial"/>
                <w:sz w:val="24"/>
                <w:szCs w:val="24"/>
              </w:rPr>
              <w:t xml:space="preserve"> and the core principles updated inline with the International Framework for Good Governance in the Public Sector.</w:t>
            </w:r>
          </w:p>
        </w:tc>
      </w:tr>
      <w:tr w:rsidR="00E474D6" w:rsidRPr="00A553B7" w14:paraId="257F9B7E" w14:textId="77777777" w:rsidTr="00F6322B">
        <w:tc>
          <w:tcPr>
            <w:tcW w:w="1124" w:type="dxa"/>
            <w:shd w:val="clear" w:color="auto" w:fill="auto"/>
          </w:tcPr>
          <w:p w14:paraId="0F7BD351" w14:textId="0C8A58E7" w:rsidR="00E474D6" w:rsidRPr="000F1ABE" w:rsidRDefault="000F1ABE" w:rsidP="00BA77D1">
            <w:pPr>
              <w:rPr>
                <w:rFonts w:ascii="Arial" w:hAnsi="Arial" w:cs="Arial"/>
                <w:sz w:val="24"/>
                <w:szCs w:val="24"/>
              </w:rPr>
            </w:pPr>
            <w:r w:rsidRPr="000F1ABE">
              <w:rPr>
                <w:rFonts w:ascii="Arial" w:hAnsi="Arial" w:cs="Arial"/>
                <w:sz w:val="24"/>
                <w:szCs w:val="24"/>
              </w:rPr>
              <w:t>16</w:t>
            </w:r>
          </w:p>
        </w:tc>
        <w:tc>
          <w:tcPr>
            <w:tcW w:w="13697" w:type="dxa"/>
            <w:shd w:val="clear" w:color="auto" w:fill="auto"/>
          </w:tcPr>
          <w:p w14:paraId="1C668EC3" w14:textId="518C21DA" w:rsidR="00E474D6" w:rsidRPr="000F1ABE" w:rsidRDefault="000F1ABE" w:rsidP="00BA77D1">
            <w:pPr>
              <w:spacing w:after="0" w:line="240" w:lineRule="auto"/>
              <w:jc w:val="both"/>
              <w:rPr>
                <w:rFonts w:ascii="Arial" w:hAnsi="Arial" w:cs="Arial"/>
                <w:sz w:val="24"/>
                <w:szCs w:val="24"/>
              </w:rPr>
            </w:pPr>
            <w:r w:rsidRPr="000F1ABE">
              <w:rPr>
                <w:rFonts w:ascii="Arial" w:hAnsi="Arial" w:cs="Arial"/>
                <w:sz w:val="24"/>
                <w:szCs w:val="24"/>
              </w:rPr>
              <w:t xml:space="preserve">Core Principles </w:t>
            </w:r>
            <w:proofErr w:type="gramStart"/>
            <w:r w:rsidRPr="000F1ABE">
              <w:rPr>
                <w:rFonts w:ascii="Arial" w:hAnsi="Arial" w:cs="Arial"/>
                <w:sz w:val="24"/>
                <w:szCs w:val="24"/>
              </w:rPr>
              <w:t>make reference</w:t>
            </w:r>
            <w:proofErr w:type="gramEnd"/>
            <w:r w:rsidRPr="000F1ABE">
              <w:rPr>
                <w:rFonts w:ascii="Arial" w:hAnsi="Arial" w:cs="Arial"/>
                <w:sz w:val="24"/>
                <w:szCs w:val="24"/>
              </w:rPr>
              <w:t xml:space="preserve"> to the Policing Protocol 2023 requiring all parties to abide by the seven principles of public life, replacing the specific reference to the Nolan Principles and the Code of Ethics for Policing.</w:t>
            </w:r>
            <w:r>
              <w:rPr>
                <w:rFonts w:ascii="Arial" w:hAnsi="Arial" w:cs="Arial"/>
                <w:sz w:val="24"/>
                <w:szCs w:val="24"/>
              </w:rPr>
              <w:t xml:space="preserve">  As the Code of Ethics has recently been updated, the document no longer specifically references the two additional areas of ‘Fairness’ and ‘Respect’ over and above the Nolan Principles. They have therefore been removed. </w:t>
            </w:r>
          </w:p>
        </w:tc>
      </w:tr>
      <w:tr w:rsidR="00E474D6" w:rsidRPr="00A553B7" w14:paraId="38665350" w14:textId="77777777" w:rsidTr="00F6322B">
        <w:tc>
          <w:tcPr>
            <w:tcW w:w="1124" w:type="dxa"/>
            <w:shd w:val="clear" w:color="auto" w:fill="auto"/>
          </w:tcPr>
          <w:p w14:paraId="2B7D03A5" w14:textId="148B9108" w:rsidR="00E474D6" w:rsidRPr="000F1ABE" w:rsidRDefault="000F1ABE" w:rsidP="00BA77D1">
            <w:pPr>
              <w:rPr>
                <w:rFonts w:ascii="Arial" w:hAnsi="Arial" w:cs="Arial"/>
                <w:sz w:val="24"/>
                <w:szCs w:val="24"/>
              </w:rPr>
            </w:pPr>
            <w:r w:rsidRPr="000F1ABE">
              <w:rPr>
                <w:rFonts w:ascii="Arial" w:hAnsi="Arial" w:cs="Arial"/>
                <w:sz w:val="24"/>
                <w:szCs w:val="24"/>
              </w:rPr>
              <w:t>17-21</w:t>
            </w:r>
          </w:p>
        </w:tc>
        <w:tc>
          <w:tcPr>
            <w:tcW w:w="13697" w:type="dxa"/>
            <w:shd w:val="clear" w:color="auto" w:fill="auto"/>
          </w:tcPr>
          <w:p w14:paraId="7601A6BB" w14:textId="7D0B1FA3" w:rsidR="00E474D6" w:rsidRPr="000F1ABE" w:rsidRDefault="000F1ABE" w:rsidP="00BA77D1">
            <w:pPr>
              <w:spacing w:after="0" w:line="240" w:lineRule="auto"/>
              <w:jc w:val="both"/>
              <w:rPr>
                <w:rFonts w:ascii="Arial" w:hAnsi="Arial" w:cs="Arial"/>
                <w:sz w:val="24"/>
                <w:szCs w:val="24"/>
              </w:rPr>
            </w:pPr>
            <w:r w:rsidRPr="000F1ABE">
              <w:rPr>
                <w:rFonts w:ascii="Arial" w:hAnsi="Arial" w:cs="Arial"/>
                <w:sz w:val="24"/>
                <w:szCs w:val="24"/>
              </w:rPr>
              <w:t>Context has been provided for each of the seven core principles of good governance, explaining how these principles will be applied in a policing context.</w:t>
            </w:r>
          </w:p>
        </w:tc>
      </w:tr>
      <w:tr w:rsidR="00E474D6" w:rsidRPr="00A553B7" w14:paraId="3A79C60E" w14:textId="77777777" w:rsidTr="00F6322B">
        <w:tc>
          <w:tcPr>
            <w:tcW w:w="1124" w:type="dxa"/>
            <w:shd w:val="clear" w:color="auto" w:fill="auto"/>
          </w:tcPr>
          <w:p w14:paraId="4896F5CF" w14:textId="171AAE84" w:rsidR="00E474D6" w:rsidRPr="00047C3B" w:rsidRDefault="00047C3B" w:rsidP="00BA77D1">
            <w:pPr>
              <w:rPr>
                <w:rFonts w:ascii="Arial" w:hAnsi="Arial" w:cs="Arial"/>
                <w:sz w:val="24"/>
                <w:szCs w:val="24"/>
              </w:rPr>
            </w:pPr>
            <w:r w:rsidRPr="00047C3B">
              <w:rPr>
                <w:rFonts w:ascii="Arial" w:hAnsi="Arial" w:cs="Arial"/>
                <w:sz w:val="24"/>
                <w:szCs w:val="24"/>
              </w:rPr>
              <w:t>25</w:t>
            </w:r>
          </w:p>
        </w:tc>
        <w:tc>
          <w:tcPr>
            <w:tcW w:w="13697" w:type="dxa"/>
            <w:shd w:val="clear" w:color="auto" w:fill="auto"/>
          </w:tcPr>
          <w:p w14:paraId="6260E68E" w14:textId="45080DBE" w:rsidR="00E474D6" w:rsidRPr="00047C3B" w:rsidRDefault="00047C3B" w:rsidP="00BA77D1">
            <w:pPr>
              <w:spacing w:after="0" w:line="240" w:lineRule="auto"/>
              <w:jc w:val="both"/>
              <w:rPr>
                <w:rFonts w:ascii="Arial" w:hAnsi="Arial" w:cs="Arial"/>
                <w:sz w:val="24"/>
                <w:szCs w:val="24"/>
              </w:rPr>
            </w:pPr>
            <w:r w:rsidRPr="00047C3B">
              <w:rPr>
                <w:rFonts w:ascii="Arial" w:eastAsia="Times New Roman" w:hAnsi="Arial" w:cs="Arial"/>
                <w:sz w:val="24"/>
                <w:szCs w:val="24"/>
              </w:rPr>
              <w:t>Removal of the first paragraph beginning “Powers are given to the Chief Constable by laws, orders, rules or regulations”</w:t>
            </w:r>
          </w:p>
        </w:tc>
      </w:tr>
      <w:tr w:rsidR="00E474D6" w:rsidRPr="00A553B7" w14:paraId="012252FF" w14:textId="77777777" w:rsidTr="00F6322B">
        <w:tc>
          <w:tcPr>
            <w:tcW w:w="1124" w:type="dxa"/>
            <w:shd w:val="clear" w:color="auto" w:fill="auto"/>
          </w:tcPr>
          <w:p w14:paraId="6CAFD336" w14:textId="1C1B9C60" w:rsidR="00E474D6" w:rsidRPr="00047C3B" w:rsidRDefault="00047C3B" w:rsidP="00BA77D1">
            <w:pPr>
              <w:rPr>
                <w:rFonts w:ascii="Arial" w:hAnsi="Arial" w:cs="Arial"/>
                <w:sz w:val="24"/>
                <w:szCs w:val="24"/>
              </w:rPr>
            </w:pPr>
            <w:r w:rsidRPr="00047C3B">
              <w:rPr>
                <w:rFonts w:ascii="Arial" w:hAnsi="Arial" w:cs="Arial"/>
                <w:sz w:val="24"/>
                <w:szCs w:val="24"/>
              </w:rPr>
              <w:t>31</w:t>
            </w:r>
          </w:p>
        </w:tc>
        <w:tc>
          <w:tcPr>
            <w:tcW w:w="13697" w:type="dxa"/>
            <w:shd w:val="clear" w:color="auto" w:fill="auto"/>
          </w:tcPr>
          <w:p w14:paraId="3046AD70" w14:textId="203FD62E" w:rsidR="00E474D6" w:rsidRPr="00047C3B" w:rsidRDefault="00047C3B" w:rsidP="00BA77D1">
            <w:pPr>
              <w:autoSpaceDE w:val="0"/>
              <w:autoSpaceDN w:val="0"/>
              <w:adjustRightInd w:val="0"/>
              <w:spacing w:after="0" w:line="240" w:lineRule="auto"/>
              <w:rPr>
                <w:rFonts w:ascii="Arial" w:hAnsi="Arial" w:cs="Arial"/>
                <w:color w:val="000000"/>
                <w:sz w:val="24"/>
                <w:szCs w:val="24"/>
              </w:rPr>
            </w:pPr>
            <w:r w:rsidRPr="00047C3B">
              <w:rPr>
                <w:rFonts w:ascii="Arial" w:hAnsi="Arial" w:cs="Arial"/>
                <w:color w:val="000000"/>
                <w:sz w:val="24"/>
                <w:szCs w:val="24"/>
              </w:rPr>
              <w:t>Reference to the Stage 2 Transfer Process removed.</w:t>
            </w:r>
          </w:p>
          <w:p w14:paraId="22786E0B" w14:textId="77777777" w:rsidR="00E474D6" w:rsidRPr="00047C3B" w:rsidRDefault="00E474D6" w:rsidP="00BA77D1">
            <w:pPr>
              <w:pStyle w:val="Body"/>
              <w:spacing w:line="280" w:lineRule="exact"/>
              <w:ind w:right="0"/>
              <w:rPr>
                <w:rFonts w:ascii="Arial" w:hAnsi="Arial" w:cs="Arial"/>
                <w:sz w:val="24"/>
                <w:szCs w:val="24"/>
              </w:rPr>
            </w:pPr>
          </w:p>
        </w:tc>
      </w:tr>
      <w:tr w:rsidR="00E474D6" w:rsidRPr="00A553B7" w14:paraId="1831A617" w14:textId="77777777" w:rsidTr="00F6322B">
        <w:tc>
          <w:tcPr>
            <w:tcW w:w="1124" w:type="dxa"/>
            <w:shd w:val="clear" w:color="auto" w:fill="auto"/>
          </w:tcPr>
          <w:p w14:paraId="1CD6C08E" w14:textId="55B41E9B" w:rsidR="00E474D6" w:rsidRPr="00041F9A" w:rsidRDefault="00047C3B" w:rsidP="00BA77D1">
            <w:pPr>
              <w:rPr>
                <w:rFonts w:ascii="Arial" w:hAnsi="Arial" w:cs="Arial"/>
                <w:sz w:val="24"/>
                <w:szCs w:val="24"/>
                <w:highlight w:val="yellow"/>
              </w:rPr>
            </w:pPr>
            <w:r w:rsidRPr="00047C3B">
              <w:rPr>
                <w:rFonts w:ascii="Arial" w:hAnsi="Arial" w:cs="Arial"/>
                <w:sz w:val="24"/>
                <w:szCs w:val="24"/>
              </w:rPr>
              <w:t>39</w:t>
            </w:r>
          </w:p>
        </w:tc>
        <w:tc>
          <w:tcPr>
            <w:tcW w:w="13697" w:type="dxa"/>
            <w:shd w:val="clear" w:color="auto" w:fill="auto"/>
          </w:tcPr>
          <w:p w14:paraId="71AD15FE" w14:textId="32DAC571" w:rsidR="00E474D6" w:rsidRPr="00047C3B" w:rsidRDefault="00047C3B" w:rsidP="00047C3B">
            <w:pPr>
              <w:tabs>
                <w:tab w:val="num" w:pos="709"/>
                <w:tab w:val="right" w:pos="9630"/>
              </w:tabs>
              <w:spacing w:after="0" w:line="240" w:lineRule="auto"/>
              <w:jc w:val="both"/>
              <w:rPr>
                <w:rFonts w:ascii="Arial" w:hAnsi="Arial" w:cs="Arial"/>
                <w:sz w:val="24"/>
                <w:szCs w:val="24"/>
              </w:rPr>
            </w:pPr>
            <w:r w:rsidRPr="00047C3B">
              <w:rPr>
                <w:rFonts w:ascii="Arial" w:hAnsi="Arial" w:cs="Arial"/>
                <w:sz w:val="24"/>
                <w:szCs w:val="24"/>
              </w:rPr>
              <w:t>Responsibility for information governance as well as the Senior Information Risk Owner (SIRO) role changes from the Assistant Chief Officer, Resources to the Assistant Chief Constable (Organisation)</w:t>
            </w:r>
          </w:p>
        </w:tc>
      </w:tr>
      <w:tr w:rsidR="00E474D6" w:rsidRPr="00A553B7" w14:paraId="1A51CE0E" w14:textId="77777777" w:rsidTr="00F6322B">
        <w:tc>
          <w:tcPr>
            <w:tcW w:w="1124" w:type="dxa"/>
            <w:shd w:val="clear" w:color="auto" w:fill="auto"/>
          </w:tcPr>
          <w:p w14:paraId="43BD7ABA" w14:textId="50809B7E" w:rsidR="00E474D6" w:rsidRPr="00047C3B" w:rsidRDefault="00047C3B" w:rsidP="00BA77D1">
            <w:pPr>
              <w:rPr>
                <w:rFonts w:ascii="Arial" w:hAnsi="Arial" w:cs="Arial"/>
                <w:sz w:val="24"/>
                <w:szCs w:val="24"/>
              </w:rPr>
            </w:pPr>
            <w:r w:rsidRPr="00047C3B">
              <w:rPr>
                <w:rFonts w:ascii="Arial" w:hAnsi="Arial" w:cs="Arial"/>
                <w:sz w:val="24"/>
                <w:szCs w:val="24"/>
              </w:rPr>
              <w:lastRenderedPageBreak/>
              <w:t>42</w:t>
            </w:r>
            <w:r>
              <w:rPr>
                <w:rFonts w:ascii="Arial" w:hAnsi="Arial" w:cs="Arial"/>
                <w:sz w:val="24"/>
                <w:szCs w:val="24"/>
              </w:rPr>
              <w:t>-58</w:t>
            </w:r>
          </w:p>
        </w:tc>
        <w:tc>
          <w:tcPr>
            <w:tcW w:w="13697" w:type="dxa"/>
            <w:shd w:val="clear" w:color="auto" w:fill="auto"/>
          </w:tcPr>
          <w:p w14:paraId="5719F827" w14:textId="27DEB8D7" w:rsidR="00E474D6" w:rsidRPr="00047C3B" w:rsidRDefault="00047C3B" w:rsidP="00BA77D1">
            <w:pPr>
              <w:rPr>
                <w:rFonts w:ascii="Arial" w:eastAsia="Times New Roman" w:hAnsi="Arial" w:cs="Arial"/>
                <w:sz w:val="24"/>
                <w:szCs w:val="24"/>
              </w:rPr>
            </w:pPr>
            <w:r w:rsidRPr="00047C3B">
              <w:rPr>
                <w:rFonts w:ascii="Arial" w:eastAsia="Times New Roman" w:hAnsi="Arial" w:cs="Arial"/>
                <w:sz w:val="24"/>
                <w:szCs w:val="24"/>
              </w:rPr>
              <w:t>Removal of the terms of reference for meetings.</w:t>
            </w:r>
          </w:p>
        </w:tc>
      </w:tr>
      <w:tr w:rsidR="00E474D6" w:rsidRPr="00A553B7" w14:paraId="5C8E7641" w14:textId="77777777" w:rsidTr="00F6322B">
        <w:tc>
          <w:tcPr>
            <w:tcW w:w="1124" w:type="dxa"/>
            <w:shd w:val="clear" w:color="auto" w:fill="auto"/>
          </w:tcPr>
          <w:p w14:paraId="4F5AB96A" w14:textId="5E5412A7" w:rsidR="00E474D6" w:rsidRPr="00DB1287" w:rsidRDefault="00DB1287" w:rsidP="00BA77D1">
            <w:pPr>
              <w:rPr>
                <w:rFonts w:ascii="Arial" w:hAnsi="Arial" w:cs="Arial"/>
                <w:sz w:val="24"/>
                <w:szCs w:val="24"/>
              </w:rPr>
            </w:pPr>
            <w:r w:rsidRPr="00DB1287">
              <w:rPr>
                <w:rFonts w:ascii="Arial" w:hAnsi="Arial" w:cs="Arial"/>
                <w:sz w:val="24"/>
                <w:szCs w:val="24"/>
              </w:rPr>
              <w:t>66</w:t>
            </w:r>
          </w:p>
        </w:tc>
        <w:tc>
          <w:tcPr>
            <w:tcW w:w="13697" w:type="dxa"/>
            <w:shd w:val="clear" w:color="auto" w:fill="auto"/>
          </w:tcPr>
          <w:p w14:paraId="500F3A8A" w14:textId="71982F62" w:rsidR="00E474D6" w:rsidRDefault="00DB1287" w:rsidP="00DB1287">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Clarification that </w:t>
            </w:r>
            <w:r w:rsidRPr="00DB1287">
              <w:rPr>
                <w:rFonts w:ascii="Arial" w:hAnsi="Arial" w:cs="Arial"/>
                <w:sz w:val="24"/>
                <w:szCs w:val="24"/>
              </w:rPr>
              <w:t xml:space="preserve">the Code of Practice for Ethical Policing 2023 and the Code of Ethics 2024 </w:t>
            </w:r>
            <w:r>
              <w:rPr>
                <w:rFonts w:ascii="Arial" w:hAnsi="Arial" w:cs="Arial"/>
                <w:sz w:val="24"/>
                <w:szCs w:val="24"/>
              </w:rPr>
              <w:t xml:space="preserve">are followed by the PCC, their </w:t>
            </w:r>
            <w:proofErr w:type="gramStart"/>
            <w:r>
              <w:rPr>
                <w:rFonts w:ascii="Arial" w:hAnsi="Arial" w:cs="Arial"/>
                <w:sz w:val="24"/>
                <w:szCs w:val="24"/>
              </w:rPr>
              <w:t>Deputy</w:t>
            </w:r>
            <w:proofErr w:type="gramEnd"/>
            <w:r>
              <w:rPr>
                <w:rFonts w:ascii="Arial" w:hAnsi="Arial" w:cs="Arial"/>
                <w:sz w:val="24"/>
                <w:szCs w:val="24"/>
              </w:rPr>
              <w:t xml:space="preserve"> and the</w:t>
            </w:r>
            <w:r w:rsidR="004724C9">
              <w:rPr>
                <w:rFonts w:ascii="Arial" w:hAnsi="Arial" w:cs="Arial"/>
                <w:sz w:val="24"/>
                <w:szCs w:val="24"/>
              </w:rPr>
              <w:t>ir</w:t>
            </w:r>
            <w:r>
              <w:rPr>
                <w:rFonts w:ascii="Arial" w:hAnsi="Arial" w:cs="Arial"/>
                <w:sz w:val="24"/>
                <w:szCs w:val="24"/>
              </w:rPr>
              <w:t xml:space="preserve"> Office.</w:t>
            </w:r>
          </w:p>
          <w:p w14:paraId="0956A898" w14:textId="1E30BD50" w:rsidR="00277D39" w:rsidRPr="00DB1287" w:rsidRDefault="00277D39" w:rsidP="00DB1287">
            <w:pPr>
              <w:autoSpaceDE w:val="0"/>
              <w:autoSpaceDN w:val="0"/>
              <w:adjustRightInd w:val="0"/>
              <w:spacing w:after="0" w:line="240" w:lineRule="auto"/>
              <w:rPr>
                <w:rFonts w:ascii="Arial" w:hAnsi="Arial" w:cs="Arial"/>
                <w:sz w:val="24"/>
                <w:szCs w:val="24"/>
              </w:rPr>
            </w:pPr>
          </w:p>
        </w:tc>
      </w:tr>
      <w:tr w:rsidR="00E474D6" w:rsidRPr="00A553B7" w14:paraId="1A36F8C4" w14:textId="77777777" w:rsidTr="00F6322B">
        <w:tc>
          <w:tcPr>
            <w:tcW w:w="1124" w:type="dxa"/>
            <w:shd w:val="clear" w:color="auto" w:fill="auto"/>
          </w:tcPr>
          <w:p w14:paraId="605B8DCD" w14:textId="55786CE2" w:rsidR="00E474D6" w:rsidRPr="00041F9A" w:rsidRDefault="00500E47" w:rsidP="00BA77D1">
            <w:pPr>
              <w:rPr>
                <w:rFonts w:ascii="Arial" w:hAnsi="Arial" w:cs="Arial"/>
                <w:sz w:val="24"/>
                <w:szCs w:val="24"/>
                <w:highlight w:val="yellow"/>
              </w:rPr>
            </w:pPr>
            <w:r w:rsidRPr="00500E47">
              <w:rPr>
                <w:rFonts w:ascii="Arial" w:hAnsi="Arial" w:cs="Arial"/>
                <w:sz w:val="24"/>
                <w:szCs w:val="24"/>
              </w:rPr>
              <w:t>69</w:t>
            </w:r>
          </w:p>
        </w:tc>
        <w:tc>
          <w:tcPr>
            <w:tcW w:w="13697" w:type="dxa"/>
            <w:shd w:val="clear" w:color="auto" w:fill="auto"/>
          </w:tcPr>
          <w:p w14:paraId="684AD76A" w14:textId="518B510C" w:rsidR="00E474D6" w:rsidRPr="00041F9A" w:rsidRDefault="00F430B6" w:rsidP="00500E47">
            <w:pPr>
              <w:autoSpaceDE w:val="0"/>
              <w:autoSpaceDN w:val="0"/>
              <w:adjustRightInd w:val="0"/>
              <w:spacing w:after="0" w:line="240" w:lineRule="auto"/>
              <w:rPr>
                <w:rFonts w:ascii="Arial" w:hAnsi="Arial" w:cs="Arial"/>
                <w:sz w:val="24"/>
                <w:szCs w:val="24"/>
                <w:highlight w:val="yellow"/>
              </w:rPr>
            </w:pPr>
            <w:r w:rsidRPr="00F430B6">
              <w:rPr>
                <w:rFonts w:ascii="Arial" w:hAnsi="Arial" w:cs="Arial"/>
                <w:sz w:val="24"/>
                <w:szCs w:val="24"/>
              </w:rPr>
              <w:t>Introduction to the Scheme of Consent and Delegation included.</w:t>
            </w:r>
          </w:p>
        </w:tc>
      </w:tr>
      <w:tr w:rsidR="00E474D6" w:rsidRPr="00A553B7" w14:paraId="54466AF8" w14:textId="77777777" w:rsidTr="00F6322B">
        <w:tc>
          <w:tcPr>
            <w:tcW w:w="1124" w:type="dxa"/>
            <w:shd w:val="clear" w:color="auto" w:fill="auto"/>
          </w:tcPr>
          <w:p w14:paraId="49F24953" w14:textId="6D326EAC" w:rsidR="00E474D6" w:rsidRPr="002B50F0" w:rsidRDefault="00F430B6" w:rsidP="00BA77D1">
            <w:pPr>
              <w:rPr>
                <w:rFonts w:ascii="Arial" w:hAnsi="Arial" w:cs="Arial"/>
                <w:sz w:val="24"/>
                <w:szCs w:val="24"/>
              </w:rPr>
            </w:pPr>
            <w:r w:rsidRPr="002B50F0">
              <w:rPr>
                <w:rFonts w:ascii="Arial" w:hAnsi="Arial" w:cs="Arial"/>
                <w:sz w:val="24"/>
                <w:szCs w:val="24"/>
              </w:rPr>
              <w:t>71</w:t>
            </w:r>
          </w:p>
        </w:tc>
        <w:tc>
          <w:tcPr>
            <w:tcW w:w="13697" w:type="dxa"/>
            <w:shd w:val="clear" w:color="auto" w:fill="auto"/>
          </w:tcPr>
          <w:p w14:paraId="7BB333CD" w14:textId="77777777" w:rsidR="00E474D6" w:rsidRPr="002B50F0" w:rsidRDefault="00F430B6" w:rsidP="00F430B6">
            <w:pPr>
              <w:jc w:val="both"/>
              <w:rPr>
                <w:rFonts w:ascii="Arial" w:hAnsi="Arial" w:cs="Arial"/>
                <w:sz w:val="24"/>
                <w:szCs w:val="24"/>
              </w:rPr>
            </w:pPr>
            <w:r w:rsidRPr="002B50F0">
              <w:rPr>
                <w:rFonts w:ascii="Arial" w:hAnsi="Arial" w:cs="Arial"/>
                <w:sz w:val="24"/>
                <w:szCs w:val="24"/>
              </w:rPr>
              <w:t>Removal of paragraph 1.4:</w:t>
            </w:r>
          </w:p>
          <w:p w14:paraId="264C32D2" w14:textId="12F1129B" w:rsidR="00F430B6" w:rsidRPr="002B50F0" w:rsidRDefault="00F430B6" w:rsidP="00F430B6">
            <w:pPr>
              <w:jc w:val="both"/>
              <w:rPr>
                <w:rFonts w:ascii="Arial" w:hAnsi="Arial" w:cs="Arial"/>
                <w:sz w:val="24"/>
                <w:szCs w:val="24"/>
              </w:rPr>
            </w:pPr>
            <w:r w:rsidRPr="002B50F0">
              <w:rPr>
                <w:rFonts w:ascii="Arial" w:hAnsi="Arial" w:cs="Arial"/>
                <w:i/>
                <w:iCs/>
                <w:sz w:val="24"/>
                <w:szCs w:val="24"/>
              </w:rPr>
              <w:t>1.4 The persons appointed as the Chief Executive, the CFO (PCC) and the CFO (Chief Constable) have statutory powers and duties relating to their positions, and therefore do not rely upon matters being delegated to them to carry out such powers and duties.</w:t>
            </w:r>
          </w:p>
        </w:tc>
      </w:tr>
      <w:tr w:rsidR="00E474D6" w:rsidRPr="00A553B7" w14:paraId="4912BDE1" w14:textId="77777777" w:rsidTr="00F6322B">
        <w:tc>
          <w:tcPr>
            <w:tcW w:w="1124" w:type="dxa"/>
            <w:shd w:val="clear" w:color="auto" w:fill="auto"/>
          </w:tcPr>
          <w:p w14:paraId="2C828D47" w14:textId="77777777" w:rsidR="00E474D6" w:rsidRPr="00C92EB4" w:rsidRDefault="00E474D6" w:rsidP="00BA77D1">
            <w:pPr>
              <w:rPr>
                <w:rFonts w:ascii="Arial" w:hAnsi="Arial" w:cs="Arial"/>
                <w:sz w:val="24"/>
                <w:szCs w:val="24"/>
              </w:rPr>
            </w:pPr>
            <w:r w:rsidRPr="00C92EB4">
              <w:rPr>
                <w:rFonts w:ascii="Arial" w:hAnsi="Arial" w:cs="Arial"/>
                <w:sz w:val="24"/>
                <w:szCs w:val="24"/>
              </w:rPr>
              <w:t>73</w:t>
            </w:r>
          </w:p>
        </w:tc>
        <w:tc>
          <w:tcPr>
            <w:tcW w:w="13697" w:type="dxa"/>
            <w:shd w:val="clear" w:color="auto" w:fill="auto"/>
          </w:tcPr>
          <w:p w14:paraId="2772A6D3" w14:textId="3AB5A324" w:rsidR="00424634" w:rsidRPr="00C92EB4" w:rsidRDefault="00E474D6" w:rsidP="00C92EB4">
            <w:pPr>
              <w:rPr>
                <w:rFonts w:ascii="Arial" w:eastAsia="Times New Roman" w:hAnsi="Arial" w:cs="Arial"/>
                <w:sz w:val="24"/>
                <w:szCs w:val="24"/>
              </w:rPr>
            </w:pPr>
            <w:r w:rsidRPr="00C92EB4">
              <w:rPr>
                <w:rFonts w:ascii="Arial" w:eastAsia="Times New Roman" w:hAnsi="Arial" w:cs="Arial"/>
                <w:sz w:val="24"/>
                <w:szCs w:val="24"/>
              </w:rPr>
              <w:t xml:space="preserve">Delegations to the </w:t>
            </w:r>
            <w:r w:rsidR="00424634" w:rsidRPr="00C92EB4">
              <w:rPr>
                <w:rFonts w:ascii="Arial" w:eastAsia="Times New Roman" w:hAnsi="Arial" w:cs="Arial"/>
                <w:sz w:val="24"/>
                <w:szCs w:val="24"/>
              </w:rPr>
              <w:t>Chief Executive:</w:t>
            </w:r>
            <w:r w:rsidR="001F4BA4" w:rsidRPr="00C92EB4">
              <w:rPr>
                <w:rFonts w:ascii="Arial" w:eastAsia="Times New Roman" w:hAnsi="Arial" w:cs="Arial"/>
                <w:sz w:val="24"/>
                <w:szCs w:val="24"/>
              </w:rPr>
              <w:t xml:space="preserve"> </w:t>
            </w:r>
          </w:p>
          <w:p w14:paraId="764BBAC8" w14:textId="7D835F30" w:rsidR="001F4BA4" w:rsidRPr="00C92EB4" w:rsidRDefault="001F4BA4" w:rsidP="00C92EB4">
            <w:pPr>
              <w:rPr>
                <w:rFonts w:ascii="Arial" w:eastAsia="Times New Roman" w:hAnsi="Arial" w:cs="Arial"/>
                <w:sz w:val="24"/>
                <w:szCs w:val="24"/>
              </w:rPr>
            </w:pPr>
            <w:r w:rsidRPr="00C92EB4">
              <w:rPr>
                <w:rFonts w:ascii="Arial" w:eastAsia="Times New Roman" w:hAnsi="Arial" w:cs="Arial"/>
                <w:sz w:val="24"/>
                <w:szCs w:val="24"/>
              </w:rPr>
              <w:t>This section has been re-ordered and delegations grouped under headings.</w:t>
            </w:r>
          </w:p>
          <w:p w14:paraId="1463119A" w14:textId="699E2BE9" w:rsidR="00424634" w:rsidRPr="00C92EB4" w:rsidRDefault="00424634" w:rsidP="00C92EB4">
            <w:pPr>
              <w:rPr>
                <w:rFonts w:ascii="Arial" w:eastAsia="Times New Roman" w:hAnsi="Arial" w:cs="Arial"/>
                <w:sz w:val="24"/>
                <w:szCs w:val="24"/>
              </w:rPr>
            </w:pPr>
            <w:r w:rsidRPr="00C92EB4">
              <w:rPr>
                <w:rFonts w:ascii="Arial" w:eastAsia="Times New Roman" w:hAnsi="Arial" w:cs="Arial"/>
                <w:sz w:val="24"/>
                <w:szCs w:val="24"/>
              </w:rPr>
              <w:t>Inclusion of the following:</w:t>
            </w:r>
          </w:p>
          <w:p w14:paraId="7C5F61DA" w14:textId="080183C1" w:rsidR="00424634" w:rsidRPr="00C92EB4" w:rsidRDefault="00424634" w:rsidP="00C92EB4">
            <w:pPr>
              <w:pStyle w:val="ListParagraph"/>
              <w:numPr>
                <w:ilvl w:val="1"/>
                <w:numId w:val="42"/>
              </w:numPr>
              <w:tabs>
                <w:tab w:val="left" w:pos="851"/>
                <w:tab w:val="left" w:pos="993"/>
              </w:tabs>
              <w:ind w:left="745"/>
              <w:rPr>
                <w:rFonts w:ascii="Arial" w:hAnsi="Arial" w:cs="Arial"/>
                <w:noProof/>
                <w:sz w:val="24"/>
                <w:szCs w:val="24"/>
              </w:rPr>
            </w:pPr>
            <w:r w:rsidRPr="00C92EB4">
              <w:rPr>
                <w:rFonts w:ascii="Arial" w:hAnsi="Arial" w:cs="Arial"/>
                <w:noProof/>
                <w:sz w:val="24"/>
                <w:szCs w:val="24"/>
              </w:rPr>
              <w:t xml:space="preserve"> To respon</w:t>
            </w:r>
            <w:r w:rsidR="00C92EB4">
              <w:rPr>
                <w:rFonts w:ascii="Arial" w:hAnsi="Arial" w:cs="Arial"/>
                <w:noProof/>
                <w:sz w:val="24"/>
                <w:szCs w:val="24"/>
              </w:rPr>
              <w:t>d</w:t>
            </w:r>
            <w:r w:rsidRPr="00C92EB4">
              <w:rPr>
                <w:rFonts w:ascii="Arial" w:hAnsi="Arial" w:cs="Arial"/>
                <w:noProof/>
                <w:sz w:val="24"/>
                <w:szCs w:val="24"/>
              </w:rPr>
              <w:t xml:space="preserve"> to consultations on proposals in respect of all issues affecting the PCC, if necessary, after first taking the</w:t>
            </w:r>
            <w:r w:rsidR="00C92EB4">
              <w:rPr>
                <w:rFonts w:ascii="Arial" w:hAnsi="Arial" w:cs="Arial"/>
                <w:noProof/>
                <w:sz w:val="24"/>
                <w:szCs w:val="24"/>
              </w:rPr>
              <w:t xml:space="preserve"> </w:t>
            </w:r>
            <w:r w:rsidRPr="00C92EB4">
              <w:rPr>
                <w:rFonts w:ascii="Arial" w:hAnsi="Arial" w:cs="Arial"/>
                <w:noProof/>
                <w:sz w:val="24"/>
                <w:szCs w:val="24"/>
              </w:rPr>
              <w:t>views of the PCC, Chief Constable, CFO (PCC) and CFO (CC) as appropriate.</w:t>
            </w:r>
          </w:p>
          <w:p w14:paraId="2FAFC42B" w14:textId="77777777" w:rsidR="00424634" w:rsidRPr="00C92EB4" w:rsidRDefault="00424634" w:rsidP="00C92EB4">
            <w:pPr>
              <w:pStyle w:val="ListParagraph"/>
              <w:ind w:left="745"/>
              <w:rPr>
                <w:rFonts w:ascii="Arial" w:hAnsi="Arial" w:cs="Arial"/>
                <w:noProof/>
                <w:sz w:val="24"/>
                <w:szCs w:val="24"/>
              </w:rPr>
            </w:pPr>
          </w:p>
          <w:p w14:paraId="05057B1E" w14:textId="7588513A" w:rsidR="00424634" w:rsidRPr="00C92EB4" w:rsidRDefault="00424634" w:rsidP="00C92EB4">
            <w:pPr>
              <w:pStyle w:val="ListParagraph"/>
              <w:numPr>
                <w:ilvl w:val="1"/>
                <w:numId w:val="43"/>
              </w:numPr>
              <w:tabs>
                <w:tab w:val="left" w:pos="851"/>
                <w:tab w:val="left" w:pos="993"/>
              </w:tabs>
              <w:ind w:left="745"/>
              <w:rPr>
                <w:rFonts w:ascii="Arial" w:hAnsi="Arial" w:cs="Arial"/>
                <w:sz w:val="24"/>
                <w:szCs w:val="24"/>
              </w:rPr>
            </w:pPr>
            <w:r w:rsidRPr="00C92EB4">
              <w:rPr>
                <w:rFonts w:ascii="Arial" w:hAnsi="Arial" w:cs="Arial"/>
                <w:noProof/>
                <w:sz w:val="24"/>
                <w:szCs w:val="24"/>
              </w:rPr>
              <w:t xml:space="preserve">In the absence of the PCC and the DPCC, the PCC delegates to the Chief Executive all of his/her functions (except those prohibited by law) unless otherwise agreed. </w:t>
            </w:r>
          </w:p>
          <w:p w14:paraId="3E50EB0A" w14:textId="77777777" w:rsidR="00424634" w:rsidRPr="00C92EB4" w:rsidRDefault="00424634" w:rsidP="00C92EB4">
            <w:pPr>
              <w:pStyle w:val="ListParagraph"/>
              <w:rPr>
                <w:rFonts w:ascii="Arial" w:hAnsi="Arial" w:cs="Arial"/>
                <w:sz w:val="24"/>
                <w:szCs w:val="24"/>
              </w:rPr>
            </w:pPr>
          </w:p>
          <w:p w14:paraId="5A755560" w14:textId="0A7856AB" w:rsidR="00371DB7" w:rsidRDefault="00371DB7" w:rsidP="00C92EB4">
            <w:pPr>
              <w:tabs>
                <w:tab w:val="left" w:pos="993"/>
              </w:tabs>
              <w:ind w:left="461"/>
              <w:contextualSpacing/>
              <w:rPr>
                <w:rFonts w:ascii="Arial" w:hAnsi="Arial" w:cs="Arial"/>
                <w:sz w:val="24"/>
                <w:szCs w:val="24"/>
              </w:rPr>
            </w:pPr>
            <w:r w:rsidRPr="00C92EB4">
              <w:rPr>
                <w:rFonts w:ascii="Arial" w:hAnsi="Arial" w:cs="Arial"/>
                <w:sz w:val="24"/>
                <w:szCs w:val="24"/>
              </w:rPr>
              <w:t>Inclusion of italic section at 4.9:</w:t>
            </w:r>
          </w:p>
          <w:p w14:paraId="69313B5F" w14:textId="03EDD844" w:rsidR="00677378" w:rsidRPr="00277D39" w:rsidRDefault="00677378" w:rsidP="00677378">
            <w:pPr>
              <w:rPr>
                <w:rFonts w:ascii="Arial" w:hAnsi="Arial" w:cs="Arial"/>
                <w:sz w:val="24"/>
                <w:szCs w:val="24"/>
              </w:rPr>
            </w:pPr>
            <w:r>
              <w:rPr>
                <w:rFonts w:ascii="Arial" w:hAnsi="Arial" w:cs="Arial"/>
                <w:sz w:val="24"/>
                <w:szCs w:val="24"/>
              </w:rPr>
              <w:br/>
              <w:t xml:space="preserve">      4.9 </w:t>
            </w:r>
            <w:r w:rsidRPr="00277D39">
              <w:rPr>
                <w:rFonts w:ascii="Arial" w:hAnsi="Arial" w:cs="Arial"/>
                <w:sz w:val="24"/>
                <w:szCs w:val="24"/>
              </w:rPr>
              <w:t xml:space="preserve">To </w:t>
            </w:r>
            <w:r w:rsidRPr="004724C9">
              <w:rPr>
                <w:rFonts w:ascii="Arial" w:hAnsi="Arial" w:cs="Arial"/>
                <w:i/>
                <w:iCs/>
                <w:sz w:val="24"/>
                <w:szCs w:val="24"/>
              </w:rPr>
              <w:t>lead on risk management for the PCC and</w:t>
            </w:r>
            <w:r w:rsidRPr="008B428F">
              <w:rPr>
                <w:rFonts w:ascii="Arial" w:hAnsi="Arial" w:cs="Arial"/>
                <w:i/>
                <w:iCs/>
                <w:sz w:val="24"/>
                <w:szCs w:val="24"/>
              </w:rPr>
              <w:t xml:space="preserve"> to</w:t>
            </w:r>
            <w:r w:rsidRPr="00277D39">
              <w:rPr>
                <w:rFonts w:ascii="Arial" w:hAnsi="Arial" w:cs="Arial"/>
                <w:sz w:val="24"/>
                <w:szCs w:val="24"/>
              </w:rPr>
              <w:t xml:space="preserve"> ensure adequate risk management processes are in place in </w:t>
            </w:r>
            <w:r>
              <w:rPr>
                <w:rFonts w:ascii="Arial" w:hAnsi="Arial" w:cs="Arial"/>
                <w:sz w:val="24"/>
                <w:szCs w:val="24"/>
              </w:rPr>
              <w:br/>
              <w:t xml:space="preserve">            </w:t>
            </w:r>
            <w:r w:rsidRPr="00277D39">
              <w:rPr>
                <w:rFonts w:ascii="Arial" w:hAnsi="Arial" w:cs="Arial"/>
                <w:sz w:val="24"/>
                <w:szCs w:val="24"/>
              </w:rPr>
              <w:t xml:space="preserve">conjunction with the </w:t>
            </w:r>
            <w:r w:rsidR="004724C9">
              <w:rPr>
                <w:rFonts w:ascii="Arial" w:hAnsi="Arial" w:cs="Arial"/>
                <w:sz w:val="24"/>
                <w:szCs w:val="24"/>
              </w:rPr>
              <w:t>CFO (PCC)</w:t>
            </w:r>
            <w:r w:rsidRPr="00277D39">
              <w:rPr>
                <w:rFonts w:ascii="Arial" w:hAnsi="Arial" w:cs="Arial"/>
                <w:sz w:val="24"/>
                <w:szCs w:val="24"/>
              </w:rPr>
              <w:t>.</w:t>
            </w:r>
          </w:p>
          <w:p w14:paraId="40A3DBBA" w14:textId="77777777" w:rsidR="00677378" w:rsidRPr="00C92EB4" w:rsidRDefault="00677378" w:rsidP="00C92EB4">
            <w:pPr>
              <w:tabs>
                <w:tab w:val="left" w:pos="993"/>
              </w:tabs>
              <w:ind w:left="461"/>
              <w:contextualSpacing/>
              <w:rPr>
                <w:rFonts w:ascii="Arial" w:hAnsi="Arial" w:cs="Arial"/>
                <w:sz w:val="24"/>
                <w:szCs w:val="24"/>
              </w:rPr>
            </w:pPr>
          </w:p>
          <w:p w14:paraId="7E86D1CF" w14:textId="3F5E9657" w:rsidR="00424634" w:rsidRDefault="00371DB7" w:rsidP="00C92EB4">
            <w:pPr>
              <w:tabs>
                <w:tab w:val="left" w:pos="993"/>
              </w:tabs>
              <w:ind w:left="461"/>
              <w:contextualSpacing/>
              <w:rPr>
                <w:rFonts w:ascii="Arial" w:hAnsi="Arial" w:cs="Arial"/>
                <w:i/>
                <w:iCs/>
                <w:sz w:val="24"/>
                <w:szCs w:val="24"/>
              </w:rPr>
            </w:pPr>
            <w:r w:rsidRPr="00C92EB4">
              <w:rPr>
                <w:rFonts w:ascii="Arial" w:hAnsi="Arial" w:cs="Arial"/>
                <w:sz w:val="24"/>
                <w:szCs w:val="24"/>
              </w:rPr>
              <w:lastRenderedPageBreak/>
              <w:t>4.</w:t>
            </w:r>
            <w:r w:rsidR="00677378">
              <w:rPr>
                <w:rFonts w:ascii="Arial" w:hAnsi="Arial" w:cs="Arial"/>
                <w:sz w:val="24"/>
                <w:szCs w:val="24"/>
              </w:rPr>
              <w:t>10</w:t>
            </w:r>
            <w:r w:rsidRPr="00C92EB4">
              <w:rPr>
                <w:rFonts w:ascii="Arial" w:hAnsi="Arial" w:cs="Arial"/>
                <w:sz w:val="24"/>
                <w:szCs w:val="24"/>
              </w:rPr>
              <w:t xml:space="preserve"> To appoint and dismiss staff employed by the Police and Crime Commissioner pursuant to paragraph 6(3) of Schedule 1 of the Act </w:t>
            </w:r>
            <w:r w:rsidRPr="00C92EB4">
              <w:rPr>
                <w:rFonts w:ascii="Arial" w:hAnsi="Arial" w:cs="Arial"/>
                <w:i/>
                <w:iCs/>
                <w:sz w:val="24"/>
                <w:szCs w:val="24"/>
              </w:rPr>
              <w:t>save that this shall not apply to the appointment or dismissal of or disciplinary action against the Chief Executive or the CFO (PCC).</w:t>
            </w:r>
          </w:p>
          <w:p w14:paraId="6627AA50" w14:textId="77777777" w:rsidR="00C92EB4" w:rsidRPr="00C92EB4" w:rsidRDefault="00C92EB4" w:rsidP="00C92EB4">
            <w:pPr>
              <w:tabs>
                <w:tab w:val="left" w:pos="993"/>
              </w:tabs>
              <w:ind w:left="461"/>
              <w:contextualSpacing/>
              <w:rPr>
                <w:rFonts w:ascii="Arial" w:hAnsi="Arial" w:cs="Arial"/>
                <w:sz w:val="24"/>
                <w:szCs w:val="24"/>
              </w:rPr>
            </w:pPr>
          </w:p>
          <w:p w14:paraId="5B2AD3D6" w14:textId="012EA23C" w:rsidR="00E474D6" w:rsidRPr="00C92EB4" w:rsidRDefault="00C92EB4" w:rsidP="00C92EB4">
            <w:pPr>
              <w:ind w:left="461"/>
              <w:rPr>
                <w:rFonts w:ascii="Arial" w:eastAsia="Times New Roman" w:hAnsi="Arial" w:cs="Arial"/>
                <w:sz w:val="24"/>
                <w:szCs w:val="24"/>
              </w:rPr>
            </w:pPr>
            <w:r>
              <w:rPr>
                <w:rFonts w:ascii="Arial" w:eastAsia="Times New Roman" w:hAnsi="Arial" w:cs="Arial"/>
                <w:sz w:val="24"/>
                <w:szCs w:val="24"/>
              </w:rPr>
              <w:t>4.1</w:t>
            </w:r>
            <w:r w:rsidR="00677378">
              <w:rPr>
                <w:rFonts w:ascii="Arial" w:eastAsia="Times New Roman" w:hAnsi="Arial" w:cs="Arial"/>
                <w:sz w:val="24"/>
                <w:szCs w:val="24"/>
              </w:rPr>
              <w:t>2</w:t>
            </w:r>
            <w:r>
              <w:rPr>
                <w:rFonts w:ascii="Arial" w:eastAsia="Times New Roman" w:hAnsi="Arial" w:cs="Arial"/>
                <w:sz w:val="24"/>
                <w:szCs w:val="24"/>
              </w:rPr>
              <w:t xml:space="preserve"> </w:t>
            </w:r>
            <w:r w:rsidRPr="00C92EB4">
              <w:rPr>
                <w:rFonts w:ascii="Arial" w:hAnsi="Arial" w:cs="Arial"/>
                <w:sz w:val="24"/>
                <w:szCs w:val="24"/>
              </w:rPr>
              <w:t>To undertake the management of staff employed by the PCC in line with agreed policies and procedures</w:t>
            </w:r>
            <w:r>
              <w:rPr>
                <w:rFonts w:ascii="Arial" w:hAnsi="Arial" w:cs="Arial"/>
                <w:sz w:val="24"/>
                <w:szCs w:val="24"/>
              </w:rPr>
              <w:t>.</w:t>
            </w:r>
          </w:p>
          <w:p w14:paraId="76717E92" w14:textId="65A654E2" w:rsidR="001F4BA4" w:rsidRPr="00C92EB4" w:rsidRDefault="001F4BA4" w:rsidP="00C92EB4">
            <w:pPr>
              <w:ind w:left="461"/>
              <w:rPr>
                <w:rFonts w:ascii="Arial" w:eastAsia="Times New Roman" w:hAnsi="Arial" w:cs="Arial"/>
                <w:sz w:val="24"/>
                <w:szCs w:val="24"/>
              </w:rPr>
            </w:pPr>
            <w:r w:rsidRPr="00C92EB4">
              <w:rPr>
                <w:rFonts w:ascii="Arial" w:eastAsia="Times New Roman" w:hAnsi="Arial" w:cs="Arial"/>
                <w:sz w:val="24"/>
                <w:szCs w:val="24"/>
              </w:rPr>
              <w:t>4.1</w:t>
            </w:r>
            <w:r w:rsidR="00677378">
              <w:rPr>
                <w:rFonts w:ascii="Arial" w:eastAsia="Times New Roman" w:hAnsi="Arial" w:cs="Arial"/>
                <w:sz w:val="24"/>
                <w:szCs w:val="24"/>
              </w:rPr>
              <w:t>7</w:t>
            </w:r>
            <w:r w:rsidRPr="00C92EB4">
              <w:rPr>
                <w:rFonts w:ascii="Arial" w:eastAsia="Times New Roman" w:hAnsi="Arial" w:cs="Arial"/>
                <w:sz w:val="24"/>
                <w:szCs w:val="24"/>
              </w:rPr>
              <w:t xml:space="preserve"> has been amended to include the statement that all ill health retirements will be reported to the PCC.</w:t>
            </w:r>
          </w:p>
          <w:p w14:paraId="0B98F17B" w14:textId="33E94776" w:rsidR="001F4BA4" w:rsidRPr="00C92EB4" w:rsidRDefault="001F4BA4" w:rsidP="00C92EB4">
            <w:pPr>
              <w:tabs>
                <w:tab w:val="left" w:pos="993"/>
              </w:tabs>
              <w:ind w:left="851" w:hanging="390"/>
              <w:jc w:val="both"/>
              <w:rPr>
                <w:rFonts w:ascii="Arial" w:hAnsi="Arial" w:cs="Arial"/>
                <w:sz w:val="24"/>
                <w:szCs w:val="24"/>
              </w:rPr>
            </w:pPr>
            <w:r w:rsidRPr="00C92EB4">
              <w:rPr>
                <w:rFonts w:ascii="Arial" w:hAnsi="Arial" w:cs="Arial"/>
                <w:sz w:val="24"/>
                <w:szCs w:val="24"/>
              </w:rPr>
              <w:t>4.1</w:t>
            </w:r>
            <w:r w:rsidR="00677378">
              <w:rPr>
                <w:rFonts w:ascii="Arial" w:hAnsi="Arial" w:cs="Arial"/>
                <w:sz w:val="24"/>
                <w:szCs w:val="24"/>
              </w:rPr>
              <w:t>9</w:t>
            </w:r>
            <w:r w:rsidRPr="00C92EB4">
              <w:rPr>
                <w:rFonts w:ascii="Arial" w:hAnsi="Arial" w:cs="Arial"/>
                <w:sz w:val="24"/>
                <w:szCs w:val="24"/>
              </w:rPr>
              <w:tab/>
              <w:t xml:space="preserve">To settle appeals against decisions of the Senior Administrator of the Local Government Pension Scheme in line with the Occupational Pension Schemes (Internal Dispute Resolution Procedures) Regulations 1996. </w:t>
            </w:r>
          </w:p>
          <w:p w14:paraId="0574A2F3" w14:textId="094B6EBB" w:rsidR="001F4BA4" w:rsidRPr="00C92EB4" w:rsidRDefault="001F4BA4" w:rsidP="00C92EB4">
            <w:pPr>
              <w:tabs>
                <w:tab w:val="left" w:pos="993"/>
              </w:tabs>
              <w:ind w:left="851" w:hanging="390"/>
              <w:jc w:val="both"/>
              <w:rPr>
                <w:rFonts w:ascii="Arial" w:hAnsi="Arial" w:cs="Arial"/>
                <w:sz w:val="24"/>
                <w:szCs w:val="24"/>
              </w:rPr>
            </w:pPr>
            <w:r w:rsidRPr="00C92EB4">
              <w:rPr>
                <w:rFonts w:ascii="Arial" w:hAnsi="Arial" w:cs="Arial"/>
                <w:sz w:val="24"/>
                <w:szCs w:val="24"/>
              </w:rPr>
              <w:t>4.</w:t>
            </w:r>
            <w:r w:rsidR="00677378">
              <w:rPr>
                <w:rFonts w:ascii="Arial" w:hAnsi="Arial" w:cs="Arial"/>
                <w:sz w:val="24"/>
                <w:szCs w:val="24"/>
              </w:rPr>
              <w:t>20</w:t>
            </w:r>
            <w:r w:rsidRPr="00C92EB4">
              <w:rPr>
                <w:rFonts w:ascii="Arial" w:hAnsi="Arial" w:cs="Arial"/>
                <w:sz w:val="24"/>
                <w:szCs w:val="24"/>
              </w:rPr>
              <w:tab/>
              <w:t xml:space="preserve">To exercise the PCC’s discretions under the Local Government Pension Scheme in relation to staff employed by the PCC, in consultation with the CFO (PCC) and in line with agreed policies. </w:t>
            </w:r>
          </w:p>
          <w:p w14:paraId="4E8A0B42" w14:textId="458D097A" w:rsidR="002814DA" w:rsidRPr="00677378" w:rsidRDefault="00677378" w:rsidP="00677378">
            <w:pPr>
              <w:tabs>
                <w:tab w:val="left" w:pos="993"/>
              </w:tabs>
              <w:ind w:left="461"/>
              <w:contextualSpacing/>
              <w:jc w:val="both"/>
              <w:rPr>
                <w:rFonts w:ascii="Arial" w:hAnsi="Arial" w:cs="Arial"/>
                <w:sz w:val="24"/>
                <w:szCs w:val="24"/>
              </w:rPr>
            </w:pPr>
            <w:r>
              <w:rPr>
                <w:rFonts w:ascii="Arial" w:hAnsi="Arial" w:cs="Arial"/>
                <w:sz w:val="24"/>
                <w:szCs w:val="24"/>
              </w:rPr>
              <w:t xml:space="preserve">4.27 </w:t>
            </w:r>
            <w:r w:rsidR="002814DA" w:rsidRPr="00677378">
              <w:rPr>
                <w:rFonts w:ascii="Arial" w:hAnsi="Arial" w:cs="Arial"/>
                <w:sz w:val="24"/>
                <w:szCs w:val="24"/>
              </w:rPr>
              <w:t xml:space="preserve">To approve all requests for financial assistance to officers and staff involved in legal proceedings or inquests except those felt to be significant because: </w:t>
            </w:r>
          </w:p>
          <w:p w14:paraId="194723E9" w14:textId="77777777" w:rsidR="00C92EB4" w:rsidRDefault="002814DA" w:rsidP="00C92EB4">
            <w:pPr>
              <w:pStyle w:val="ListParagraph"/>
              <w:numPr>
                <w:ilvl w:val="0"/>
                <w:numId w:val="44"/>
              </w:numPr>
              <w:tabs>
                <w:tab w:val="left" w:pos="993"/>
              </w:tabs>
              <w:spacing w:after="200" w:line="276" w:lineRule="auto"/>
              <w:ind w:left="1312"/>
              <w:contextualSpacing/>
              <w:jc w:val="both"/>
              <w:rPr>
                <w:rFonts w:ascii="Arial" w:hAnsi="Arial" w:cs="Arial"/>
                <w:sz w:val="24"/>
                <w:szCs w:val="24"/>
              </w:rPr>
            </w:pPr>
            <w:r w:rsidRPr="00C92EB4">
              <w:rPr>
                <w:rFonts w:ascii="Arial" w:hAnsi="Arial" w:cs="Arial"/>
                <w:sz w:val="24"/>
                <w:szCs w:val="24"/>
              </w:rPr>
              <w:t xml:space="preserve">They involve a high profile </w:t>
            </w:r>
            <w:proofErr w:type="gramStart"/>
            <w:r w:rsidRPr="00C92EB4">
              <w:rPr>
                <w:rFonts w:ascii="Arial" w:hAnsi="Arial" w:cs="Arial"/>
                <w:sz w:val="24"/>
                <w:szCs w:val="24"/>
              </w:rPr>
              <w:t>claimant</w:t>
            </w:r>
            <w:proofErr w:type="gramEnd"/>
          </w:p>
          <w:p w14:paraId="7E1C6115" w14:textId="77777777" w:rsidR="00C92EB4" w:rsidRDefault="002814DA" w:rsidP="00C92EB4">
            <w:pPr>
              <w:pStyle w:val="ListParagraph"/>
              <w:numPr>
                <w:ilvl w:val="0"/>
                <w:numId w:val="44"/>
              </w:numPr>
              <w:tabs>
                <w:tab w:val="left" w:pos="993"/>
              </w:tabs>
              <w:spacing w:after="200" w:line="276" w:lineRule="auto"/>
              <w:ind w:left="1312"/>
              <w:contextualSpacing/>
              <w:jc w:val="both"/>
              <w:rPr>
                <w:rFonts w:ascii="Arial" w:hAnsi="Arial" w:cs="Arial"/>
                <w:sz w:val="24"/>
                <w:szCs w:val="24"/>
              </w:rPr>
            </w:pPr>
            <w:r w:rsidRPr="00C92EB4">
              <w:rPr>
                <w:rFonts w:ascii="Arial" w:hAnsi="Arial" w:cs="Arial"/>
                <w:sz w:val="24"/>
                <w:szCs w:val="24"/>
              </w:rPr>
              <w:t>There is a particular public interest in the case/it could damage public confidence in the PCC or the Chief Constable</w:t>
            </w:r>
          </w:p>
          <w:p w14:paraId="66FD5C37" w14:textId="67C4A5E0" w:rsidR="002814DA" w:rsidRPr="00C92EB4" w:rsidRDefault="002814DA" w:rsidP="00C92EB4">
            <w:pPr>
              <w:pStyle w:val="ListParagraph"/>
              <w:numPr>
                <w:ilvl w:val="0"/>
                <w:numId w:val="44"/>
              </w:numPr>
              <w:tabs>
                <w:tab w:val="left" w:pos="993"/>
              </w:tabs>
              <w:spacing w:after="200" w:line="276" w:lineRule="auto"/>
              <w:ind w:left="1312"/>
              <w:contextualSpacing/>
              <w:jc w:val="both"/>
              <w:rPr>
                <w:rFonts w:ascii="Arial" w:hAnsi="Arial" w:cs="Arial"/>
                <w:sz w:val="24"/>
                <w:szCs w:val="24"/>
              </w:rPr>
            </w:pPr>
            <w:r w:rsidRPr="00C92EB4">
              <w:rPr>
                <w:rFonts w:ascii="Arial" w:hAnsi="Arial" w:cs="Arial"/>
                <w:sz w:val="24"/>
                <w:szCs w:val="24"/>
              </w:rPr>
              <w:t xml:space="preserve">The proceedings are by their nature considered to be a test case before the court.   </w:t>
            </w:r>
          </w:p>
          <w:p w14:paraId="4D939BDD" w14:textId="77777777" w:rsidR="002814DA" w:rsidRPr="00C92EB4" w:rsidRDefault="002814DA" w:rsidP="00C92EB4">
            <w:pPr>
              <w:pStyle w:val="ListParagraph"/>
              <w:tabs>
                <w:tab w:val="left" w:pos="993"/>
              </w:tabs>
              <w:spacing w:after="200" w:line="276" w:lineRule="auto"/>
              <w:ind w:left="887" w:hanging="390"/>
              <w:contextualSpacing/>
              <w:jc w:val="both"/>
              <w:rPr>
                <w:rFonts w:ascii="Arial" w:hAnsi="Arial" w:cs="Arial"/>
                <w:sz w:val="24"/>
                <w:szCs w:val="24"/>
              </w:rPr>
            </w:pPr>
          </w:p>
          <w:p w14:paraId="5BABE722" w14:textId="77777777" w:rsidR="00E474D6" w:rsidRDefault="002814DA" w:rsidP="00677378">
            <w:pPr>
              <w:pStyle w:val="ListParagraph"/>
              <w:numPr>
                <w:ilvl w:val="1"/>
                <w:numId w:val="40"/>
              </w:numPr>
              <w:tabs>
                <w:tab w:val="left" w:pos="993"/>
              </w:tabs>
              <w:contextualSpacing/>
              <w:jc w:val="both"/>
              <w:rPr>
                <w:rFonts w:ascii="Arial" w:hAnsi="Arial" w:cs="Arial"/>
                <w:sz w:val="24"/>
                <w:szCs w:val="24"/>
              </w:rPr>
            </w:pPr>
            <w:r w:rsidRPr="00C92EB4">
              <w:rPr>
                <w:rFonts w:ascii="Arial" w:hAnsi="Arial" w:cs="Arial"/>
                <w:sz w:val="24"/>
                <w:szCs w:val="24"/>
              </w:rPr>
              <w:t xml:space="preserve">To be the HSE Duty Holder for the PCC in respect of asbestos, </w:t>
            </w:r>
            <w:proofErr w:type="gramStart"/>
            <w:r w:rsidRPr="00C92EB4">
              <w:rPr>
                <w:rFonts w:ascii="Arial" w:hAnsi="Arial" w:cs="Arial"/>
                <w:sz w:val="24"/>
                <w:szCs w:val="24"/>
              </w:rPr>
              <w:t>legionella</w:t>
            </w:r>
            <w:proofErr w:type="gramEnd"/>
            <w:r w:rsidRPr="00C92EB4">
              <w:rPr>
                <w:rFonts w:ascii="Arial" w:hAnsi="Arial" w:cs="Arial"/>
                <w:sz w:val="24"/>
                <w:szCs w:val="24"/>
              </w:rPr>
              <w:t xml:space="preserve"> and gas regulations</w:t>
            </w:r>
            <w:r w:rsidR="00C92EB4">
              <w:rPr>
                <w:rFonts w:ascii="Arial" w:hAnsi="Arial" w:cs="Arial"/>
                <w:sz w:val="24"/>
                <w:szCs w:val="24"/>
              </w:rPr>
              <w:t>.</w:t>
            </w:r>
          </w:p>
          <w:p w14:paraId="150DAF82" w14:textId="0EB16F78" w:rsidR="00412F02" w:rsidRPr="00412F02" w:rsidRDefault="00412F02" w:rsidP="00412F02">
            <w:pPr>
              <w:pStyle w:val="ListParagraph"/>
              <w:tabs>
                <w:tab w:val="left" w:pos="993"/>
              </w:tabs>
              <w:ind w:left="887"/>
              <w:contextualSpacing/>
              <w:jc w:val="both"/>
              <w:rPr>
                <w:rFonts w:ascii="Arial" w:hAnsi="Arial" w:cs="Arial"/>
                <w:sz w:val="24"/>
                <w:szCs w:val="24"/>
              </w:rPr>
            </w:pPr>
          </w:p>
        </w:tc>
      </w:tr>
      <w:tr w:rsidR="00E474D6" w:rsidRPr="00A553B7" w14:paraId="7E6B9EA3" w14:textId="77777777" w:rsidTr="00F6322B">
        <w:tc>
          <w:tcPr>
            <w:tcW w:w="1124" w:type="dxa"/>
            <w:shd w:val="clear" w:color="auto" w:fill="auto"/>
          </w:tcPr>
          <w:p w14:paraId="6F0B4EA8" w14:textId="201C45A2" w:rsidR="00E474D6" w:rsidRPr="00277D39" w:rsidRDefault="00E474D6" w:rsidP="00BA77D1">
            <w:pPr>
              <w:rPr>
                <w:rFonts w:ascii="Arial" w:hAnsi="Arial" w:cs="Arial"/>
                <w:sz w:val="24"/>
                <w:szCs w:val="24"/>
              </w:rPr>
            </w:pPr>
            <w:r w:rsidRPr="00277D39">
              <w:rPr>
                <w:rFonts w:ascii="Arial" w:hAnsi="Arial" w:cs="Arial"/>
                <w:sz w:val="24"/>
                <w:szCs w:val="24"/>
              </w:rPr>
              <w:lastRenderedPageBreak/>
              <w:t>7</w:t>
            </w:r>
            <w:r w:rsidR="00412F02" w:rsidRPr="00277D39">
              <w:rPr>
                <w:rFonts w:ascii="Arial" w:hAnsi="Arial" w:cs="Arial"/>
                <w:sz w:val="24"/>
                <w:szCs w:val="24"/>
              </w:rPr>
              <w:t>7</w:t>
            </w:r>
          </w:p>
        </w:tc>
        <w:tc>
          <w:tcPr>
            <w:tcW w:w="13697" w:type="dxa"/>
            <w:shd w:val="clear" w:color="auto" w:fill="auto"/>
          </w:tcPr>
          <w:p w14:paraId="1FD56EC8" w14:textId="77A6EA70" w:rsidR="00E474D6" w:rsidRPr="00277D39" w:rsidRDefault="00E474D6" w:rsidP="00BA77D1">
            <w:pPr>
              <w:rPr>
                <w:rFonts w:ascii="Arial" w:eastAsia="Times New Roman" w:hAnsi="Arial" w:cs="Arial"/>
                <w:sz w:val="24"/>
                <w:szCs w:val="24"/>
              </w:rPr>
            </w:pPr>
            <w:r w:rsidRPr="00277D39">
              <w:rPr>
                <w:rFonts w:ascii="Arial" w:eastAsia="Times New Roman" w:hAnsi="Arial" w:cs="Arial"/>
                <w:sz w:val="24"/>
                <w:szCs w:val="24"/>
              </w:rPr>
              <w:t>Delegations to the</w:t>
            </w:r>
            <w:r w:rsidR="00412F02" w:rsidRPr="00277D39">
              <w:rPr>
                <w:rFonts w:ascii="Arial" w:eastAsia="Times New Roman" w:hAnsi="Arial" w:cs="Arial"/>
                <w:sz w:val="24"/>
                <w:szCs w:val="24"/>
              </w:rPr>
              <w:t xml:space="preserve"> CFO (PCC): </w:t>
            </w:r>
          </w:p>
          <w:p w14:paraId="2EEDF221" w14:textId="427AFBE1" w:rsidR="00E474D6" w:rsidRPr="00277D39" w:rsidRDefault="00412F02" w:rsidP="00412F02">
            <w:pPr>
              <w:rPr>
                <w:rFonts w:ascii="Arial" w:hAnsi="Arial" w:cs="Arial"/>
                <w:sz w:val="24"/>
                <w:szCs w:val="24"/>
              </w:rPr>
            </w:pPr>
            <w:r w:rsidRPr="00277D39">
              <w:rPr>
                <w:rFonts w:ascii="Arial" w:hAnsi="Arial" w:cs="Arial"/>
                <w:sz w:val="24"/>
                <w:szCs w:val="24"/>
              </w:rPr>
              <w:t>Inclusion of the following:</w:t>
            </w:r>
          </w:p>
          <w:p w14:paraId="00660888" w14:textId="68AB7577" w:rsidR="00412F02" w:rsidRDefault="00412F02" w:rsidP="00412F02">
            <w:pPr>
              <w:rPr>
                <w:rFonts w:ascii="Arial" w:hAnsi="Arial" w:cs="Arial"/>
                <w:sz w:val="24"/>
                <w:szCs w:val="24"/>
              </w:rPr>
            </w:pPr>
            <w:r w:rsidRPr="00277D39">
              <w:rPr>
                <w:rFonts w:ascii="Arial" w:hAnsi="Arial" w:cs="Arial"/>
                <w:sz w:val="24"/>
                <w:szCs w:val="24"/>
              </w:rPr>
              <w:t>5.1</w:t>
            </w:r>
            <w:r w:rsidR="00277D39">
              <w:rPr>
                <w:rFonts w:ascii="Arial" w:hAnsi="Arial" w:cs="Arial"/>
                <w:sz w:val="24"/>
                <w:szCs w:val="24"/>
              </w:rPr>
              <w:t xml:space="preserve"> </w:t>
            </w:r>
            <w:r w:rsidRPr="00277D39">
              <w:rPr>
                <w:rFonts w:ascii="Arial" w:hAnsi="Arial" w:cs="Arial"/>
                <w:sz w:val="24"/>
                <w:szCs w:val="24"/>
              </w:rPr>
              <w:t xml:space="preserve">The CFO (PCC) as the financial adviser to the PCC has a statutory responsibility to manage the PCC’s financial affairs as set out in sections 112 and 114 of the Local Government Finance Act 1988 and the Accounts and Audit Regulations (as </w:t>
            </w:r>
            <w:r w:rsidRPr="00277D39">
              <w:rPr>
                <w:rFonts w:ascii="Arial" w:hAnsi="Arial" w:cs="Arial"/>
                <w:sz w:val="24"/>
                <w:szCs w:val="24"/>
              </w:rPr>
              <w:lastRenderedPageBreak/>
              <w:t xml:space="preserve">amended). The detailed financial responsibilities of the CFO (PCC) are also set out in the Financial Regulations that form part of this Manual.     </w:t>
            </w:r>
          </w:p>
          <w:p w14:paraId="2FBD0632" w14:textId="1F5751AC" w:rsidR="008B428F" w:rsidRDefault="008B428F" w:rsidP="006E0CCD">
            <w:pPr>
              <w:tabs>
                <w:tab w:val="left" w:pos="851"/>
                <w:tab w:val="left" w:pos="993"/>
              </w:tabs>
              <w:ind w:left="851" w:hanging="851"/>
              <w:jc w:val="both"/>
              <w:rPr>
                <w:rFonts w:ascii="Arial" w:hAnsi="Arial" w:cs="Arial"/>
                <w:sz w:val="24"/>
                <w:szCs w:val="24"/>
              </w:rPr>
            </w:pPr>
            <w:r>
              <w:rPr>
                <w:rFonts w:ascii="Arial" w:hAnsi="Arial" w:cs="Arial"/>
                <w:sz w:val="24"/>
                <w:szCs w:val="24"/>
              </w:rPr>
              <w:t>Inclusion of the italic section at 5.14:</w:t>
            </w:r>
          </w:p>
          <w:p w14:paraId="6965B8B3" w14:textId="6B72D75D" w:rsidR="00412F02" w:rsidRPr="00277D39" w:rsidRDefault="006E0CCD" w:rsidP="006E0CCD">
            <w:pPr>
              <w:tabs>
                <w:tab w:val="left" w:pos="851"/>
                <w:tab w:val="left" w:pos="993"/>
              </w:tabs>
              <w:ind w:left="851" w:hanging="851"/>
              <w:jc w:val="both"/>
              <w:rPr>
                <w:rFonts w:ascii="Arial" w:hAnsi="Arial" w:cs="Arial"/>
                <w:sz w:val="24"/>
                <w:szCs w:val="24"/>
              </w:rPr>
            </w:pPr>
            <w:r w:rsidRPr="00277D39">
              <w:rPr>
                <w:rFonts w:ascii="Arial" w:hAnsi="Arial" w:cs="Arial"/>
                <w:sz w:val="24"/>
                <w:szCs w:val="24"/>
              </w:rPr>
              <w:t xml:space="preserve">5.14     </w:t>
            </w:r>
            <w:r w:rsidRPr="008B428F">
              <w:rPr>
                <w:rFonts w:ascii="Arial" w:hAnsi="Arial" w:cs="Arial"/>
                <w:i/>
                <w:iCs/>
                <w:sz w:val="24"/>
                <w:szCs w:val="24"/>
              </w:rPr>
              <w:t>To decide having taken appropriate advice in consultation with the Chief Executive any enhancements or applications of discretion within the Local Government Pension Scheme (LGPS).</w:t>
            </w:r>
            <w:r w:rsidRPr="00277D39">
              <w:rPr>
                <w:rFonts w:ascii="Arial" w:hAnsi="Arial" w:cs="Arial"/>
                <w:sz w:val="24"/>
                <w:szCs w:val="24"/>
              </w:rPr>
              <w:t xml:space="preserve"> To determine appeals, as the ‘Scheme Manager’ against decisions of the senior officer of pension staff in respect of the LGPS in accordance with the Occupational Pension Schemes (Internal Dispute Resolution Procedures) Regulations 1996, as amended by the </w:t>
            </w:r>
            <w:r w:rsidRPr="00277D39">
              <w:rPr>
                <w:rStyle w:val="st1"/>
                <w:rFonts w:ascii="Arial" w:hAnsi="Arial" w:cs="Arial"/>
                <w:bCs/>
                <w:color w:val="000000"/>
                <w:sz w:val="24"/>
                <w:szCs w:val="24"/>
              </w:rPr>
              <w:t>Occupational Pension Schemes</w:t>
            </w:r>
            <w:r w:rsidRPr="00277D39">
              <w:rPr>
                <w:rStyle w:val="st1"/>
                <w:rFonts w:ascii="Arial" w:hAnsi="Arial" w:cs="Arial"/>
                <w:color w:val="222222"/>
                <w:sz w:val="24"/>
                <w:szCs w:val="24"/>
              </w:rPr>
              <w:t xml:space="preserve"> (</w:t>
            </w:r>
            <w:r w:rsidRPr="00277D39">
              <w:rPr>
                <w:rStyle w:val="st1"/>
                <w:rFonts w:ascii="Arial" w:hAnsi="Arial" w:cs="Arial"/>
                <w:bCs/>
                <w:color w:val="000000"/>
                <w:sz w:val="24"/>
                <w:szCs w:val="24"/>
              </w:rPr>
              <w:t>Internal Dispute Resolution Procedures</w:t>
            </w:r>
            <w:r w:rsidRPr="00277D39">
              <w:rPr>
                <w:rStyle w:val="st1"/>
                <w:rFonts w:ascii="Arial" w:hAnsi="Arial" w:cs="Arial"/>
                <w:color w:val="222222"/>
                <w:sz w:val="24"/>
                <w:szCs w:val="24"/>
              </w:rPr>
              <w:t xml:space="preserve"> Consequential and Miscellaneous Amendments) </w:t>
            </w:r>
            <w:r w:rsidRPr="00277D39">
              <w:rPr>
                <w:rStyle w:val="st1"/>
                <w:rFonts w:ascii="Arial" w:hAnsi="Arial" w:cs="Arial"/>
                <w:bCs/>
                <w:color w:val="000000"/>
                <w:sz w:val="24"/>
                <w:szCs w:val="24"/>
              </w:rPr>
              <w:t>Regulations</w:t>
            </w:r>
            <w:r w:rsidRPr="00277D39">
              <w:rPr>
                <w:rStyle w:val="st1"/>
                <w:rFonts w:ascii="Arial" w:hAnsi="Arial" w:cs="Arial"/>
                <w:color w:val="222222"/>
                <w:sz w:val="24"/>
                <w:szCs w:val="24"/>
              </w:rPr>
              <w:t xml:space="preserve"> 2008</w:t>
            </w:r>
            <w:r w:rsidRPr="00277D39">
              <w:rPr>
                <w:rFonts w:ascii="Arial" w:hAnsi="Arial" w:cs="Arial"/>
                <w:sz w:val="24"/>
                <w:szCs w:val="24"/>
              </w:rPr>
              <w:t xml:space="preserve">.   </w:t>
            </w:r>
          </w:p>
        </w:tc>
      </w:tr>
      <w:tr w:rsidR="00E474D6" w:rsidRPr="00A553B7" w14:paraId="279FC96F" w14:textId="77777777" w:rsidTr="00F6322B">
        <w:tc>
          <w:tcPr>
            <w:tcW w:w="1124" w:type="dxa"/>
            <w:shd w:val="clear" w:color="auto" w:fill="auto"/>
          </w:tcPr>
          <w:p w14:paraId="01B1DDD6" w14:textId="3EF84C70" w:rsidR="00E474D6" w:rsidRPr="008B428F" w:rsidRDefault="008B428F" w:rsidP="00BA77D1">
            <w:pPr>
              <w:rPr>
                <w:rFonts w:ascii="Arial" w:hAnsi="Arial" w:cs="Arial"/>
                <w:sz w:val="24"/>
                <w:szCs w:val="24"/>
              </w:rPr>
            </w:pPr>
            <w:r w:rsidRPr="008B428F">
              <w:rPr>
                <w:rFonts w:ascii="Arial" w:hAnsi="Arial" w:cs="Arial"/>
                <w:sz w:val="24"/>
                <w:szCs w:val="24"/>
              </w:rPr>
              <w:lastRenderedPageBreak/>
              <w:t>82</w:t>
            </w:r>
          </w:p>
        </w:tc>
        <w:tc>
          <w:tcPr>
            <w:tcW w:w="13697" w:type="dxa"/>
            <w:shd w:val="clear" w:color="auto" w:fill="auto"/>
          </w:tcPr>
          <w:p w14:paraId="0C2060FF" w14:textId="77777777" w:rsidR="00E474D6" w:rsidRPr="008B428F" w:rsidRDefault="006E0CCD" w:rsidP="00BA77D1">
            <w:pPr>
              <w:rPr>
                <w:rFonts w:ascii="Arial" w:eastAsia="Times New Roman" w:hAnsi="Arial" w:cs="Arial"/>
                <w:sz w:val="24"/>
                <w:szCs w:val="24"/>
              </w:rPr>
            </w:pPr>
            <w:r w:rsidRPr="008B428F">
              <w:rPr>
                <w:rFonts w:ascii="Arial" w:eastAsia="Times New Roman" w:hAnsi="Arial" w:cs="Arial"/>
                <w:sz w:val="24"/>
                <w:szCs w:val="24"/>
              </w:rPr>
              <w:t>Delegations to the Deputy Chief Constable:</w:t>
            </w:r>
          </w:p>
          <w:p w14:paraId="5135E011" w14:textId="50CEED0A" w:rsidR="006E0CCD" w:rsidRPr="008B428F" w:rsidRDefault="006E0CCD" w:rsidP="006E0CCD">
            <w:pPr>
              <w:jc w:val="both"/>
              <w:rPr>
                <w:rFonts w:ascii="Arial" w:hAnsi="Arial" w:cs="Arial"/>
                <w:sz w:val="24"/>
                <w:szCs w:val="24"/>
              </w:rPr>
            </w:pPr>
            <w:r w:rsidRPr="008B428F">
              <w:rPr>
                <w:rFonts w:ascii="Arial" w:hAnsi="Arial" w:cs="Arial"/>
                <w:bCs/>
                <w:sz w:val="24"/>
                <w:szCs w:val="24"/>
              </w:rPr>
              <w:t xml:space="preserve">8.1 The Deputy Chief Constable may exercise or perform any or </w:t>
            </w:r>
            <w:proofErr w:type="gramStart"/>
            <w:r w:rsidRPr="008B428F">
              <w:rPr>
                <w:rFonts w:ascii="Arial" w:hAnsi="Arial" w:cs="Arial"/>
                <w:bCs/>
                <w:sz w:val="24"/>
                <w:szCs w:val="24"/>
              </w:rPr>
              <w:t>all of</w:t>
            </w:r>
            <w:proofErr w:type="gramEnd"/>
            <w:r w:rsidRPr="008B428F">
              <w:rPr>
                <w:rFonts w:ascii="Arial" w:hAnsi="Arial" w:cs="Arial"/>
                <w:bCs/>
                <w:sz w:val="24"/>
                <w:szCs w:val="24"/>
              </w:rPr>
              <w:t xml:space="preserve"> the functions of the Chief Constable during any period when the Chief Constable is unable to exercise functions or otherwise with the consent of the Chief Constable</w:t>
            </w:r>
            <w:r w:rsidRPr="008B428F">
              <w:rPr>
                <w:rFonts w:ascii="Arial" w:hAnsi="Arial" w:cs="Arial"/>
                <w:sz w:val="24"/>
                <w:szCs w:val="24"/>
              </w:rPr>
              <w:t>.</w:t>
            </w:r>
          </w:p>
          <w:p w14:paraId="4AC1B94D" w14:textId="709B9F1A" w:rsidR="008B428F" w:rsidRDefault="008B428F" w:rsidP="008B428F">
            <w:pPr>
              <w:spacing w:after="0" w:line="240" w:lineRule="auto"/>
              <w:jc w:val="both"/>
              <w:rPr>
                <w:rFonts w:ascii="Arial" w:hAnsi="Arial" w:cs="Arial"/>
                <w:bCs/>
                <w:sz w:val="24"/>
                <w:szCs w:val="24"/>
              </w:rPr>
            </w:pPr>
            <w:r>
              <w:rPr>
                <w:rFonts w:ascii="Arial" w:hAnsi="Arial" w:cs="Arial"/>
                <w:bCs/>
                <w:sz w:val="24"/>
                <w:szCs w:val="24"/>
              </w:rPr>
              <w:t>Inclusion of the italic section ay 8.1.1:</w:t>
            </w:r>
          </w:p>
          <w:p w14:paraId="475D265E" w14:textId="3A82E616" w:rsidR="006E0CCD" w:rsidRPr="008B428F" w:rsidRDefault="006E0CCD" w:rsidP="008B428F">
            <w:pPr>
              <w:spacing w:after="0" w:line="240" w:lineRule="auto"/>
              <w:jc w:val="both"/>
              <w:rPr>
                <w:rFonts w:ascii="Arial" w:hAnsi="Arial" w:cs="Arial"/>
                <w:sz w:val="24"/>
                <w:szCs w:val="24"/>
              </w:rPr>
            </w:pPr>
            <w:r w:rsidRPr="008B428F">
              <w:rPr>
                <w:rFonts w:ascii="Arial" w:hAnsi="Arial" w:cs="Arial"/>
                <w:bCs/>
                <w:sz w:val="24"/>
                <w:szCs w:val="24"/>
              </w:rPr>
              <w:t xml:space="preserve">8.1.1 </w:t>
            </w:r>
            <w:r w:rsidRPr="008B428F">
              <w:rPr>
                <w:rFonts w:ascii="Arial" w:hAnsi="Arial" w:cs="Arial"/>
                <w:sz w:val="24"/>
                <w:szCs w:val="24"/>
              </w:rPr>
              <w:t xml:space="preserve">People Services including Diversity Lead – </w:t>
            </w:r>
            <w:r w:rsidRPr="008B428F">
              <w:rPr>
                <w:rFonts w:ascii="Arial" w:hAnsi="Arial" w:cs="Arial"/>
                <w:i/>
                <w:iCs/>
                <w:sz w:val="24"/>
                <w:szCs w:val="24"/>
              </w:rPr>
              <w:t>this shall include the appointment and dismissal of staff employed by the Chief Constable and the management of staff in accordance with agreed policies and procedures.</w:t>
            </w:r>
            <w:r w:rsidRPr="008B428F">
              <w:rPr>
                <w:rFonts w:ascii="Arial" w:hAnsi="Arial" w:cs="Arial"/>
                <w:sz w:val="24"/>
                <w:szCs w:val="24"/>
              </w:rPr>
              <w:t xml:space="preserve">   This has summarised the bullet points at 8.1.3 that have therefore been removed.</w:t>
            </w:r>
          </w:p>
          <w:p w14:paraId="5E6461E2" w14:textId="77777777" w:rsidR="008B428F" w:rsidRDefault="008B428F" w:rsidP="008B428F">
            <w:pPr>
              <w:spacing w:after="0"/>
              <w:jc w:val="both"/>
              <w:rPr>
                <w:rFonts w:ascii="Arial" w:hAnsi="Arial" w:cs="Arial"/>
                <w:bCs/>
                <w:sz w:val="24"/>
                <w:szCs w:val="24"/>
              </w:rPr>
            </w:pPr>
          </w:p>
          <w:p w14:paraId="1EA2AA9A" w14:textId="73C1339E" w:rsidR="006E0CCD" w:rsidRPr="008B428F" w:rsidRDefault="006E0CCD" w:rsidP="008B428F">
            <w:pPr>
              <w:spacing w:after="0"/>
              <w:jc w:val="both"/>
              <w:rPr>
                <w:rFonts w:ascii="Arial" w:hAnsi="Arial" w:cs="Arial"/>
                <w:bCs/>
                <w:sz w:val="24"/>
                <w:szCs w:val="24"/>
              </w:rPr>
            </w:pPr>
            <w:r w:rsidRPr="008B428F">
              <w:rPr>
                <w:rFonts w:ascii="Arial" w:hAnsi="Arial" w:cs="Arial"/>
                <w:bCs/>
                <w:sz w:val="24"/>
                <w:szCs w:val="24"/>
              </w:rPr>
              <w:t>Removal of the following</w:t>
            </w:r>
            <w:r w:rsidR="008B428F">
              <w:rPr>
                <w:rFonts w:ascii="Arial" w:hAnsi="Arial" w:cs="Arial"/>
                <w:bCs/>
                <w:sz w:val="24"/>
                <w:szCs w:val="24"/>
              </w:rPr>
              <w:t>:</w:t>
            </w:r>
          </w:p>
          <w:p w14:paraId="464C7FE8" w14:textId="77777777" w:rsidR="006E0CCD" w:rsidRDefault="006E0CCD" w:rsidP="008B428F">
            <w:pPr>
              <w:numPr>
                <w:ilvl w:val="0"/>
                <w:numId w:val="47"/>
              </w:numPr>
              <w:spacing w:after="0"/>
              <w:jc w:val="both"/>
              <w:rPr>
                <w:rFonts w:ascii="Arial" w:hAnsi="Arial" w:cs="Arial"/>
                <w:sz w:val="24"/>
                <w:szCs w:val="24"/>
              </w:rPr>
            </w:pPr>
            <w:r w:rsidRPr="008B428F">
              <w:rPr>
                <w:rFonts w:ascii="Arial" w:hAnsi="Arial" w:cs="Arial"/>
                <w:sz w:val="24"/>
                <w:szCs w:val="24"/>
              </w:rPr>
              <w:t xml:space="preserve">To undertake the </w:t>
            </w:r>
            <w:proofErr w:type="gramStart"/>
            <w:r w:rsidRPr="008B428F">
              <w:rPr>
                <w:rFonts w:ascii="Arial" w:hAnsi="Arial" w:cs="Arial"/>
                <w:sz w:val="24"/>
                <w:szCs w:val="24"/>
              </w:rPr>
              <w:t>day to day</w:t>
            </w:r>
            <w:proofErr w:type="gramEnd"/>
            <w:r w:rsidRPr="008B428F">
              <w:rPr>
                <w:rFonts w:ascii="Arial" w:hAnsi="Arial" w:cs="Arial"/>
                <w:sz w:val="24"/>
                <w:szCs w:val="24"/>
              </w:rPr>
              <w:t xml:space="preserve"> management of the insurance function, in conjunction with the CFO(PCC) and the CFO (Chief Constable) and to arrange all necessary insurance cover.</w:t>
            </w:r>
          </w:p>
          <w:p w14:paraId="3BC69D1A" w14:textId="77777777" w:rsidR="00D90148" w:rsidRDefault="00D90148" w:rsidP="00D90148">
            <w:pPr>
              <w:spacing w:after="0"/>
              <w:jc w:val="both"/>
              <w:rPr>
                <w:rFonts w:ascii="Arial" w:hAnsi="Arial" w:cs="Arial"/>
                <w:sz w:val="24"/>
                <w:szCs w:val="24"/>
              </w:rPr>
            </w:pPr>
          </w:p>
          <w:p w14:paraId="70376219" w14:textId="2382281C" w:rsidR="00D90148" w:rsidRDefault="00D90148" w:rsidP="00D90148">
            <w:pPr>
              <w:spacing w:after="0"/>
              <w:jc w:val="both"/>
              <w:rPr>
                <w:rFonts w:ascii="Arial" w:hAnsi="Arial" w:cs="Arial"/>
                <w:sz w:val="24"/>
                <w:szCs w:val="24"/>
              </w:rPr>
            </w:pPr>
            <w:r>
              <w:rPr>
                <w:rFonts w:ascii="Arial" w:hAnsi="Arial" w:cs="Arial"/>
                <w:sz w:val="24"/>
                <w:szCs w:val="24"/>
              </w:rPr>
              <w:t>Inclusion of the following under the DCC delegations from that of the Assistant Chief Officer, Resources:</w:t>
            </w:r>
          </w:p>
          <w:p w14:paraId="1F980FB8" w14:textId="521A06E7" w:rsidR="008B428F" w:rsidRPr="00D90148" w:rsidRDefault="00D90148" w:rsidP="00D90148">
            <w:pPr>
              <w:pStyle w:val="ListParagraph"/>
              <w:numPr>
                <w:ilvl w:val="2"/>
                <w:numId w:val="50"/>
              </w:numPr>
              <w:contextualSpacing/>
              <w:jc w:val="both"/>
              <w:rPr>
                <w:rFonts w:ascii="Arial" w:hAnsi="Arial" w:cs="Arial"/>
                <w:sz w:val="24"/>
                <w:szCs w:val="24"/>
              </w:rPr>
            </w:pPr>
            <w:r w:rsidRPr="00D90148">
              <w:rPr>
                <w:rFonts w:ascii="Arial" w:hAnsi="Arial" w:cs="Arial"/>
                <w:sz w:val="24"/>
                <w:szCs w:val="24"/>
              </w:rPr>
              <w:t>To recommend to the Chief Constable the retirement of police staff on the grounds of ill health and the payment of ordinary and ill health pensions and other payments, as appropriate following advice from a medical practitioner and in consultation with the CFO (CC)</w:t>
            </w:r>
          </w:p>
        </w:tc>
      </w:tr>
      <w:tr w:rsidR="00E474D6" w:rsidRPr="00A553B7" w14:paraId="7F32423A" w14:textId="77777777" w:rsidTr="00F6322B">
        <w:tc>
          <w:tcPr>
            <w:tcW w:w="1124" w:type="dxa"/>
            <w:shd w:val="clear" w:color="auto" w:fill="auto"/>
          </w:tcPr>
          <w:p w14:paraId="37FF6BA9" w14:textId="11029E17" w:rsidR="00E474D6" w:rsidRPr="008B428F" w:rsidRDefault="008A14ED" w:rsidP="00BA77D1">
            <w:pPr>
              <w:rPr>
                <w:rFonts w:ascii="Arial" w:hAnsi="Arial" w:cs="Arial"/>
                <w:sz w:val="24"/>
                <w:szCs w:val="24"/>
              </w:rPr>
            </w:pPr>
            <w:r w:rsidRPr="008B428F">
              <w:rPr>
                <w:rFonts w:ascii="Arial" w:hAnsi="Arial" w:cs="Arial"/>
                <w:sz w:val="24"/>
                <w:szCs w:val="24"/>
              </w:rPr>
              <w:lastRenderedPageBreak/>
              <w:t>84</w:t>
            </w:r>
          </w:p>
        </w:tc>
        <w:tc>
          <w:tcPr>
            <w:tcW w:w="13697" w:type="dxa"/>
            <w:shd w:val="clear" w:color="auto" w:fill="auto"/>
          </w:tcPr>
          <w:p w14:paraId="5CD1FF0B" w14:textId="61D1EBDD" w:rsidR="008A14ED" w:rsidRPr="008B428F" w:rsidRDefault="008A14ED" w:rsidP="00BA77D1">
            <w:pPr>
              <w:rPr>
                <w:rFonts w:ascii="Arial" w:eastAsia="Times New Roman" w:hAnsi="Arial" w:cs="Arial"/>
                <w:sz w:val="24"/>
                <w:szCs w:val="24"/>
              </w:rPr>
            </w:pPr>
            <w:r w:rsidRPr="008B428F">
              <w:rPr>
                <w:rFonts w:ascii="Arial" w:eastAsia="Times New Roman" w:hAnsi="Arial" w:cs="Arial"/>
                <w:sz w:val="24"/>
                <w:szCs w:val="24"/>
              </w:rPr>
              <w:t>8.2 Inclusion of Delegations to the Assistant Chief Constable (Organisational)</w:t>
            </w:r>
          </w:p>
        </w:tc>
      </w:tr>
      <w:tr w:rsidR="008A14ED" w:rsidRPr="00A553B7" w14:paraId="6741C6D1" w14:textId="77777777" w:rsidTr="00F6322B">
        <w:tc>
          <w:tcPr>
            <w:tcW w:w="1124" w:type="dxa"/>
            <w:shd w:val="clear" w:color="auto" w:fill="auto"/>
          </w:tcPr>
          <w:p w14:paraId="29D904B3" w14:textId="071C82F7" w:rsidR="008A14ED" w:rsidRPr="008B428F" w:rsidRDefault="008B428F" w:rsidP="00BA77D1">
            <w:pPr>
              <w:rPr>
                <w:rFonts w:ascii="Arial" w:hAnsi="Arial" w:cs="Arial"/>
                <w:sz w:val="24"/>
                <w:szCs w:val="24"/>
              </w:rPr>
            </w:pPr>
            <w:r w:rsidRPr="008B428F">
              <w:rPr>
                <w:rFonts w:ascii="Arial" w:hAnsi="Arial" w:cs="Arial"/>
                <w:sz w:val="24"/>
                <w:szCs w:val="24"/>
              </w:rPr>
              <w:t>85</w:t>
            </w:r>
          </w:p>
        </w:tc>
        <w:tc>
          <w:tcPr>
            <w:tcW w:w="13697" w:type="dxa"/>
            <w:shd w:val="clear" w:color="auto" w:fill="auto"/>
          </w:tcPr>
          <w:p w14:paraId="729FD727" w14:textId="77777777" w:rsidR="008A14ED" w:rsidRPr="008B428F" w:rsidRDefault="008A14ED" w:rsidP="00BA77D1">
            <w:pPr>
              <w:rPr>
                <w:rFonts w:ascii="Arial" w:eastAsia="Times New Roman" w:hAnsi="Arial" w:cs="Arial"/>
                <w:sz w:val="24"/>
                <w:szCs w:val="24"/>
              </w:rPr>
            </w:pPr>
            <w:r w:rsidRPr="008B428F">
              <w:rPr>
                <w:rFonts w:ascii="Arial" w:eastAsia="Times New Roman" w:hAnsi="Arial" w:cs="Arial"/>
                <w:sz w:val="24"/>
                <w:szCs w:val="24"/>
              </w:rPr>
              <w:t xml:space="preserve">8.4 </w:t>
            </w:r>
            <w:r w:rsidR="00277D39" w:rsidRPr="008B428F">
              <w:rPr>
                <w:rFonts w:ascii="Arial" w:eastAsia="Times New Roman" w:hAnsi="Arial" w:cs="Arial"/>
                <w:sz w:val="24"/>
                <w:szCs w:val="24"/>
              </w:rPr>
              <w:t>Delegations changed from Assistant Chief Officer, Resources to Chief Finance Officer (Chief Constable)</w:t>
            </w:r>
          </w:p>
          <w:p w14:paraId="5E4669D7" w14:textId="77777777" w:rsidR="008B428F" w:rsidRPr="008B428F" w:rsidRDefault="00277D39" w:rsidP="008B428F">
            <w:pPr>
              <w:rPr>
                <w:rFonts w:ascii="Arial" w:eastAsia="Times New Roman" w:hAnsi="Arial" w:cs="Arial"/>
                <w:sz w:val="24"/>
                <w:szCs w:val="24"/>
              </w:rPr>
            </w:pPr>
            <w:r w:rsidRPr="008B428F">
              <w:rPr>
                <w:rFonts w:ascii="Arial" w:eastAsia="Times New Roman" w:hAnsi="Arial" w:cs="Arial"/>
                <w:sz w:val="24"/>
                <w:szCs w:val="24"/>
              </w:rPr>
              <w:t>Inclusion of the following:</w:t>
            </w:r>
          </w:p>
          <w:p w14:paraId="6A50195A" w14:textId="6F8862E2" w:rsidR="00277D39" w:rsidRDefault="00277D39" w:rsidP="008B428F">
            <w:pPr>
              <w:rPr>
                <w:rFonts w:ascii="Arial" w:hAnsi="Arial" w:cs="Arial"/>
                <w:sz w:val="24"/>
                <w:szCs w:val="24"/>
              </w:rPr>
            </w:pPr>
            <w:r w:rsidRPr="008B428F">
              <w:rPr>
                <w:rFonts w:ascii="Arial" w:hAnsi="Arial" w:cs="Arial"/>
                <w:sz w:val="24"/>
                <w:szCs w:val="24"/>
              </w:rPr>
              <w:t>The CFO (CC) as the financial adviser to the Chief Constable has a statutory responsibility to manage the CC’s financial affairs as set out in sections 112 and 114 of the Local Government Finance Act 1988 and the Accounts and Audit Regulations (as amended). The detailed financial responsibilities of the CFO (CC) are also set out in the Financial Regulations that form part of this Manual.</w:t>
            </w:r>
          </w:p>
          <w:p w14:paraId="72DD8479" w14:textId="034AC74A" w:rsidR="00277D39" w:rsidRPr="008B428F" w:rsidRDefault="00277D39" w:rsidP="008B428F">
            <w:pPr>
              <w:numPr>
                <w:ilvl w:val="0"/>
                <w:numId w:val="48"/>
              </w:numPr>
              <w:spacing w:after="0" w:line="240" w:lineRule="auto"/>
              <w:ind w:left="461" w:hanging="425"/>
              <w:jc w:val="both"/>
              <w:rPr>
                <w:rFonts w:ascii="Arial" w:hAnsi="Arial" w:cs="Arial"/>
                <w:sz w:val="24"/>
                <w:szCs w:val="24"/>
              </w:rPr>
            </w:pPr>
            <w:r w:rsidRPr="008B428F">
              <w:rPr>
                <w:rFonts w:ascii="Arial" w:hAnsi="Arial" w:cs="Arial"/>
                <w:sz w:val="24"/>
                <w:szCs w:val="24"/>
              </w:rPr>
              <w:t>To represent the Chief Constable at the Police Pensions Board in accordance with their terms of reference</w:t>
            </w:r>
            <w:r w:rsidR="008B428F">
              <w:rPr>
                <w:rFonts w:ascii="Arial" w:hAnsi="Arial" w:cs="Arial"/>
                <w:sz w:val="24"/>
                <w:szCs w:val="24"/>
              </w:rPr>
              <w:t>.</w:t>
            </w:r>
          </w:p>
          <w:p w14:paraId="37301AE1" w14:textId="2EE787A0" w:rsidR="00277D39" w:rsidRPr="008B428F" w:rsidRDefault="00277D39" w:rsidP="008B428F">
            <w:pPr>
              <w:numPr>
                <w:ilvl w:val="0"/>
                <w:numId w:val="48"/>
              </w:numPr>
              <w:spacing w:after="0" w:line="240" w:lineRule="auto"/>
              <w:ind w:left="461" w:hanging="425"/>
              <w:jc w:val="both"/>
              <w:rPr>
                <w:rFonts w:ascii="Arial" w:hAnsi="Arial" w:cs="Arial"/>
                <w:sz w:val="24"/>
                <w:szCs w:val="24"/>
              </w:rPr>
            </w:pPr>
            <w:r w:rsidRPr="008B428F">
              <w:rPr>
                <w:rFonts w:ascii="Arial" w:hAnsi="Arial" w:cs="Arial"/>
                <w:sz w:val="24"/>
                <w:szCs w:val="24"/>
              </w:rPr>
              <w:t xml:space="preserve">To determine all employee matters relating to police pensions (including </w:t>
            </w:r>
            <w:proofErr w:type="gramStart"/>
            <w:r w:rsidRPr="008B428F">
              <w:rPr>
                <w:rFonts w:ascii="Arial" w:hAnsi="Arial" w:cs="Arial"/>
                <w:sz w:val="24"/>
                <w:szCs w:val="24"/>
              </w:rPr>
              <w:t>widows</w:t>
            </w:r>
            <w:proofErr w:type="gramEnd"/>
            <w:r w:rsidRPr="008B428F">
              <w:rPr>
                <w:rFonts w:ascii="Arial" w:hAnsi="Arial" w:cs="Arial"/>
                <w:sz w:val="24"/>
                <w:szCs w:val="24"/>
              </w:rPr>
              <w:t xml:space="preserve"> pensions)</w:t>
            </w:r>
            <w:r w:rsidR="008B428F">
              <w:rPr>
                <w:rFonts w:ascii="Arial" w:hAnsi="Arial" w:cs="Arial"/>
                <w:sz w:val="24"/>
                <w:szCs w:val="24"/>
              </w:rPr>
              <w:t>.</w:t>
            </w:r>
          </w:p>
          <w:p w14:paraId="4B840C91" w14:textId="7BBA2342" w:rsidR="00277D39" w:rsidRPr="008B428F" w:rsidRDefault="00277D39" w:rsidP="008B428F">
            <w:pPr>
              <w:numPr>
                <w:ilvl w:val="0"/>
                <w:numId w:val="48"/>
              </w:numPr>
              <w:spacing w:after="0" w:line="240" w:lineRule="auto"/>
              <w:ind w:left="461" w:hanging="425"/>
              <w:jc w:val="both"/>
              <w:rPr>
                <w:rFonts w:ascii="Arial" w:hAnsi="Arial" w:cs="Arial"/>
                <w:sz w:val="24"/>
                <w:szCs w:val="24"/>
              </w:rPr>
            </w:pPr>
            <w:r w:rsidRPr="008B428F">
              <w:rPr>
                <w:rFonts w:ascii="Arial" w:hAnsi="Arial" w:cs="Arial"/>
                <w:sz w:val="24"/>
                <w:szCs w:val="24"/>
              </w:rPr>
              <w:t>To determine whether there is a cognisant reason why an injury award should not be reduced to the lowest band upon the pensioner reaching statutory retirement age</w:t>
            </w:r>
            <w:r w:rsidR="008B428F">
              <w:rPr>
                <w:rFonts w:ascii="Arial" w:hAnsi="Arial" w:cs="Arial"/>
                <w:sz w:val="24"/>
                <w:szCs w:val="24"/>
              </w:rPr>
              <w:t>.</w:t>
            </w:r>
            <w:r w:rsidRPr="008B428F">
              <w:rPr>
                <w:rFonts w:ascii="Arial" w:hAnsi="Arial" w:cs="Arial"/>
                <w:sz w:val="24"/>
                <w:szCs w:val="24"/>
              </w:rPr>
              <w:t xml:space="preserve">   </w:t>
            </w:r>
          </w:p>
          <w:p w14:paraId="352BE024" w14:textId="77777777" w:rsidR="00277D39" w:rsidRDefault="00277D39" w:rsidP="008B428F">
            <w:pPr>
              <w:numPr>
                <w:ilvl w:val="0"/>
                <w:numId w:val="48"/>
              </w:numPr>
              <w:spacing w:after="0" w:line="240" w:lineRule="auto"/>
              <w:ind w:left="461" w:hanging="425"/>
              <w:jc w:val="both"/>
              <w:rPr>
                <w:rFonts w:ascii="Arial" w:hAnsi="Arial" w:cs="Arial"/>
                <w:sz w:val="24"/>
                <w:szCs w:val="24"/>
              </w:rPr>
            </w:pPr>
            <w:r w:rsidRPr="008B428F">
              <w:rPr>
                <w:rFonts w:ascii="Arial" w:hAnsi="Arial" w:cs="Arial"/>
                <w:sz w:val="24"/>
                <w:szCs w:val="24"/>
              </w:rPr>
              <w:t xml:space="preserve">To maintain a policy of employer discretions under the Local Government Pensions Scheme and Public Service Pensions Acts including the Police Pension Scheme 2015, in consultation with the CFO (PCC) as appropriate.    </w:t>
            </w:r>
          </w:p>
          <w:p w14:paraId="059604C6" w14:textId="2A9BE36E" w:rsidR="008B428F" w:rsidRPr="008B428F" w:rsidRDefault="008B428F" w:rsidP="008B428F">
            <w:pPr>
              <w:spacing w:after="0" w:line="240" w:lineRule="auto"/>
              <w:ind w:left="461"/>
              <w:jc w:val="both"/>
              <w:rPr>
                <w:rFonts w:ascii="Arial" w:hAnsi="Arial" w:cs="Arial"/>
                <w:sz w:val="24"/>
                <w:szCs w:val="24"/>
              </w:rPr>
            </w:pPr>
          </w:p>
        </w:tc>
      </w:tr>
      <w:tr w:rsidR="00262268" w:rsidRPr="00A553B7" w14:paraId="513F5386" w14:textId="77777777" w:rsidTr="00F6322B">
        <w:tc>
          <w:tcPr>
            <w:tcW w:w="1124" w:type="dxa"/>
            <w:shd w:val="clear" w:color="auto" w:fill="auto"/>
          </w:tcPr>
          <w:p w14:paraId="5849BB35" w14:textId="45B4E58C" w:rsidR="00262268" w:rsidRPr="008B428F" w:rsidRDefault="00262268" w:rsidP="00BA77D1">
            <w:pPr>
              <w:rPr>
                <w:rFonts w:ascii="Arial" w:hAnsi="Arial" w:cs="Arial"/>
                <w:sz w:val="24"/>
                <w:szCs w:val="24"/>
              </w:rPr>
            </w:pPr>
            <w:r>
              <w:rPr>
                <w:rFonts w:ascii="Arial" w:hAnsi="Arial" w:cs="Arial"/>
                <w:sz w:val="24"/>
                <w:szCs w:val="24"/>
              </w:rPr>
              <w:t>153</w:t>
            </w:r>
          </w:p>
        </w:tc>
        <w:tc>
          <w:tcPr>
            <w:tcW w:w="13697" w:type="dxa"/>
            <w:shd w:val="clear" w:color="auto" w:fill="auto"/>
          </w:tcPr>
          <w:p w14:paraId="1F9FD1C6" w14:textId="76B1BE8F" w:rsidR="00262268" w:rsidRPr="008B428F" w:rsidRDefault="00262268" w:rsidP="00BA77D1">
            <w:pPr>
              <w:rPr>
                <w:rFonts w:ascii="Arial" w:eastAsia="Times New Roman" w:hAnsi="Arial" w:cs="Arial"/>
                <w:sz w:val="24"/>
                <w:szCs w:val="24"/>
              </w:rPr>
            </w:pPr>
            <w:r>
              <w:rPr>
                <w:rFonts w:ascii="Arial" w:eastAsia="Times New Roman" w:hAnsi="Arial" w:cs="Arial"/>
                <w:sz w:val="24"/>
                <w:szCs w:val="24"/>
              </w:rPr>
              <w:t xml:space="preserve">Level 2 threshold limit will increase from £50,000 to £100,000 (this increase will only be used in certain circumstances).  Joint Legal Services will provide wording to include in the threshold table.  As a </w:t>
            </w:r>
            <w:proofErr w:type="gramStart"/>
            <w:r>
              <w:rPr>
                <w:rFonts w:ascii="Arial" w:eastAsia="Times New Roman" w:hAnsi="Arial" w:cs="Arial"/>
                <w:sz w:val="24"/>
                <w:szCs w:val="24"/>
              </w:rPr>
              <w:t>result</w:t>
            </w:r>
            <w:proofErr w:type="gramEnd"/>
            <w:r>
              <w:rPr>
                <w:rFonts w:ascii="Arial" w:eastAsia="Times New Roman" w:hAnsi="Arial" w:cs="Arial"/>
                <w:sz w:val="24"/>
                <w:szCs w:val="24"/>
              </w:rPr>
              <w:t xml:space="preserve"> the lower limit of Level 3 will increase to ‘above £100,00’.</w:t>
            </w:r>
          </w:p>
        </w:tc>
      </w:tr>
    </w:tbl>
    <w:p w14:paraId="552249BA" w14:textId="77777777" w:rsidR="00AC4C83" w:rsidRDefault="00AC4C83" w:rsidP="001F6D1A">
      <w:pPr>
        <w:rPr>
          <w:rFonts w:ascii="Arial" w:hAnsi="Arial" w:cs="Arial"/>
          <w:b/>
          <w:color w:val="A6A6A6"/>
          <w:sz w:val="24"/>
          <w:szCs w:val="24"/>
        </w:rPr>
      </w:pPr>
    </w:p>
    <w:p w14:paraId="5D4A7B03" w14:textId="77777777" w:rsidR="00AF4DBF" w:rsidRDefault="00AF4DBF" w:rsidP="001F6D1A">
      <w:pPr>
        <w:rPr>
          <w:rFonts w:ascii="Arial" w:hAnsi="Arial" w:cs="Arial"/>
          <w:b/>
          <w:color w:val="A6A6A6"/>
          <w:sz w:val="24"/>
          <w:szCs w:val="24"/>
        </w:rPr>
      </w:pPr>
    </w:p>
    <w:p w14:paraId="6B14F9EE" w14:textId="77777777" w:rsidR="00AF4DBF" w:rsidRDefault="00AF4DBF" w:rsidP="001F6D1A">
      <w:pPr>
        <w:rPr>
          <w:rFonts w:ascii="Arial" w:hAnsi="Arial" w:cs="Arial"/>
          <w:b/>
          <w:color w:val="A6A6A6"/>
          <w:sz w:val="24"/>
          <w:szCs w:val="24"/>
        </w:rPr>
      </w:pPr>
    </w:p>
    <w:p w14:paraId="09A4C25F" w14:textId="77777777" w:rsidR="00AF4DBF" w:rsidRDefault="00AF4DBF" w:rsidP="001F6D1A">
      <w:pPr>
        <w:rPr>
          <w:rFonts w:ascii="Arial" w:hAnsi="Arial" w:cs="Arial"/>
          <w:b/>
          <w:color w:val="A6A6A6"/>
          <w:sz w:val="24"/>
          <w:szCs w:val="24"/>
        </w:rPr>
      </w:pPr>
    </w:p>
    <w:p w14:paraId="65D28EAD" w14:textId="77777777" w:rsidR="00AF4DBF" w:rsidRDefault="00AF4DBF" w:rsidP="001F6D1A">
      <w:pPr>
        <w:rPr>
          <w:rFonts w:ascii="Arial" w:hAnsi="Arial" w:cs="Arial"/>
          <w:b/>
          <w:color w:val="A6A6A6"/>
          <w:sz w:val="24"/>
          <w:szCs w:val="24"/>
        </w:rPr>
      </w:pPr>
    </w:p>
    <w:p w14:paraId="5DAC636C" w14:textId="77777777" w:rsidR="00AF4DBF" w:rsidRDefault="00AF4DBF" w:rsidP="001F6D1A">
      <w:pPr>
        <w:rPr>
          <w:rFonts w:ascii="Arial" w:hAnsi="Arial" w:cs="Arial"/>
          <w:b/>
          <w:color w:val="A6A6A6"/>
          <w:sz w:val="24"/>
          <w:szCs w:val="24"/>
        </w:rPr>
        <w:sectPr w:rsidR="00AF4DBF" w:rsidSect="00C87429">
          <w:footerReference w:type="default" r:id="rId14"/>
          <w:pgSz w:w="16838" w:h="11906" w:orient="landscape"/>
          <w:pgMar w:top="1440" w:right="1440" w:bottom="1440" w:left="567" w:header="708" w:footer="78" w:gutter="0"/>
          <w:cols w:space="708"/>
          <w:docGrid w:linePitch="360"/>
        </w:sectPr>
      </w:pPr>
    </w:p>
    <w:tbl>
      <w:tblPr>
        <w:tblStyle w:val="PlainTable4"/>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AF4DBF" w:rsidRPr="000E2C7B" w14:paraId="7756518A" w14:textId="77777777" w:rsidTr="000A44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tcPr>
          <w:p w14:paraId="396F211E" w14:textId="77777777" w:rsidR="00AF4DBF" w:rsidRPr="000E2C7B" w:rsidRDefault="00AF4DBF" w:rsidP="000A4454">
            <w:pPr>
              <w:ind w:left="-829" w:firstLine="829"/>
              <w:rPr>
                <w:rFonts w:ascii="Arial" w:hAnsi="Arial" w:cs="Arial"/>
                <w:b w:val="0"/>
                <w:bCs w:val="0"/>
              </w:rPr>
            </w:pPr>
            <w:r w:rsidRPr="000E2C7B">
              <w:rPr>
                <w:rFonts w:ascii="Arial" w:hAnsi="Arial" w:cs="Arial"/>
                <w:b w:val="0"/>
                <w:bCs w:val="0"/>
              </w:rPr>
              <w:lastRenderedPageBreak/>
              <w:t>Jeff Cuthbert B.SC., MDIPD, Police and Crime Commissioner for Gwent</w:t>
            </w:r>
          </w:p>
        </w:tc>
      </w:tr>
      <w:tr w:rsidR="00AF4DBF" w:rsidRPr="000E2C7B" w14:paraId="01CD101F" w14:textId="77777777" w:rsidTr="000A4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tcPr>
          <w:p w14:paraId="45830C93" w14:textId="77777777" w:rsidR="00AF4DBF" w:rsidRDefault="00AF4DBF" w:rsidP="000A4454">
            <w:pPr>
              <w:rPr>
                <w:rFonts w:ascii="Arial" w:hAnsi="Arial" w:cs="Arial"/>
              </w:rPr>
            </w:pPr>
            <w:r w:rsidRPr="000E2C7B">
              <w:rPr>
                <w:rFonts w:ascii="Arial" w:hAnsi="Arial" w:cs="Arial"/>
                <w:b w:val="0"/>
                <w:bCs w:val="0"/>
              </w:rPr>
              <w:t xml:space="preserve">I confirm I have considered </w:t>
            </w:r>
            <w:proofErr w:type="gramStart"/>
            <w:r w:rsidRPr="000E2C7B">
              <w:rPr>
                <w:rFonts w:ascii="Arial" w:hAnsi="Arial" w:cs="Arial"/>
                <w:b w:val="0"/>
                <w:bCs w:val="0"/>
              </w:rPr>
              <w:t>whether or not</w:t>
            </w:r>
            <w:proofErr w:type="gramEnd"/>
            <w:r w:rsidRPr="000E2C7B">
              <w:rPr>
                <w:rFonts w:ascii="Arial" w:hAnsi="Arial" w:cs="Arial"/>
                <w:b w:val="0"/>
                <w:bCs w:val="0"/>
              </w:rPr>
              <w:t xml:space="preserve"> I have any personal or prejudicial interest in this matter and take the proposed decision in compliance with my code of conduct.  </w:t>
            </w:r>
          </w:p>
          <w:p w14:paraId="4F863D8A" w14:textId="77777777" w:rsidR="00AF4DBF" w:rsidRPr="000E2C7B" w:rsidRDefault="00AF4DBF" w:rsidP="000A4454">
            <w:pPr>
              <w:rPr>
                <w:rFonts w:ascii="Arial" w:hAnsi="Arial" w:cs="Arial"/>
                <w:b w:val="0"/>
                <w:bCs w:val="0"/>
              </w:rPr>
            </w:pPr>
            <w:r w:rsidRPr="000E2C7B">
              <w:rPr>
                <w:rFonts w:ascii="Arial" w:hAnsi="Arial" w:cs="Arial"/>
                <w:b w:val="0"/>
                <w:bCs w:val="0"/>
              </w:rPr>
              <w:br/>
              <w:t>Any such interests are recorded below.</w:t>
            </w:r>
          </w:p>
          <w:p w14:paraId="6BF3C4AD" w14:textId="77777777" w:rsidR="00AF4DBF" w:rsidRPr="000E2C7B" w:rsidRDefault="00AF4DBF" w:rsidP="000A4454">
            <w:pPr>
              <w:rPr>
                <w:rFonts w:ascii="Arial" w:hAnsi="Arial" w:cs="Arial"/>
                <w:b w:val="0"/>
                <w:bCs w:val="0"/>
              </w:rPr>
            </w:pPr>
            <w:r w:rsidRPr="000E2C7B">
              <w:rPr>
                <w:rFonts w:ascii="Arial" w:hAnsi="Arial" w:cs="Arial"/>
                <w:b w:val="0"/>
                <w:bCs w:val="0"/>
              </w:rPr>
              <w:t>The above request has my approval.</w:t>
            </w:r>
          </w:p>
        </w:tc>
      </w:tr>
      <w:tr w:rsidR="00AF4DBF" w:rsidRPr="000E2C7B" w14:paraId="7F9FBBEB" w14:textId="77777777" w:rsidTr="000A4454">
        <w:tc>
          <w:tcPr>
            <w:cnfStyle w:val="001000000000" w:firstRow="0" w:lastRow="0" w:firstColumn="1" w:lastColumn="0" w:oddVBand="0" w:evenVBand="0" w:oddHBand="0" w:evenHBand="0" w:firstRowFirstColumn="0" w:firstRowLastColumn="0" w:lastRowFirstColumn="0" w:lastRowLastColumn="0"/>
            <w:tcW w:w="10632" w:type="dxa"/>
          </w:tcPr>
          <w:p w14:paraId="32F01EB3" w14:textId="77777777" w:rsidR="00AF4DBF" w:rsidRPr="000E2C7B" w:rsidRDefault="00AF4DBF" w:rsidP="000A4454">
            <w:pPr>
              <w:rPr>
                <w:rFonts w:ascii="Arial" w:hAnsi="Arial" w:cs="Arial"/>
              </w:rPr>
            </w:pPr>
            <w:r w:rsidRPr="000E2C7B">
              <w:rPr>
                <w:rFonts w:ascii="Arial" w:hAnsi="Arial" w:cs="Arial"/>
                <w:b w:val="0"/>
                <w:bCs w:val="0"/>
              </w:rPr>
              <w:t>Signed</w:t>
            </w:r>
          </w:p>
          <w:p w14:paraId="40D67DAA" w14:textId="1D343D72" w:rsidR="00AF4DBF" w:rsidRPr="000E2C7B" w:rsidRDefault="006C77C5" w:rsidP="000A4454">
            <w:pPr>
              <w:rPr>
                <w:rFonts w:ascii="Arial" w:hAnsi="Arial" w:cs="Arial"/>
                <w:b w:val="0"/>
                <w:bCs w:val="0"/>
              </w:rPr>
            </w:pPr>
            <w:r>
              <w:rPr>
                <w:noProof/>
                <w:lang w:eastAsia="en-GB"/>
              </w:rPr>
              <w:drawing>
                <wp:inline distT="0" distB="0" distL="0" distR="0" wp14:anchorId="78260119" wp14:editId="65050F3F">
                  <wp:extent cx="2076450" cy="501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76450" cy="501650"/>
                          </a:xfrm>
                          <a:prstGeom prst="rect">
                            <a:avLst/>
                          </a:prstGeom>
                          <a:noFill/>
                          <a:ln>
                            <a:noFill/>
                          </a:ln>
                        </pic:spPr>
                      </pic:pic>
                    </a:graphicData>
                  </a:graphic>
                </wp:inline>
              </w:drawing>
            </w:r>
          </w:p>
        </w:tc>
      </w:tr>
      <w:tr w:rsidR="00AF4DBF" w:rsidRPr="000E2C7B" w14:paraId="201280A3" w14:textId="77777777" w:rsidTr="000A4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32" w:type="dxa"/>
          </w:tcPr>
          <w:p w14:paraId="2DF92C6B" w14:textId="77777777" w:rsidR="00AF4DBF" w:rsidRDefault="00AF4DBF" w:rsidP="000A4454">
            <w:pPr>
              <w:rPr>
                <w:rFonts w:ascii="Arial" w:hAnsi="Arial" w:cs="Arial"/>
              </w:rPr>
            </w:pPr>
            <w:r w:rsidRPr="000E2C7B">
              <w:rPr>
                <w:rFonts w:ascii="Arial" w:hAnsi="Arial" w:cs="Arial"/>
                <w:b w:val="0"/>
                <w:bCs w:val="0"/>
              </w:rPr>
              <w:t xml:space="preserve">Date </w:t>
            </w:r>
          </w:p>
          <w:p w14:paraId="452A237A" w14:textId="77777777" w:rsidR="00187E05" w:rsidRDefault="00187E05" w:rsidP="000A4454">
            <w:pPr>
              <w:rPr>
                <w:rFonts w:ascii="Arial" w:hAnsi="Arial" w:cs="Arial"/>
                <w:b w:val="0"/>
                <w:bCs w:val="0"/>
              </w:rPr>
            </w:pPr>
          </w:p>
          <w:p w14:paraId="1894CB83" w14:textId="474FE8DE" w:rsidR="00187E05" w:rsidRPr="000E2C7B" w:rsidRDefault="00187E05" w:rsidP="000A4454">
            <w:pPr>
              <w:rPr>
                <w:rFonts w:ascii="Arial" w:hAnsi="Arial" w:cs="Arial"/>
              </w:rPr>
            </w:pPr>
            <w:r>
              <w:rPr>
                <w:rFonts w:ascii="Arial" w:hAnsi="Arial" w:cs="Arial"/>
              </w:rPr>
              <w:t>22.03.2024</w:t>
            </w:r>
          </w:p>
          <w:p w14:paraId="4B29DD10" w14:textId="77777777" w:rsidR="00AF4DBF" w:rsidRPr="000E2C7B" w:rsidRDefault="00AF4DBF" w:rsidP="000A4454">
            <w:pPr>
              <w:rPr>
                <w:rFonts w:ascii="Arial" w:hAnsi="Arial" w:cs="Arial"/>
              </w:rPr>
            </w:pPr>
          </w:p>
        </w:tc>
      </w:tr>
    </w:tbl>
    <w:p w14:paraId="00DDAE2F" w14:textId="77777777" w:rsidR="00AF4DBF" w:rsidRPr="000E2C7B" w:rsidRDefault="00AF4DBF" w:rsidP="00AF4DBF">
      <w:pPr>
        <w:rPr>
          <w:rFonts w:ascii="Arial" w:hAnsi="Arial" w:cs="Arial"/>
        </w:rPr>
      </w:pPr>
    </w:p>
    <w:p w14:paraId="536FE0B1" w14:textId="77777777" w:rsidR="00AF4DBF" w:rsidRDefault="00AF4DBF" w:rsidP="00AF4DBF">
      <w:pPr>
        <w:rPr>
          <w:rFonts w:ascii="Arial" w:hAnsi="Arial" w:cs="Arial"/>
          <w:b/>
          <w:sz w:val="24"/>
          <w:szCs w:val="24"/>
        </w:rPr>
      </w:pPr>
    </w:p>
    <w:p w14:paraId="14CACF71" w14:textId="77777777" w:rsidR="00AF4DBF" w:rsidRPr="00A553B7" w:rsidRDefault="00AF4DBF" w:rsidP="001F6D1A">
      <w:pPr>
        <w:rPr>
          <w:rFonts w:ascii="Arial" w:hAnsi="Arial" w:cs="Arial"/>
          <w:b/>
          <w:color w:val="A6A6A6"/>
          <w:sz w:val="24"/>
          <w:szCs w:val="24"/>
        </w:rPr>
      </w:pPr>
    </w:p>
    <w:sectPr w:rsidR="00AF4DBF" w:rsidRPr="00A553B7" w:rsidSect="00AF4DBF">
      <w:pgSz w:w="11906" w:h="16838"/>
      <w:pgMar w:top="1440" w:right="1440" w:bottom="567" w:left="1440" w:header="709" w:footer="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E2B3F" w14:textId="77777777" w:rsidR="00C87429" w:rsidRDefault="00C87429" w:rsidP="00D26302">
      <w:pPr>
        <w:spacing w:after="0" w:line="240" w:lineRule="auto"/>
      </w:pPr>
      <w:r>
        <w:separator/>
      </w:r>
    </w:p>
  </w:endnote>
  <w:endnote w:type="continuationSeparator" w:id="0">
    <w:p w14:paraId="02DA6AE2" w14:textId="77777777" w:rsidR="00C87429" w:rsidRDefault="00C87429" w:rsidP="00D26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71EBD" w14:textId="77777777" w:rsidR="00BD67F9" w:rsidRDefault="00BD67F9" w:rsidP="00D26302">
    <w:pPr>
      <w:pStyle w:val="Footer"/>
      <w:spacing w:after="0"/>
      <w:jc w:val="center"/>
      <w:rPr>
        <w:rFonts w:ascii="Arial" w:hAnsi="Arial" w:cs="Arial"/>
        <w:b/>
        <w:color w:val="FF0000"/>
        <w:sz w:val="24"/>
      </w:rPr>
    </w:pPr>
    <w:bookmarkStart w:id="2" w:name="aliashDefaultHeaderandFo1FooterEvenPages"/>
  </w:p>
  <w:bookmarkEnd w:id="2"/>
  <w:p w14:paraId="4A430756" w14:textId="77777777" w:rsidR="00BD67F9" w:rsidRDefault="00BD67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AF1AA" w14:textId="77777777" w:rsidR="00BD67F9" w:rsidRDefault="00BD67F9">
    <w:pPr>
      <w:pStyle w:val="Footer"/>
      <w:jc w:val="center"/>
    </w:pPr>
    <w:r>
      <w:fldChar w:fldCharType="begin"/>
    </w:r>
    <w:r>
      <w:instrText xml:space="preserve"> PAGE   \* MERGEFORMAT </w:instrText>
    </w:r>
    <w:r>
      <w:fldChar w:fldCharType="separate"/>
    </w:r>
    <w:r w:rsidR="003E36C3">
      <w:rPr>
        <w:noProof/>
      </w:rPr>
      <w:t>1</w:t>
    </w:r>
    <w:r>
      <w:rPr>
        <w:noProof/>
      </w:rPr>
      <w:fldChar w:fldCharType="end"/>
    </w:r>
  </w:p>
  <w:p w14:paraId="0405E9E4" w14:textId="77777777" w:rsidR="00BD67F9" w:rsidRDefault="00BD67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A10F0" w14:textId="77777777" w:rsidR="00BD67F9" w:rsidRDefault="00BD67F9" w:rsidP="00D26302">
    <w:pPr>
      <w:pStyle w:val="Footer"/>
      <w:spacing w:after="0"/>
      <w:jc w:val="center"/>
      <w:rPr>
        <w:rFonts w:ascii="Arial" w:hAnsi="Arial" w:cs="Arial"/>
        <w:b/>
        <w:color w:val="FF0000"/>
        <w:sz w:val="24"/>
      </w:rPr>
    </w:pPr>
    <w:bookmarkStart w:id="4" w:name="aliashDefaultHeaderandFo1FooterFirstPage"/>
  </w:p>
  <w:bookmarkEnd w:id="4"/>
  <w:p w14:paraId="13B8AA8C" w14:textId="77777777" w:rsidR="00BD67F9" w:rsidRDefault="00BD67F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33529" w14:textId="77777777" w:rsidR="00E1124E" w:rsidRDefault="00E474D6">
    <w:pPr>
      <w:pStyle w:val="Footer"/>
      <w:jc w:val="center"/>
    </w:pPr>
    <w:r>
      <w:fldChar w:fldCharType="begin"/>
    </w:r>
    <w:r>
      <w:instrText xml:space="preserve"> PAGE   \* MERGEFORMAT </w:instrText>
    </w:r>
    <w:r>
      <w:fldChar w:fldCharType="separate"/>
    </w:r>
    <w:r>
      <w:rPr>
        <w:noProof/>
      </w:rPr>
      <w:t>1</w:t>
    </w:r>
    <w:r>
      <w:rPr>
        <w:noProof/>
      </w:rPr>
      <w:fldChar w:fldCharType="end"/>
    </w:r>
  </w:p>
  <w:p w14:paraId="21AB3E9D" w14:textId="77777777" w:rsidR="00E1124E" w:rsidRDefault="00E112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0F1B6" w14:textId="77777777" w:rsidR="00C87429" w:rsidRDefault="00C87429" w:rsidP="00D26302">
      <w:pPr>
        <w:spacing w:after="0" w:line="240" w:lineRule="auto"/>
      </w:pPr>
      <w:r>
        <w:separator/>
      </w:r>
    </w:p>
  </w:footnote>
  <w:footnote w:type="continuationSeparator" w:id="0">
    <w:p w14:paraId="6C083D94" w14:textId="77777777" w:rsidR="00C87429" w:rsidRDefault="00C87429" w:rsidP="00D263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430D4" w14:textId="77777777" w:rsidR="00BD67F9" w:rsidRDefault="00BD67F9" w:rsidP="00D26302">
    <w:pPr>
      <w:pStyle w:val="Header"/>
      <w:spacing w:after="0"/>
      <w:jc w:val="center"/>
      <w:rPr>
        <w:rFonts w:ascii="Arial" w:hAnsi="Arial" w:cs="Arial"/>
        <w:b/>
        <w:color w:val="FF0000"/>
        <w:sz w:val="24"/>
      </w:rPr>
    </w:pPr>
    <w:bookmarkStart w:id="0" w:name="aliashDefaultHeaderandFo1HeaderEvenPages"/>
  </w:p>
  <w:bookmarkEnd w:id="0"/>
  <w:p w14:paraId="53F1FD3F" w14:textId="77777777" w:rsidR="00BD67F9" w:rsidRDefault="00BD67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BB185" w14:textId="77777777" w:rsidR="00BD67F9" w:rsidRDefault="00BD67F9" w:rsidP="00D26302">
    <w:pPr>
      <w:pStyle w:val="Header"/>
      <w:spacing w:after="0"/>
      <w:jc w:val="center"/>
      <w:rPr>
        <w:rFonts w:ascii="Arial" w:hAnsi="Arial" w:cs="Arial"/>
        <w:b/>
        <w:color w:val="FF0000"/>
        <w:sz w:val="24"/>
      </w:rPr>
    </w:pPr>
    <w:bookmarkStart w:id="1" w:name="aliashDefaultHeaderandFoot1HeaderPrimary"/>
  </w:p>
  <w:bookmarkEnd w:id="1"/>
  <w:p w14:paraId="10F5FE3B" w14:textId="77777777" w:rsidR="00BD67F9" w:rsidRDefault="00BD67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52472" w14:textId="77777777" w:rsidR="00BD67F9" w:rsidRDefault="00BD67F9" w:rsidP="00D26302">
    <w:pPr>
      <w:pStyle w:val="Header"/>
      <w:spacing w:after="0"/>
      <w:jc w:val="center"/>
      <w:rPr>
        <w:rFonts w:ascii="Arial" w:hAnsi="Arial" w:cs="Arial"/>
        <w:b/>
        <w:color w:val="FF0000"/>
        <w:sz w:val="24"/>
      </w:rPr>
    </w:pPr>
    <w:bookmarkStart w:id="3" w:name="aliashDefaultHeaderandFo1HeaderFirstPage"/>
  </w:p>
  <w:bookmarkEnd w:id="3"/>
  <w:p w14:paraId="64D3FFCE" w14:textId="77777777" w:rsidR="00BD67F9" w:rsidRDefault="00BD67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597B"/>
    <w:multiLevelType w:val="hybridMultilevel"/>
    <w:tmpl w:val="54F4ADC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1A0030C"/>
    <w:multiLevelType w:val="hybridMultilevel"/>
    <w:tmpl w:val="7682E01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EE4118"/>
    <w:multiLevelType w:val="hybridMultilevel"/>
    <w:tmpl w:val="05FE4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873A0F"/>
    <w:multiLevelType w:val="hybridMultilevel"/>
    <w:tmpl w:val="2ACC2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98685A"/>
    <w:multiLevelType w:val="hybridMultilevel"/>
    <w:tmpl w:val="0D9ED2CC"/>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5" w15:restartNumberingAfterBreak="0">
    <w:nsid w:val="1717124B"/>
    <w:multiLevelType w:val="hybridMultilevel"/>
    <w:tmpl w:val="927077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676E46"/>
    <w:multiLevelType w:val="hybridMultilevel"/>
    <w:tmpl w:val="66A64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316CBF"/>
    <w:multiLevelType w:val="hybridMultilevel"/>
    <w:tmpl w:val="1A92926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BD90A32"/>
    <w:multiLevelType w:val="hybridMultilevel"/>
    <w:tmpl w:val="BA107F0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9" w15:restartNumberingAfterBreak="0">
    <w:nsid w:val="1D852589"/>
    <w:multiLevelType w:val="hybridMultilevel"/>
    <w:tmpl w:val="882C6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6D70BD"/>
    <w:multiLevelType w:val="hybridMultilevel"/>
    <w:tmpl w:val="E8826336"/>
    <w:lvl w:ilvl="0" w:tplc="879E1A1A">
      <w:start w:val="1"/>
      <w:numFmt w:val="bullet"/>
      <w:lvlText w:val=""/>
      <w:lvlJc w:val="left"/>
      <w:pPr>
        <w:ind w:left="360" w:hanging="360"/>
      </w:pPr>
      <w:rPr>
        <w:rFonts w:ascii="Symbol" w:hAnsi="Symbol" w:hint="default"/>
        <w:color w:val="auto"/>
        <w:sz w:val="20"/>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1DF1F79"/>
    <w:multiLevelType w:val="hybridMultilevel"/>
    <w:tmpl w:val="19B6AD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FD5FD9"/>
    <w:multiLevelType w:val="hybridMultilevel"/>
    <w:tmpl w:val="1A92926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24D3719E"/>
    <w:multiLevelType w:val="hybridMultilevel"/>
    <w:tmpl w:val="059470F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43731F"/>
    <w:multiLevelType w:val="hybridMultilevel"/>
    <w:tmpl w:val="881C3A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1A6EB7"/>
    <w:multiLevelType w:val="multilevel"/>
    <w:tmpl w:val="699AD750"/>
    <w:lvl w:ilvl="0">
      <w:start w:val="4"/>
      <w:numFmt w:val="decimal"/>
      <w:lvlText w:val="%1"/>
      <w:lvlJc w:val="left"/>
      <w:pPr>
        <w:ind w:left="460" w:hanging="460"/>
      </w:pPr>
      <w:rPr>
        <w:rFonts w:hint="default"/>
      </w:rPr>
    </w:lvl>
    <w:lvl w:ilvl="1">
      <w:start w:val="26"/>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D4C7416"/>
    <w:multiLevelType w:val="multilevel"/>
    <w:tmpl w:val="831A2320"/>
    <w:lvl w:ilvl="0">
      <w:start w:val="4"/>
      <w:numFmt w:val="decimal"/>
      <w:lvlText w:val="%1"/>
      <w:lvlJc w:val="left"/>
      <w:pPr>
        <w:ind w:left="390" w:hanging="390"/>
      </w:pPr>
      <w:rPr>
        <w:rFonts w:hint="default"/>
      </w:rPr>
    </w:lvl>
    <w:lvl w:ilvl="1">
      <w:start w:val="25"/>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E6A5D7C"/>
    <w:multiLevelType w:val="multilevel"/>
    <w:tmpl w:val="760C2B60"/>
    <w:lvl w:ilvl="0">
      <w:start w:val="4"/>
      <w:numFmt w:val="decimal"/>
      <w:lvlText w:val="%1"/>
      <w:lvlJc w:val="left"/>
      <w:pPr>
        <w:ind w:left="390" w:hanging="390"/>
      </w:pPr>
      <w:rPr>
        <w:rFonts w:hint="default"/>
      </w:rPr>
    </w:lvl>
    <w:lvl w:ilvl="1">
      <w:start w:val="26"/>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1BE156F"/>
    <w:multiLevelType w:val="multilevel"/>
    <w:tmpl w:val="D924C52C"/>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2D9656C"/>
    <w:multiLevelType w:val="hybridMultilevel"/>
    <w:tmpl w:val="78EEC83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36B870ED"/>
    <w:multiLevelType w:val="hybridMultilevel"/>
    <w:tmpl w:val="E91A0CD6"/>
    <w:lvl w:ilvl="0" w:tplc="0809000B">
      <w:start w:val="1"/>
      <w:numFmt w:val="bullet"/>
      <w:lvlText w:val=""/>
      <w:lvlJc w:val="left"/>
      <w:pPr>
        <w:ind w:left="790" w:hanging="360"/>
      </w:pPr>
      <w:rPr>
        <w:rFonts w:ascii="Wingdings" w:hAnsi="Wingdings"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1" w15:restartNumberingAfterBreak="0">
    <w:nsid w:val="3894451C"/>
    <w:multiLevelType w:val="hybridMultilevel"/>
    <w:tmpl w:val="0F9E7E18"/>
    <w:lvl w:ilvl="0" w:tplc="8264D708">
      <w:start w:val="4"/>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E2027F"/>
    <w:multiLevelType w:val="hybridMultilevel"/>
    <w:tmpl w:val="1A92926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39621E8D"/>
    <w:multiLevelType w:val="multilevel"/>
    <w:tmpl w:val="A34895E6"/>
    <w:lvl w:ilvl="0">
      <w:start w:val="4"/>
      <w:numFmt w:val="decimal"/>
      <w:lvlText w:val="%1"/>
      <w:lvlJc w:val="left"/>
      <w:pPr>
        <w:ind w:left="360" w:hanging="360"/>
      </w:pPr>
      <w:rPr>
        <w:rFonts w:hint="default"/>
      </w:rPr>
    </w:lvl>
    <w:lvl w:ilvl="1">
      <w:start w:val="4"/>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4" w15:restartNumberingAfterBreak="0">
    <w:nsid w:val="3A922BC7"/>
    <w:multiLevelType w:val="hybridMultilevel"/>
    <w:tmpl w:val="1A92926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3E615947"/>
    <w:multiLevelType w:val="hybridMultilevel"/>
    <w:tmpl w:val="1A92926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3E976E8B"/>
    <w:multiLevelType w:val="hybridMultilevel"/>
    <w:tmpl w:val="3CDE7528"/>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0C507A4"/>
    <w:multiLevelType w:val="multilevel"/>
    <w:tmpl w:val="923A374A"/>
    <w:lvl w:ilvl="0">
      <w:start w:val="1"/>
      <w:numFmt w:val="decimal"/>
      <w:lvlText w:val="%1."/>
      <w:lvlJc w:val="left"/>
      <w:pPr>
        <w:tabs>
          <w:tab w:val="num" w:pos="2064"/>
        </w:tabs>
        <w:ind w:left="2064" w:hanging="504"/>
      </w:pPr>
      <w:rPr>
        <w:rFonts w:hint="default"/>
        <w:b/>
      </w:rPr>
    </w:lvl>
    <w:lvl w:ilvl="1">
      <w:start w:val="1"/>
      <w:numFmt w:val="bullet"/>
      <w:lvlText w:val=""/>
      <w:lvlJc w:val="left"/>
      <w:pPr>
        <w:tabs>
          <w:tab w:val="num" w:pos="7592"/>
        </w:tabs>
        <w:ind w:left="7592" w:hanging="504"/>
      </w:pPr>
      <w:rPr>
        <w:rFonts w:ascii="Symbol" w:hAnsi="Symbol" w:hint="default"/>
      </w:rPr>
    </w:lvl>
    <w:lvl w:ilvl="2">
      <w:start w:val="1"/>
      <w:numFmt w:val="decimal"/>
      <w:lvlText w:val="%1.%2.%3."/>
      <w:lvlJc w:val="left"/>
      <w:pPr>
        <w:tabs>
          <w:tab w:val="num" w:pos="2712"/>
        </w:tabs>
        <w:ind w:left="2712" w:hanging="648"/>
      </w:pPr>
      <w:rPr>
        <w:rFonts w:hint="default"/>
      </w:rPr>
    </w:lvl>
    <w:lvl w:ilvl="3">
      <w:start w:val="1"/>
      <w:numFmt w:val="decimal"/>
      <w:lvlText w:val="%1.%2.%3.%4."/>
      <w:lvlJc w:val="left"/>
      <w:pPr>
        <w:tabs>
          <w:tab w:val="num" w:pos="2640"/>
        </w:tabs>
        <w:ind w:left="2640" w:hanging="1080"/>
      </w:pPr>
      <w:rPr>
        <w:rFonts w:hint="default"/>
      </w:rPr>
    </w:lvl>
    <w:lvl w:ilvl="4">
      <w:start w:val="1"/>
      <w:numFmt w:val="decimal"/>
      <w:lvlText w:val="%1.%2.%3.%4.%5."/>
      <w:lvlJc w:val="left"/>
      <w:pPr>
        <w:tabs>
          <w:tab w:val="num" w:pos="2640"/>
        </w:tabs>
        <w:ind w:left="2640" w:hanging="1080"/>
      </w:pPr>
      <w:rPr>
        <w:rFonts w:hint="default"/>
      </w:rPr>
    </w:lvl>
    <w:lvl w:ilvl="5">
      <w:start w:val="1"/>
      <w:numFmt w:val="decimal"/>
      <w:lvlText w:val="%1.%2.%3.%4.%5.%6."/>
      <w:lvlJc w:val="left"/>
      <w:pPr>
        <w:tabs>
          <w:tab w:val="num" w:pos="3000"/>
        </w:tabs>
        <w:ind w:left="3000" w:hanging="1440"/>
      </w:pPr>
      <w:rPr>
        <w:rFonts w:hint="default"/>
      </w:rPr>
    </w:lvl>
    <w:lvl w:ilvl="6">
      <w:start w:val="1"/>
      <w:numFmt w:val="decimal"/>
      <w:lvlText w:val="%1.%2.%3.%4.%5.%6.%7."/>
      <w:lvlJc w:val="left"/>
      <w:pPr>
        <w:tabs>
          <w:tab w:val="num" w:pos="3000"/>
        </w:tabs>
        <w:ind w:left="3000" w:hanging="1440"/>
      </w:pPr>
      <w:rPr>
        <w:rFonts w:hint="default"/>
      </w:rPr>
    </w:lvl>
    <w:lvl w:ilvl="7">
      <w:start w:val="1"/>
      <w:numFmt w:val="decimal"/>
      <w:lvlText w:val="%1.%2.%3.%4.%5.%6.%7.%8."/>
      <w:lvlJc w:val="left"/>
      <w:pPr>
        <w:tabs>
          <w:tab w:val="num" w:pos="3360"/>
        </w:tabs>
        <w:ind w:left="3360" w:hanging="1800"/>
      </w:pPr>
      <w:rPr>
        <w:rFonts w:hint="default"/>
      </w:rPr>
    </w:lvl>
    <w:lvl w:ilvl="8">
      <w:start w:val="1"/>
      <w:numFmt w:val="decimal"/>
      <w:lvlText w:val="%1.%2.%3.%4.%5.%6.%7.%8.%9."/>
      <w:lvlJc w:val="left"/>
      <w:pPr>
        <w:tabs>
          <w:tab w:val="num" w:pos="3720"/>
        </w:tabs>
        <w:ind w:left="3720" w:hanging="2160"/>
      </w:pPr>
      <w:rPr>
        <w:rFonts w:hint="default"/>
      </w:rPr>
    </w:lvl>
  </w:abstractNum>
  <w:abstractNum w:abstractNumId="28" w15:restartNumberingAfterBreak="0">
    <w:nsid w:val="41040674"/>
    <w:multiLevelType w:val="multilevel"/>
    <w:tmpl w:val="8DAA2C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42556BC5"/>
    <w:multiLevelType w:val="multilevel"/>
    <w:tmpl w:val="25B2A516"/>
    <w:lvl w:ilvl="0">
      <w:start w:val="4"/>
      <w:numFmt w:val="decimal"/>
      <w:lvlText w:val="%1"/>
      <w:lvlJc w:val="left"/>
      <w:pPr>
        <w:ind w:left="390" w:hanging="390"/>
      </w:pPr>
      <w:rPr>
        <w:rFonts w:hint="default"/>
      </w:rPr>
    </w:lvl>
    <w:lvl w:ilvl="1">
      <w:start w:val="28"/>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3F835C0"/>
    <w:multiLevelType w:val="hybridMultilevel"/>
    <w:tmpl w:val="A03CB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61970F8"/>
    <w:multiLevelType w:val="hybridMultilevel"/>
    <w:tmpl w:val="71FC2D6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80360A9"/>
    <w:multiLevelType w:val="hybridMultilevel"/>
    <w:tmpl w:val="20AA5E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FA10D27"/>
    <w:multiLevelType w:val="multilevel"/>
    <w:tmpl w:val="82DE0AE6"/>
    <w:lvl w:ilvl="0">
      <w:start w:val="8"/>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rPr>
    </w:lvl>
    <w:lvl w:ilvl="2">
      <w:start w:val="6"/>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4" w15:restartNumberingAfterBreak="0">
    <w:nsid w:val="534963FD"/>
    <w:multiLevelType w:val="hybridMultilevel"/>
    <w:tmpl w:val="1A92926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549107C8"/>
    <w:multiLevelType w:val="hybridMultilevel"/>
    <w:tmpl w:val="5EC41B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566A5C62"/>
    <w:multiLevelType w:val="hybridMultilevel"/>
    <w:tmpl w:val="974CE9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6720BD3"/>
    <w:multiLevelType w:val="hybridMultilevel"/>
    <w:tmpl w:val="C1F684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ACF772B"/>
    <w:multiLevelType w:val="hybridMultilevel"/>
    <w:tmpl w:val="91FC0F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9" w15:restartNumberingAfterBreak="0">
    <w:nsid w:val="6215081E"/>
    <w:multiLevelType w:val="hybridMultilevel"/>
    <w:tmpl w:val="3CE6AD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4C80AFF"/>
    <w:multiLevelType w:val="hybridMultilevel"/>
    <w:tmpl w:val="0BC04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89A37F6"/>
    <w:multiLevelType w:val="multilevel"/>
    <w:tmpl w:val="3DEC133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92F5523"/>
    <w:multiLevelType w:val="multilevel"/>
    <w:tmpl w:val="D00CD16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15:restartNumberingAfterBreak="0">
    <w:nsid w:val="79DB1218"/>
    <w:multiLevelType w:val="multilevel"/>
    <w:tmpl w:val="AC608506"/>
    <w:lvl w:ilvl="0">
      <w:start w:val="4"/>
      <w:numFmt w:val="decimal"/>
      <w:lvlText w:val="%1"/>
      <w:lvlJc w:val="left"/>
      <w:pPr>
        <w:ind w:left="390" w:hanging="390"/>
      </w:pPr>
      <w:rPr>
        <w:rFonts w:hint="default"/>
      </w:rPr>
    </w:lvl>
    <w:lvl w:ilvl="1">
      <w:start w:val="1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7BBC3E72"/>
    <w:multiLevelType w:val="hybridMultilevel"/>
    <w:tmpl w:val="B816A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CC7ED1"/>
    <w:multiLevelType w:val="hybridMultilevel"/>
    <w:tmpl w:val="1A92926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6" w15:restartNumberingAfterBreak="0">
    <w:nsid w:val="7E4900EC"/>
    <w:multiLevelType w:val="hybridMultilevel"/>
    <w:tmpl w:val="3496A5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15:restartNumberingAfterBreak="0">
    <w:nsid w:val="7F593CE2"/>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21003377">
    <w:abstractNumId w:val="2"/>
  </w:num>
  <w:num w:numId="2" w16cid:durableId="1361710874">
    <w:abstractNumId w:val="9"/>
  </w:num>
  <w:num w:numId="3" w16cid:durableId="1615021744">
    <w:abstractNumId w:val="6"/>
  </w:num>
  <w:num w:numId="4" w16cid:durableId="1859735492">
    <w:abstractNumId w:val="4"/>
  </w:num>
  <w:num w:numId="5" w16cid:durableId="1866286134">
    <w:abstractNumId w:val="30"/>
  </w:num>
  <w:num w:numId="6" w16cid:durableId="1456683026">
    <w:abstractNumId w:val="13"/>
  </w:num>
  <w:num w:numId="7" w16cid:durableId="88432946">
    <w:abstractNumId w:val="31"/>
  </w:num>
  <w:num w:numId="8" w16cid:durableId="1924795644">
    <w:abstractNumId w:val="11"/>
  </w:num>
  <w:num w:numId="9" w16cid:durableId="2052339661">
    <w:abstractNumId w:val="8"/>
  </w:num>
  <w:num w:numId="10" w16cid:durableId="240066091">
    <w:abstractNumId w:val="5"/>
  </w:num>
  <w:num w:numId="11" w16cid:durableId="294989573">
    <w:abstractNumId w:val="27"/>
  </w:num>
  <w:num w:numId="12" w16cid:durableId="700057975">
    <w:abstractNumId w:val="0"/>
  </w:num>
  <w:num w:numId="13" w16cid:durableId="2120249475">
    <w:abstractNumId w:val="35"/>
  </w:num>
  <w:num w:numId="14" w16cid:durableId="1603344778">
    <w:abstractNumId w:val="10"/>
  </w:num>
  <w:num w:numId="15" w16cid:durableId="2130005836">
    <w:abstractNumId w:val="1"/>
  </w:num>
  <w:num w:numId="16" w16cid:durableId="529227269">
    <w:abstractNumId w:val="47"/>
  </w:num>
  <w:num w:numId="17" w16cid:durableId="1617756459">
    <w:abstractNumId w:val="20"/>
  </w:num>
  <w:num w:numId="18" w16cid:durableId="2112312788">
    <w:abstractNumId w:val="0"/>
  </w:num>
  <w:num w:numId="19" w16cid:durableId="491067116">
    <w:abstractNumId w:val="3"/>
  </w:num>
  <w:num w:numId="20" w16cid:durableId="919027400">
    <w:abstractNumId w:val="38"/>
  </w:num>
  <w:num w:numId="21" w16cid:durableId="468330455">
    <w:abstractNumId w:val="19"/>
  </w:num>
  <w:num w:numId="22" w16cid:durableId="208038419">
    <w:abstractNumId w:val="26"/>
  </w:num>
  <w:num w:numId="23" w16cid:durableId="554586890">
    <w:abstractNumId w:val="46"/>
  </w:num>
  <w:num w:numId="24" w16cid:durableId="4352545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80435287">
    <w:abstractNumId w:val="12"/>
  </w:num>
  <w:num w:numId="26" w16cid:durableId="1179658188">
    <w:abstractNumId w:val="44"/>
  </w:num>
  <w:num w:numId="27" w16cid:durableId="972446971">
    <w:abstractNumId w:val="25"/>
  </w:num>
  <w:num w:numId="28" w16cid:durableId="1831632322">
    <w:abstractNumId w:val="45"/>
  </w:num>
  <w:num w:numId="29" w16cid:durableId="607153752">
    <w:abstractNumId w:val="34"/>
  </w:num>
  <w:num w:numId="30" w16cid:durableId="737170144">
    <w:abstractNumId w:val="24"/>
  </w:num>
  <w:num w:numId="31" w16cid:durableId="592713679">
    <w:abstractNumId w:val="7"/>
  </w:num>
  <w:num w:numId="32" w16cid:durableId="20475489">
    <w:abstractNumId w:val="22"/>
  </w:num>
  <w:num w:numId="33" w16cid:durableId="497042584">
    <w:abstractNumId w:val="42"/>
  </w:num>
  <w:num w:numId="34" w16cid:durableId="1383098127">
    <w:abstractNumId w:val="41"/>
  </w:num>
  <w:num w:numId="35" w16cid:durableId="1771511355">
    <w:abstractNumId w:val="28"/>
  </w:num>
  <w:num w:numId="36" w16cid:durableId="1814786827">
    <w:abstractNumId w:val="43"/>
  </w:num>
  <w:num w:numId="37" w16cid:durableId="16540350">
    <w:abstractNumId w:val="37"/>
  </w:num>
  <w:num w:numId="38" w16cid:durableId="72701042">
    <w:abstractNumId w:val="16"/>
  </w:num>
  <w:num w:numId="39" w16cid:durableId="866797091">
    <w:abstractNumId w:val="17"/>
  </w:num>
  <w:num w:numId="40" w16cid:durableId="676080323">
    <w:abstractNumId w:val="29"/>
  </w:num>
  <w:num w:numId="41" w16cid:durableId="2058968438">
    <w:abstractNumId w:val="14"/>
  </w:num>
  <w:num w:numId="42" w16cid:durableId="592973489">
    <w:abstractNumId w:val="23"/>
  </w:num>
  <w:num w:numId="43" w16cid:durableId="1398626586">
    <w:abstractNumId w:val="18"/>
  </w:num>
  <w:num w:numId="44" w16cid:durableId="935284058">
    <w:abstractNumId w:val="21"/>
  </w:num>
  <w:num w:numId="45" w16cid:durableId="1482696273">
    <w:abstractNumId w:val="15"/>
  </w:num>
  <w:num w:numId="46" w16cid:durableId="1772165967">
    <w:abstractNumId w:val="36"/>
  </w:num>
  <w:num w:numId="47" w16cid:durableId="245118062">
    <w:abstractNumId w:val="40"/>
  </w:num>
  <w:num w:numId="48" w16cid:durableId="168327708">
    <w:abstractNumId w:val="32"/>
  </w:num>
  <w:num w:numId="49" w16cid:durableId="1888181279">
    <w:abstractNumId w:val="39"/>
  </w:num>
  <w:num w:numId="50" w16cid:durableId="69673679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302"/>
    <w:rsid w:val="000104B8"/>
    <w:rsid w:val="00010CA5"/>
    <w:rsid w:val="00024F8F"/>
    <w:rsid w:val="00041F9A"/>
    <w:rsid w:val="00046A4F"/>
    <w:rsid w:val="00047C3B"/>
    <w:rsid w:val="00055BFA"/>
    <w:rsid w:val="00071B71"/>
    <w:rsid w:val="00075AFB"/>
    <w:rsid w:val="00096F14"/>
    <w:rsid w:val="000971E5"/>
    <w:rsid w:val="000A369B"/>
    <w:rsid w:val="000B33E8"/>
    <w:rsid w:val="000B3AE0"/>
    <w:rsid w:val="000B73A2"/>
    <w:rsid w:val="000C34FE"/>
    <w:rsid w:val="000D3941"/>
    <w:rsid w:val="000D6479"/>
    <w:rsid w:val="000F1ABE"/>
    <w:rsid w:val="000F64EA"/>
    <w:rsid w:val="00101CDF"/>
    <w:rsid w:val="001216F2"/>
    <w:rsid w:val="00135BE3"/>
    <w:rsid w:val="00146C56"/>
    <w:rsid w:val="00146D51"/>
    <w:rsid w:val="001470B0"/>
    <w:rsid w:val="00147792"/>
    <w:rsid w:val="00151F45"/>
    <w:rsid w:val="00152CD1"/>
    <w:rsid w:val="001532C7"/>
    <w:rsid w:val="00154C44"/>
    <w:rsid w:val="00163A49"/>
    <w:rsid w:val="00165162"/>
    <w:rsid w:val="00171FDE"/>
    <w:rsid w:val="001723B1"/>
    <w:rsid w:val="0017781F"/>
    <w:rsid w:val="00182C0F"/>
    <w:rsid w:val="00187E05"/>
    <w:rsid w:val="0019071D"/>
    <w:rsid w:val="001B7502"/>
    <w:rsid w:val="001C1669"/>
    <w:rsid w:val="001C17C5"/>
    <w:rsid w:val="001C7E3F"/>
    <w:rsid w:val="001D00F2"/>
    <w:rsid w:val="001D11DD"/>
    <w:rsid w:val="001E4DC3"/>
    <w:rsid w:val="001F41AD"/>
    <w:rsid w:val="001F4BA4"/>
    <w:rsid w:val="001F6D1A"/>
    <w:rsid w:val="002007E3"/>
    <w:rsid w:val="0021187F"/>
    <w:rsid w:val="002134A5"/>
    <w:rsid w:val="00215A35"/>
    <w:rsid w:val="00215CE9"/>
    <w:rsid w:val="0022643F"/>
    <w:rsid w:val="00226D8A"/>
    <w:rsid w:val="00227BE8"/>
    <w:rsid w:val="00231AD1"/>
    <w:rsid w:val="00241E08"/>
    <w:rsid w:val="002470ED"/>
    <w:rsid w:val="00262140"/>
    <w:rsid w:val="00262268"/>
    <w:rsid w:val="00262D70"/>
    <w:rsid w:val="0026584C"/>
    <w:rsid w:val="00277D39"/>
    <w:rsid w:val="002814DA"/>
    <w:rsid w:val="00282A95"/>
    <w:rsid w:val="00283D5B"/>
    <w:rsid w:val="00285FD8"/>
    <w:rsid w:val="00287A7F"/>
    <w:rsid w:val="002921C7"/>
    <w:rsid w:val="0029270D"/>
    <w:rsid w:val="00294700"/>
    <w:rsid w:val="002A2A26"/>
    <w:rsid w:val="002A506A"/>
    <w:rsid w:val="002B155A"/>
    <w:rsid w:val="002B50F0"/>
    <w:rsid w:val="002D5696"/>
    <w:rsid w:val="00301D1F"/>
    <w:rsid w:val="00302E4A"/>
    <w:rsid w:val="00310A3C"/>
    <w:rsid w:val="00310AE0"/>
    <w:rsid w:val="0031408C"/>
    <w:rsid w:val="00323960"/>
    <w:rsid w:val="00326A5A"/>
    <w:rsid w:val="00330C5E"/>
    <w:rsid w:val="003377A4"/>
    <w:rsid w:val="0034123A"/>
    <w:rsid w:val="00342E35"/>
    <w:rsid w:val="00345C86"/>
    <w:rsid w:val="00350E0B"/>
    <w:rsid w:val="00371DB7"/>
    <w:rsid w:val="00380C52"/>
    <w:rsid w:val="00383662"/>
    <w:rsid w:val="00385AC6"/>
    <w:rsid w:val="003A7405"/>
    <w:rsid w:val="003A7520"/>
    <w:rsid w:val="003B3A67"/>
    <w:rsid w:val="003C4BC6"/>
    <w:rsid w:val="003E36C3"/>
    <w:rsid w:val="003E38B0"/>
    <w:rsid w:val="003F11A7"/>
    <w:rsid w:val="00412F02"/>
    <w:rsid w:val="0042426F"/>
    <w:rsid w:val="00424634"/>
    <w:rsid w:val="004574FB"/>
    <w:rsid w:val="00465852"/>
    <w:rsid w:val="00471600"/>
    <w:rsid w:val="004724C9"/>
    <w:rsid w:val="00476B91"/>
    <w:rsid w:val="0048547E"/>
    <w:rsid w:val="004A7505"/>
    <w:rsid w:val="004B09B0"/>
    <w:rsid w:val="004B4240"/>
    <w:rsid w:val="004B4392"/>
    <w:rsid w:val="004C243E"/>
    <w:rsid w:val="004D104E"/>
    <w:rsid w:val="004D1D33"/>
    <w:rsid w:val="004D3A3F"/>
    <w:rsid w:val="004E3A7F"/>
    <w:rsid w:val="004F02A9"/>
    <w:rsid w:val="00500E47"/>
    <w:rsid w:val="00501030"/>
    <w:rsid w:val="0050403A"/>
    <w:rsid w:val="00515C0C"/>
    <w:rsid w:val="005241A0"/>
    <w:rsid w:val="005251B7"/>
    <w:rsid w:val="0053351B"/>
    <w:rsid w:val="0053792F"/>
    <w:rsid w:val="00544418"/>
    <w:rsid w:val="00553FAD"/>
    <w:rsid w:val="00554912"/>
    <w:rsid w:val="00585C88"/>
    <w:rsid w:val="005971C6"/>
    <w:rsid w:val="005A668E"/>
    <w:rsid w:val="005C173F"/>
    <w:rsid w:val="005D4534"/>
    <w:rsid w:val="005D4F0F"/>
    <w:rsid w:val="005E14ED"/>
    <w:rsid w:val="00603F69"/>
    <w:rsid w:val="00604FBA"/>
    <w:rsid w:val="006112B6"/>
    <w:rsid w:val="006113DC"/>
    <w:rsid w:val="00612EA4"/>
    <w:rsid w:val="00617F12"/>
    <w:rsid w:val="00623FCB"/>
    <w:rsid w:val="006342C9"/>
    <w:rsid w:val="00635109"/>
    <w:rsid w:val="006364F2"/>
    <w:rsid w:val="0064146A"/>
    <w:rsid w:val="006530D9"/>
    <w:rsid w:val="00654D94"/>
    <w:rsid w:val="00664966"/>
    <w:rsid w:val="00667908"/>
    <w:rsid w:val="00670097"/>
    <w:rsid w:val="00673231"/>
    <w:rsid w:val="00673316"/>
    <w:rsid w:val="00677378"/>
    <w:rsid w:val="00687580"/>
    <w:rsid w:val="00694052"/>
    <w:rsid w:val="006961EE"/>
    <w:rsid w:val="00697411"/>
    <w:rsid w:val="00697D26"/>
    <w:rsid w:val="006A45F9"/>
    <w:rsid w:val="006A7FFA"/>
    <w:rsid w:val="006C403A"/>
    <w:rsid w:val="006C5A63"/>
    <w:rsid w:val="006C77C5"/>
    <w:rsid w:val="006D58A9"/>
    <w:rsid w:val="006E0CCD"/>
    <w:rsid w:val="006E5CD3"/>
    <w:rsid w:val="006F508E"/>
    <w:rsid w:val="00723EAB"/>
    <w:rsid w:val="00737D64"/>
    <w:rsid w:val="007413DB"/>
    <w:rsid w:val="00742BCA"/>
    <w:rsid w:val="007722DF"/>
    <w:rsid w:val="007870B4"/>
    <w:rsid w:val="00791C04"/>
    <w:rsid w:val="00796C82"/>
    <w:rsid w:val="007B5323"/>
    <w:rsid w:val="007C1E7B"/>
    <w:rsid w:val="007D058E"/>
    <w:rsid w:val="007D0B91"/>
    <w:rsid w:val="007E5368"/>
    <w:rsid w:val="007E7637"/>
    <w:rsid w:val="007E7916"/>
    <w:rsid w:val="007F1D0F"/>
    <w:rsid w:val="007F4A6C"/>
    <w:rsid w:val="00800542"/>
    <w:rsid w:val="00800AD7"/>
    <w:rsid w:val="00817D6B"/>
    <w:rsid w:val="00820346"/>
    <w:rsid w:val="00822B6A"/>
    <w:rsid w:val="008367C6"/>
    <w:rsid w:val="00837F3A"/>
    <w:rsid w:val="008406CE"/>
    <w:rsid w:val="00847503"/>
    <w:rsid w:val="0086471A"/>
    <w:rsid w:val="008663AC"/>
    <w:rsid w:val="00866F27"/>
    <w:rsid w:val="00882112"/>
    <w:rsid w:val="008934CC"/>
    <w:rsid w:val="00897ACE"/>
    <w:rsid w:val="008A048B"/>
    <w:rsid w:val="008A14ED"/>
    <w:rsid w:val="008A4650"/>
    <w:rsid w:val="008B3B0F"/>
    <w:rsid w:val="008B428F"/>
    <w:rsid w:val="008B757C"/>
    <w:rsid w:val="008F35DA"/>
    <w:rsid w:val="008F61EB"/>
    <w:rsid w:val="00903D9E"/>
    <w:rsid w:val="00917FFB"/>
    <w:rsid w:val="00924FF1"/>
    <w:rsid w:val="00926970"/>
    <w:rsid w:val="00940277"/>
    <w:rsid w:val="00944530"/>
    <w:rsid w:val="00947DEF"/>
    <w:rsid w:val="00950DC7"/>
    <w:rsid w:val="00953D5F"/>
    <w:rsid w:val="0096149E"/>
    <w:rsid w:val="009637EF"/>
    <w:rsid w:val="009743D0"/>
    <w:rsid w:val="00983142"/>
    <w:rsid w:val="00983BA5"/>
    <w:rsid w:val="00986C9F"/>
    <w:rsid w:val="0099218A"/>
    <w:rsid w:val="00994794"/>
    <w:rsid w:val="00996475"/>
    <w:rsid w:val="009A4E9F"/>
    <w:rsid w:val="009B1A17"/>
    <w:rsid w:val="009B2937"/>
    <w:rsid w:val="009C39CA"/>
    <w:rsid w:val="009E0AB3"/>
    <w:rsid w:val="009E19DB"/>
    <w:rsid w:val="009E5D83"/>
    <w:rsid w:val="00A07A92"/>
    <w:rsid w:val="00A143B4"/>
    <w:rsid w:val="00A20DE5"/>
    <w:rsid w:val="00A224E9"/>
    <w:rsid w:val="00A262EF"/>
    <w:rsid w:val="00A45A11"/>
    <w:rsid w:val="00A47A9F"/>
    <w:rsid w:val="00A553B7"/>
    <w:rsid w:val="00A5701E"/>
    <w:rsid w:val="00A612F7"/>
    <w:rsid w:val="00A61A6C"/>
    <w:rsid w:val="00A91F87"/>
    <w:rsid w:val="00AA066C"/>
    <w:rsid w:val="00AA6164"/>
    <w:rsid w:val="00AB1D5D"/>
    <w:rsid w:val="00AB6203"/>
    <w:rsid w:val="00AC4C83"/>
    <w:rsid w:val="00AE4B08"/>
    <w:rsid w:val="00AF4DBF"/>
    <w:rsid w:val="00AF54D4"/>
    <w:rsid w:val="00B06068"/>
    <w:rsid w:val="00B10424"/>
    <w:rsid w:val="00B3006F"/>
    <w:rsid w:val="00B33C5F"/>
    <w:rsid w:val="00B343F1"/>
    <w:rsid w:val="00B3484A"/>
    <w:rsid w:val="00B42226"/>
    <w:rsid w:val="00B45594"/>
    <w:rsid w:val="00B53CC1"/>
    <w:rsid w:val="00B8330D"/>
    <w:rsid w:val="00B913D2"/>
    <w:rsid w:val="00B92810"/>
    <w:rsid w:val="00BC06CB"/>
    <w:rsid w:val="00BC106F"/>
    <w:rsid w:val="00BC1733"/>
    <w:rsid w:val="00BC47A3"/>
    <w:rsid w:val="00BC5418"/>
    <w:rsid w:val="00BC6094"/>
    <w:rsid w:val="00BC7BDA"/>
    <w:rsid w:val="00BD5001"/>
    <w:rsid w:val="00BD67F9"/>
    <w:rsid w:val="00BD7A2A"/>
    <w:rsid w:val="00BF7C99"/>
    <w:rsid w:val="00C005B7"/>
    <w:rsid w:val="00C031C4"/>
    <w:rsid w:val="00C1311B"/>
    <w:rsid w:val="00C219BB"/>
    <w:rsid w:val="00C27AB1"/>
    <w:rsid w:val="00C31251"/>
    <w:rsid w:val="00C31A33"/>
    <w:rsid w:val="00C32412"/>
    <w:rsid w:val="00C325A3"/>
    <w:rsid w:val="00C53388"/>
    <w:rsid w:val="00C744F1"/>
    <w:rsid w:val="00C74BF8"/>
    <w:rsid w:val="00C8308E"/>
    <w:rsid w:val="00C86026"/>
    <w:rsid w:val="00C87429"/>
    <w:rsid w:val="00C92EB4"/>
    <w:rsid w:val="00CA067D"/>
    <w:rsid w:val="00CA7E03"/>
    <w:rsid w:val="00CC010E"/>
    <w:rsid w:val="00CC1728"/>
    <w:rsid w:val="00CD3747"/>
    <w:rsid w:val="00CE2289"/>
    <w:rsid w:val="00CE36A0"/>
    <w:rsid w:val="00CE6B32"/>
    <w:rsid w:val="00CF4F38"/>
    <w:rsid w:val="00CF5DC6"/>
    <w:rsid w:val="00D07CD9"/>
    <w:rsid w:val="00D1697C"/>
    <w:rsid w:val="00D22780"/>
    <w:rsid w:val="00D24439"/>
    <w:rsid w:val="00D26302"/>
    <w:rsid w:val="00D26E13"/>
    <w:rsid w:val="00D3283E"/>
    <w:rsid w:val="00D32B4C"/>
    <w:rsid w:val="00D35045"/>
    <w:rsid w:val="00D456E1"/>
    <w:rsid w:val="00D70A0F"/>
    <w:rsid w:val="00D77F9F"/>
    <w:rsid w:val="00D90148"/>
    <w:rsid w:val="00D91D7B"/>
    <w:rsid w:val="00D9497A"/>
    <w:rsid w:val="00DA248F"/>
    <w:rsid w:val="00DB1287"/>
    <w:rsid w:val="00DB25E0"/>
    <w:rsid w:val="00DB3B4B"/>
    <w:rsid w:val="00DC21E8"/>
    <w:rsid w:val="00DC266A"/>
    <w:rsid w:val="00DD1F93"/>
    <w:rsid w:val="00DD428C"/>
    <w:rsid w:val="00DE0388"/>
    <w:rsid w:val="00DE3363"/>
    <w:rsid w:val="00DE3B89"/>
    <w:rsid w:val="00DE7547"/>
    <w:rsid w:val="00DF17CD"/>
    <w:rsid w:val="00E00637"/>
    <w:rsid w:val="00E06318"/>
    <w:rsid w:val="00E06606"/>
    <w:rsid w:val="00E1124E"/>
    <w:rsid w:val="00E14524"/>
    <w:rsid w:val="00E1756C"/>
    <w:rsid w:val="00E3332C"/>
    <w:rsid w:val="00E445A3"/>
    <w:rsid w:val="00E474D6"/>
    <w:rsid w:val="00E603AA"/>
    <w:rsid w:val="00E60C6B"/>
    <w:rsid w:val="00E64D38"/>
    <w:rsid w:val="00E66BA7"/>
    <w:rsid w:val="00E80352"/>
    <w:rsid w:val="00EB5A4D"/>
    <w:rsid w:val="00EC1A71"/>
    <w:rsid w:val="00EC4986"/>
    <w:rsid w:val="00ED06F2"/>
    <w:rsid w:val="00ED746F"/>
    <w:rsid w:val="00EE0539"/>
    <w:rsid w:val="00EE13FF"/>
    <w:rsid w:val="00EE191A"/>
    <w:rsid w:val="00EF0FF3"/>
    <w:rsid w:val="00EF79F3"/>
    <w:rsid w:val="00F01083"/>
    <w:rsid w:val="00F062AC"/>
    <w:rsid w:val="00F178CF"/>
    <w:rsid w:val="00F2037D"/>
    <w:rsid w:val="00F210E8"/>
    <w:rsid w:val="00F222AD"/>
    <w:rsid w:val="00F260AA"/>
    <w:rsid w:val="00F352AC"/>
    <w:rsid w:val="00F36790"/>
    <w:rsid w:val="00F42421"/>
    <w:rsid w:val="00F430B6"/>
    <w:rsid w:val="00F52D94"/>
    <w:rsid w:val="00F60A9B"/>
    <w:rsid w:val="00F6322B"/>
    <w:rsid w:val="00F73459"/>
    <w:rsid w:val="00F73D7D"/>
    <w:rsid w:val="00F77A35"/>
    <w:rsid w:val="00F82A45"/>
    <w:rsid w:val="00F834CB"/>
    <w:rsid w:val="00F85028"/>
    <w:rsid w:val="00F85D88"/>
    <w:rsid w:val="00F8795E"/>
    <w:rsid w:val="00FA0F14"/>
    <w:rsid w:val="00FB16F4"/>
    <w:rsid w:val="00FB2BDA"/>
    <w:rsid w:val="00FC0AE8"/>
    <w:rsid w:val="00FC366A"/>
    <w:rsid w:val="00FC4793"/>
    <w:rsid w:val="00FD3D30"/>
    <w:rsid w:val="00FE4355"/>
    <w:rsid w:val="00FF5D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046E47"/>
  <w15:chartTrackingRefBased/>
  <w15:docId w15:val="{6117909F-7A59-469F-97D5-9985360ED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6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6302"/>
    <w:pPr>
      <w:tabs>
        <w:tab w:val="center" w:pos="4513"/>
        <w:tab w:val="right" w:pos="9026"/>
      </w:tabs>
    </w:pPr>
  </w:style>
  <w:style w:type="character" w:customStyle="1" w:styleId="HeaderChar">
    <w:name w:val="Header Char"/>
    <w:link w:val="Header"/>
    <w:uiPriority w:val="99"/>
    <w:rsid w:val="00D26302"/>
    <w:rPr>
      <w:sz w:val="22"/>
      <w:szCs w:val="22"/>
      <w:lang w:eastAsia="en-US"/>
    </w:rPr>
  </w:style>
  <w:style w:type="paragraph" w:styleId="Footer">
    <w:name w:val="footer"/>
    <w:basedOn w:val="Normal"/>
    <w:link w:val="FooterChar"/>
    <w:uiPriority w:val="99"/>
    <w:unhideWhenUsed/>
    <w:rsid w:val="00D26302"/>
    <w:pPr>
      <w:tabs>
        <w:tab w:val="center" w:pos="4513"/>
        <w:tab w:val="right" w:pos="9026"/>
      </w:tabs>
    </w:pPr>
  </w:style>
  <w:style w:type="character" w:customStyle="1" w:styleId="FooterChar">
    <w:name w:val="Footer Char"/>
    <w:link w:val="Footer"/>
    <w:uiPriority w:val="99"/>
    <w:rsid w:val="00D26302"/>
    <w:rPr>
      <w:sz w:val="22"/>
      <w:szCs w:val="22"/>
      <w:lang w:eastAsia="en-US"/>
    </w:rPr>
  </w:style>
  <w:style w:type="paragraph" w:styleId="BalloonText">
    <w:name w:val="Balloon Text"/>
    <w:basedOn w:val="Normal"/>
    <w:link w:val="BalloonTextChar"/>
    <w:uiPriority w:val="99"/>
    <w:semiHidden/>
    <w:unhideWhenUsed/>
    <w:rsid w:val="00D2630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26302"/>
    <w:rPr>
      <w:rFonts w:ascii="Tahoma" w:hAnsi="Tahoma" w:cs="Tahoma"/>
      <w:sz w:val="16"/>
      <w:szCs w:val="16"/>
      <w:lang w:eastAsia="en-US"/>
    </w:rPr>
  </w:style>
  <w:style w:type="character" w:styleId="Hyperlink">
    <w:name w:val="Hyperlink"/>
    <w:uiPriority w:val="99"/>
    <w:unhideWhenUsed/>
    <w:rsid w:val="00822B6A"/>
    <w:rPr>
      <w:color w:val="0000FF"/>
      <w:u w:val="single"/>
    </w:rPr>
  </w:style>
  <w:style w:type="paragraph" w:customStyle="1" w:styleId="Default">
    <w:name w:val="Default"/>
    <w:rsid w:val="00554912"/>
    <w:pPr>
      <w:autoSpaceDE w:val="0"/>
      <w:autoSpaceDN w:val="0"/>
      <w:adjustRightInd w:val="0"/>
    </w:pPr>
    <w:rPr>
      <w:rFonts w:ascii="Arial" w:eastAsia="Times New Roman" w:hAnsi="Arial" w:cs="Arial"/>
      <w:color w:val="000000"/>
      <w:sz w:val="24"/>
      <w:szCs w:val="24"/>
    </w:rPr>
  </w:style>
  <w:style w:type="character" w:styleId="CommentReference">
    <w:name w:val="annotation reference"/>
    <w:uiPriority w:val="99"/>
    <w:semiHidden/>
    <w:unhideWhenUsed/>
    <w:rsid w:val="00817D6B"/>
    <w:rPr>
      <w:sz w:val="16"/>
      <w:szCs w:val="16"/>
    </w:rPr>
  </w:style>
  <w:style w:type="paragraph" w:styleId="CommentText">
    <w:name w:val="annotation text"/>
    <w:basedOn w:val="Normal"/>
    <w:link w:val="CommentTextChar"/>
    <w:uiPriority w:val="99"/>
    <w:semiHidden/>
    <w:unhideWhenUsed/>
    <w:rsid w:val="00817D6B"/>
    <w:rPr>
      <w:sz w:val="20"/>
      <w:szCs w:val="20"/>
    </w:rPr>
  </w:style>
  <w:style w:type="character" w:customStyle="1" w:styleId="CommentTextChar">
    <w:name w:val="Comment Text Char"/>
    <w:link w:val="CommentText"/>
    <w:uiPriority w:val="99"/>
    <w:semiHidden/>
    <w:rsid w:val="00817D6B"/>
    <w:rPr>
      <w:lang w:eastAsia="en-US"/>
    </w:rPr>
  </w:style>
  <w:style w:type="paragraph" w:styleId="CommentSubject">
    <w:name w:val="annotation subject"/>
    <w:basedOn w:val="CommentText"/>
    <w:next w:val="CommentText"/>
    <w:link w:val="CommentSubjectChar"/>
    <w:uiPriority w:val="99"/>
    <w:semiHidden/>
    <w:unhideWhenUsed/>
    <w:rsid w:val="00817D6B"/>
    <w:rPr>
      <w:b/>
      <w:bCs/>
    </w:rPr>
  </w:style>
  <w:style w:type="character" w:customStyle="1" w:styleId="CommentSubjectChar">
    <w:name w:val="Comment Subject Char"/>
    <w:link w:val="CommentSubject"/>
    <w:uiPriority w:val="99"/>
    <w:semiHidden/>
    <w:rsid w:val="00817D6B"/>
    <w:rPr>
      <w:b/>
      <w:bCs/>
      <w:lang w:eastAsia="en-US"/>
    </w:rPr>
  </w:style>
  <w:style w:type="paragraph" w:styleId="ListParagraph">
    <w:name w:val="List Paragraph"/>
    <w:basedOn w:val="Normal"/>
    <w:uiPriority w:val="34"/>
    <w:qFormat/>
    <w:rsid w:val="00697411"/>
    <w:pPr>
      <w:spacing w:after="0" w:line="240" w:lineRule="auto"/>
      <w:ind w:left="720"/>
    </w:pPr>
    <w:rPr>
      <w:rFonts w:cs="Calibri"/>
    </w:rPr>
  </w:style>
  <w:style w:type="paragraph" w:styleId="BodyTextIndent">
    <w:name w:val="Body Text Indent"/>
    <w:basedOn w:val="Normal"/>
    <w:link w:val="BodyTextIndentChar"/>
    <w:rsid w:val="00A553B7"/>
    <w:pPr>
      <w:tabs>
        <w:tab w:val="left" w:pos="567"/>
      </w:tabs>
      <w:spacing w:after="0" w:line="240" w:lineRule="auto"/>
      <w:ind w:left="567"/>
    </w:pPr>
    <w:rPr>
      <w:rFonts w:ascii="Times New Roman" w:eastAsia="Times New Roman" w:hAnsi="Times New Roman"/>
      <w:sz w:val="24"/>
      <w:szCs w:val="20"/>
      <w:lang w:eastAsia="en-GB"/>
    </w:rPr>
  </w:style>
  <w:style w:type="character" w:customStyle="1" w:styleId="BodyTextIndentChar">
    <w:name w:val="Body Text Indent Char"/>
    <w:link w:val="BodyTextIndent"/>
    <w:rsid w:val="00A553B7"/>
    <w:rPr>
      <w:rFonts w:ascii="Times New Roman" w:eastAsia="Times New Roman" w:hAnsi="Times New Roman"/>
      <w:sz w:val="24"/>
    </w:rPr>
  </w:style>
  <w:style w:type="paragraph" w:customStyle="1" w:styleId="Body">
    <w:name w:val="Body*"/>
    <w:basedOn w:val="Normal"/>
    <w:rsid w:val="00A143B4"/>
    <w:pPr>
      <w:spacing w:after="0" w:line="320" w:lineRule="exact"/>
      <w:ind w:right="850"/>
      <w:jc w:val="both"/>
    </w:pPr>
    <w:rPr>
      <w:rFonts w:ascii="Perpetua" w:hAnsi="Perpetua" w:cs="Calibri"/>
      <w:sz w:val="26"/>
      <w:szCs w:val="26"/>
    </w:rPr>
  </w:style>
  <w:style w:type="paragraph" w:styleId="FootnoteText">
    <w:name w:val="footnote text"/>
    <w:basedOn w:val="Normal"/>
    <w:link w:val="FootnoteTextChar1"/>
    <w:rsid w:val="00371DB7"/>
    <w:pPr>
      <w:overflowPunct w:val="0"/>
      <w:autoSpaceDE w:val="0"/>
      <w:autoSpaceDN w:val="0"/>
      <w:adjustRightInd w:val="0"/>
      <w:spacing w:after="0" w:line="240" w:lineRule="auto"/>
      <w:jc w:val="both"/>
      <w:textAlignment w:val="baseline"/>
    </w:pPr>
    <w:rPr>
      <w:rFonts w:ascii="Verdana" w:eastAsia="Times New Roman" w:hAnsi="Verdana"/>
      <w:sz w:val="20"/>
      <w:szCs w:val="20"/>
    </w:rPr>
  </w:style>
  <w:style w:type="character" w:customStyle="1" w:styleId="FootnoteTextChar">
    <w:name w:val="Footnote Text Char"/>
    <w:basedOn w:val="DefaultParagraphFont"/>
    <w:uiPriority w:val="99"/>
    <w:semiHidden/>
    <w:rsid w:val="00371DB7"/>
    <w:rPr>
      <w:lang w:eastAsia="en-US"/>
    </w:rPr>
  </w:style>
  <w:style w:type="character" w:customStyle="1" w:styleId="FootnoteTextChar1">
    <w:name w:val="Footnote Text Char1"/>
    <w:link w:val="FootnoteText"/>
    <w:uiPriority w:val="99"/>
    <w:rsid w:val="00371DB7"/>
    <w:rPr>
      <w:rFonts w:ascii="Verdana" w:eastAsia="Times New Roman" w:hAnsi="Verdana"/>
      <w:lang w:eastAsia="en-US"/>
    </w:rPr>
  </w:style>
  <w:style w:type="character" w:styleId="FootnoteReference">
    <w:name w:val="footnote reference"/>
    <w:rsid w:val="00371DB7"/>
    <w:rPr>
      <w:vertAlign w:val="superscript"/>
    </w:rPr>
  </w:style>
  <w:style w:type="character" w:customStyle="1" w:styleId="st1">
    <w:name w:val="st1"/>
    <w:basedOn w:val="DefaultParagraphFont"/>
    <w:rsid w:val="006E0CCD"/>
  </w:style>
  <w:style w:type="table" w:styleId="PlainTable4">
    <w:name w:val="Plain Table 4"/>
    <w:basedOn w:val="TableNormal"/>
    <w:uiPriority w:val="44"/>
    <w:rsid w:val="00AF4DB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58249">
      <w:bodyDiv w:val="1"/>
      <w:marLeft w:val="0"/>
      <w:marRight w:val="0"/>
      <w:marTop w:val="0"/>
      <w:marBottom w:val="0"/>
      <w:divBdr>
        <w:top w:val="none" w:sz="0" w:space="0" w:color="auto"/>
        <w:left w:val="none" w:sz="0" w:space="0" w:color="auto"/>
        <w:bottom w:val="none" w:sz="0" w:space="0" w:color="auto"/>
        <w:right w:val="none" w:sz="0" w:space="0" w:color="auto"/>
      </w:divBdr>
    </w:div>
    <w:div w:id="88963828">
      <w:bodyDiv w:val="1"/>
      <w:marLeft w:val="0"/>
      <w:marRight w:val="0"/>
      <w:marTop w:val="0"/>
      <w:marBottom w:val="0"/>
      <w:divBdr>
        <w:top w:val="none" w:sz="0" w:space="0" w:color="auto"/>
        <w:left w:val="none" w:sz="0" w:space="0" w:color="auto"/>
        <w:bottom w:val="none" w:sz="0" w:space="0" w:color="auto"/>
        <w:right w:val="none" w:sz="0" w:space="0" w:color="auto"/>
      </w:divBdr>
    </w:div>
    <w:div w:id="218447257">
      <w:bodyDiv w:val="1"/>
      <w:marLeft w:val="0"/>
      <w:marRight w:val="0"/>
      <w:marTop w:val="0"/>
      <w:marBottom w:val="0"/>
      <w:divBdr>
        <w:top w:val="none" w:sz="0" w:space="0" w:color="auto"/>
        <w:left w:val="none" w:sz="0" w:space="0" w:color="auto"/>
        <w:bottom w:val="none" w:sz="0" w:space="0" w:color="auto"/>
        <w:right w:val="none" w:sz="0" w:space="0" w:color="auto"/>
      </w:divBdr>
    </w:div>
    <w:div w:id="285081751">
      <w:bodyDiv w:val="1"/>
      <w:marLeft w:val="0"/>
      <w:marRight w:val="0"/>
      <w:marTop w:val="0"/>
      <w:marBottom w:val="0"/>
      <w:divBdr>
        <w:top w:val="none" w:sz="0" w:space="0" w:color="auto"/>
        <w:left w:val="none" w:sz="0" w:space="0" w:color="auto"/>
        <w:bottom w:val="none" w:sz="0" w:space="0" w:color="auto"/>
        <w:right w:val="none" w:sz="0" w:space="0" w:color="auto"/>
      </w:divBdr>
    </w:div>
    <w:div w:id="379978820">
      <w:bodyDiv w:val="1"/>
      <w:marLeft w:val="0"/>
      <w:marRight w:val="0"/>
      <w:marTop w:val="0"/>
      <w:marBottom w:val="0"/>
      <w:divBdr>
        <w:top w:val="none" w:sz="0" w:space="0" w:color="auto"/>
        <w:left w:val="none" w:sz="0" w:space="0" w:color="auto"/>
        <w:bottom w:val="none" w:sz="0" w:space="0" w:color="auto"/>
        <w:right w:val="none" w:sz="0" w:space="0" w:color="auto"/>
      </w:divBdr>
    </w:div>
    <w:div w:id="516892051">
      <w:bodyDiv w:val="1"/>
      <w:marLeft w:val="0"/>
      <w:marRight w:val="0"/>
      <w:marTop w:val="0"/>
      <w:marBottom w:val="0"/>
      <w:divBdr>
        <w:top w:val="none" w:sz="0" w:space="0" w:color="auto"/>
        <w:left w:val="none" w:sz="0" w:space="0" w:color="auto"/>
        <w:bottom w:val="none" w:sz="0" w:space="0" w:color="auto"/>
        <w:right w:val="none" w:sz="0" w:space="0" w:color="auto"/>
      </w:divBdr>
    </w:div>
    <w:div w:id="636645327">
      <w:bodyDiv w:val="1"/>
      <w:marLeft w:val="0"/>
      <w:marRight w:val="0"/>
      <w:marTop w:val="0"/>
      <w:marBottom w:val="0"/>
      <w:divBdr>
        <w:top w:val="none" w:sz="0" w:space="0" w:color="auto"/>
        <w:left w:val="none" w:sz="0" w:space="0" w:color="auto"/>
        <w:bottom w:val="none" w:sz="0" w:space="0" w:color="auto"/>
        <w:right w:val="none" w:sz="0" w:space="0" w:color="auto"/>
      </w:divBdr>
    </w:div>
    <w:div w:id="652754579">
      <w:bodyDiv w:val="1"/>
      <w:marLeft w:val="0"/>
      <w:marRight w:val="0"/>
      <w:marTop w:val="0"/>
      <w:marBottom w:val="0"/>
      <w:divBdr>
        <w:top w:val="none" w:sz="0" w:space="0" w:color="auto"/>
        <w:left w:val="none" w:sz="0" w:space="0" w:color="auto"/>
        <w:bottom w:val="none" w:sz="0" w:space="0" w:color="auto"/>
        <w:right w:val="none" w:sz="0" w:space="0" w:color="auto"/>
      </w:divBdr>
    </w:div>
    <w:div w:id="795180075">
      <w:bodyDiv w:val="1"/>
      <w:marLeft w:val="0"/>
      <w:marRight w:val="0"/>
      <w:marTop w:val="0"/>
      <w:marBottom w:val="0"/>
      <w:divBdr>
        <w:top w:val="none" w:sz="0" w:space="0" w:color="auto"/>
        <w:left w:val="none" w:sz="0" w:space="0" w:color="auto"/>
        <w:bottom w:val="none" w:sz="0" w:space="0" w:color="auto"/>
        <w:right w:val="none" w:sz="0" w:space="0" w:color="auto"/>
      </w:divBdr>
    </w:div>
    <w:div w:id="998313075">
      <w:bodyDiv w:val="1"/>
      <w:marLeft w:val="0"/>
      <w:marRight w:val="0"/>
      <w:marTop w:val="0"/>
      <w:marBottom w:val="0"/>
      <w:divBdr>
        <w:top w:val="none" w:sz="0" w:space="0" w:color="auto"/>
        <w:left w:val="none" w:sz="0" w:space="0" w:color="auto"/>
        <w:bottom w:val="none" w:sz="0" w:space="0" w:color="auto"/>
        <w:right w:val="none" w:sz="0" w:space="0" w:color="auto"/>
      </w:divBdr>
    </w:div>
    <w:div w:id="1398549714">
      <w:bodyDiv w:val="1"/>
      <w:marLeft w:val="0"/>
      <w:marRight w:val="0"/>
      <w:marTop w:val="0"/>
      <w:marBottom w:val="0"/>
      <w:divBdr>
        <w:top w:val="none" w:sz="0" w:space="0" w:color="auto"/>
        <w:left w:val="none" w:sz="0" w:space="0" w:color="auto"/>
        <w:bottom w:val="none" w:sz="0" w:space="0" w:color="auto"/>
        <w:right w:val="none" w:sz="0" w:space="0" w:color="auto"/>
      </w:divBdr>
    </w:div>
    <w:div w:id="1424640785">
      <w:bodyDiv w:val="1"/>
      <w:marLeft w:val="0"/>
      <w:marRight w:val="0"/>
      <w:marTop w:val="0"/>
      <w:marBottom w:val="0"/>
      <w:divBdr>
        <w:top w:val="none" w:sz="0" w:space="0" w:color="auto"/>
        <w:left w:val="none" w:sz="0" w:space="0" w:color="auto"/>
        <w:bottom w:val="none" w:sz="0" w:space="0" w:color="auto"/>
        <w:right w:val="none" w:sz="0" w:space="0" w:color="auto"/>
      </w:divBdr>
    </w:div>
    <w:div w:id="1755198796">
      <w:bodyDiv w:val="1"/>
      <w:marLeft w:val="0"/>
      <w:marRight w:val="0"/>
      <w:marTop w:val="0"/>
      <w:marBottom w:val="0"/>
      <w:divBdr>
        <w:top w:val="none" w:sz="0" w:space="0" w:color="auto"/>
        <w:left w:val="none" w:sz="0" w:space="0" w:color="auto"/>
        <w:bottom w:val="none" w:sz="0" w:space="0" w:color="auto"/>
        <w:right w:val="none" w:sz="0" w:space="0" w:color="auto"/>
      </w:divBdr>
    </w:div>
    <w:div w:id="1942100578">
      <w:bodyDiv w:val="1"/>
      <w:marLeft w:val="0"/>
      <w:marRight w:val="0"/>
      <w:marTop w:val="0"/>
      <w:marBottom w:val="0"/>
      <w:divBdr>
        <w:top w:val="none" w:sz="0" w:space="0" w:color="auto"/>
        <w:left w:val="none" w:sz="0" w:space="0" w:color="auto"/>
        <w:bottom w:val="none" w:sz="0" w:space="0" w:color="auto"/>
        <w:right w:val="none" w:sz="0" w:space="0" w:color="auto"/>
      </w:divBdr>
    </w:div>
    <w:div w:id="2061056926">
      <w:bodyDiv w:val="1"/>
      <w:marLeft w:val="0"/>
      <w:marRight w:val="0"/>
      <w:marTop w:val="0"/>
      <w:marBottom w:val="0"/>
      <w:divBdr>
        <w:top w:val="none" w:sz="0" w:space="0" w:color="auto"/>
        <w:left w:val="none" w:sz="0" w:space="0" w:color="auto"/>
        <w:bottom w:val="none" w:sz="0" w:space="0" w:color="auto"/>
        <w:right w:val="none" w:sz="0" w:space="0" w:color="auto"/>
      </w:divBdr>
    </w:div>
    <w:div w:id="209651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D9432-76A2-4BE0-9593-DCC0B07D0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2020</Words>
  <Characters>11515</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Administrator</Company>
  <LinksUpToDate>false</LinksUpToDate>
  <CharactersWithSpaces>13508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400280</dc:creator>
  <cp:keywords/>
  <dc:description>Original Content Created Date - 24/02/2021 14:40:00</dc:description>
  <cp:lastModifiedBy>Warren, Nicola</cp:lastModifiedBy>
  <cp:revision>2</cp:revision>
  <cp:lastPrinted>2019-02-25T11:24:00Z</cp:lastPrinted>
  <dcterms:created xsi:type="dcterms:W3CDTF">2024-05-15T08:02:00Z</dcterms:created>
  <dcterms:modified xsi:type="dcterms:W3CDTF">2024-05-15T08:02:00Z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0f806396-0a68-454e-924f-4939594e8ede</vt:lpwstr>
  </property>
  <property fmtid="{D5CDD505-2E9C-101B-9397-08002B2CF9AE}" pid="3" name="heddluIL">
    <vt:lpwstr>NOT PROTECTIVELY MARKED</vt:lpwstr>
  </property>
  <property fmtid="{D5CDD505-2E9C-101B-9397-08002B2CF9AE}" pid="4" name="heddluVNV">
    <vt:lpwstr>No Visual Mark</vt:lpwstr>
  </property>
  <property fmtid="{D5CDD505-2E9C-101B-9397-08002B2CF9AE}" pid="5" name="Protective Marking Classification">
    <vt:lpwstr>OFFICIAL - NO MARKING SWYDDOGOL-DIM ANGEN MARC</vt:lpwstr>
  </property>
  <property fmtid="{D5CDD505-2E9C-101B-9397-08002B2CF9AE}" pid="6" name="Additional Descriptor">
    <vt:lpwstr/>
  </property>
  <property fmtid="{D5CDD505-2E9C-101B-9397-08002B2CF9AE}" pid="7" name="Impact Level">
    <vt:i4>0</vt:i4>
  </property>
  <property fmtid="{D5CDD505-2E9C-101B-9397-08002B2CF9AE}" pid="8" name="MSIP_Label_f2acd28b-79a3-4a0f-b0ff-4b75658b1549_Enabled">
    <vt:lpwstr>true</vt:lpwstr>
  </property>
  <property fmtid="{D5CDD505-2E9C-101B-9397-08002B2CF9AE}" pid="9" name="MSIP_Label_f2acd28b-79a3-4a0f-b0ff-4b75658b1549_SetDate">
    <vt:lpwstr>2022-02-14T15:27:28Z</vt:lpwstr>
  </property>
  <property fmtid="{D5CDD505-2E9C-101B-9397-08002B2CF9AE}" pid="10" name="MSIP_Label_f2acd28b-79a3-4a0f-b0ff-4b75658b1549_Method">
    <vt:lpwstr>Standard</vt:lpwstr>
  </property>
  <property fmtid="{D5CDD505-2E9C-101B-9397-08002B2CF9AE}" pid="11" name="MSIP_Label_f2acd28b-79a3-4a0f-b0ff-4b75658b1549_Name">
    <vt:lpwstr>OFFICIAL</vt:lpwstr>
  </property>
  <property fmtid="{D5CDD505-2E9C-101B-9397-08002B2CF9AE}" pid="12" name="MSIP_Label_f2acd28b-79a3-4a0f-b0ff-4b75658b1549_SiteId">
    <vt:lpwstr>e46c8472-ef5d-4b63-bc74-4a60db42c371</vt:lpwstr>
  </property>
  <property fmtid="{D5CDD505-2E9C-101B-9397-08002B2CF9AE}" pid="13" name="MSIP_Label_f2acd28b-79a3-4a0f-b0ff-4b75658b1549_ActionId">
    <vt:lpwstr>7808333e-a5b9-4364-bbb7-90aa3073f5bc</vt:lpwstr>
  </property>
  <property fmtid="{D5CDD505-2E9C-101B-9397-08002B2CF9AE}" pid="14" name="MSIP_Label_f2acd28b-79a3-4a0f-b0ff-4b75658b1549_ContentBits">
    <vt:lpwstr>0</vt:lpwstr>
  </property>
</Properties>
</file>