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41B5" w14:textId="2A7EB139" w:rsidR="00724945" w:rsidRPr="00371FDB" w:rsidRDefault="00371FDB" w:rsidP="00724945">
      <w:pPr>
        <w:rPr>
          <w:rFonts w:ascii="Arial" w:hAnsi="Arial" w:cs="Arial"/>
          <w:b/>
          <w:sz w:val="24"/>
          <w:szCs w:val="24"/>
        </w:rPr>
      </w:pPr>
      <w:r w:rsidRPr="00371FDB">
        <w:rPr>
          <w:rFonts w:ascii="Arial" w:hAnsi="Arial" w:cs="Arial"/>
          <w:b/>
          <w:sz w:val="24"/>
          <w:szCs w:val="24"/>
        </w:rPr>
        <w:t xml:space="preserve">DECISION </w:t>
      </w:r>
      <w:r w:rsidRPr="00B76884">
        <w:rPr>
          <w:rFonts w:ascii="Arial" w:hAnsi="Arial" w:cs="Arial"/>
          <w:b/>
          <w:sz w:val="24"/>
          <w:szCs w:val="24"/>
        </w:rPr>
        <w:t>NUMBER: PCCG-202</w:t>
      </w:r>
      <w:r w:rsidR="008D5490">
        <w:rPr>
          <w:rFonts w:ascii="Arial" w:hAnsi="Arial" w:cs="Arial"/>
          <w:b/>
          <w:sz w:val="24"/>
          <w:szCs w:val="24"/>
        </w:rPr>
        <w:t>3-005</w:t>
      </w:r>
    </w:p>
    <w:p w14:paraId="23377926" w14:textId="77777777" w:rsidR="00D26302" w:rsidRDefault="00EF0FF3" w:rsidP="00D26302">
      <w:pPr>
        <w:jc w:val="center"/>
        <w:rPr>
          <w:rFonts w:ascii="Arial" w:hAnsi="Arial" w:cs="Arial"/>
          <w:b/>
          <w:sz w:val="24"/>
          <w:szCs w:val="24"/>
          <w:u w:val="single"/>
        </w:rPr>
      </w:pPr>
      <w:r>
        <w:rPr>
          <w:rFonts w:ascii="Arial" w:hAnsi="Arial" w:cs="Arial"/>
          <w:b/>
          <w:sz w:val="24"/>
          <w:szCs w:val="24"/>
          <w:u w:val="single"/>
        </w:rPr>
        <w:t>OFFICE OF POLICE AND CRIME COMMISSIONER</w:t>
      </w:r>
    </w:p>
    <w:p w14:paraId="222F69B8" w14:textId="1534576E" w:rsidR="00D26302" w:rsidRPr="000C54E6" w:rsidRDefault="00D26302" w:rsidP="0057563E">
      <w:pPr>
        <w:ind w:left="1440" w:hanging="1440"/>
        <w:rPr>
          <w:rFonts w:ascii="Arial" w:hAnsi="Arial" w:cs="Arial"/>
          <w:b/>
          <w:sz w:val="28"/>
          <w:szCs w:val="24"/>
        </w:rPr>
      </w:pPr>
      <w:r w:rsidRPr="00D26302">
        <w:rPr>
          <w:rFonts w:ascii="Arial" w:hAnsi="Arial" w:cs="Arial"/>
          <w:b/>
          <w:sz w:val="24"/>
          <w:szCs w:val="24"/>
        </w:rPr>
        <w:t>TITLE:</w:t>
      </w:r>
      <w:r w:rsidR="00467877">
        <w:rPr>
          <w:rFonts w:ascii="Arial" w:hAnsi="Arial" w:cs="Arial"/>
          <w:b/>
          <w:sz w:val="24"/>
          <w:szCs w:val="24"/>
        </w:rPr>
        <w:tab/>
      </w:r>
      <w:r w:rsidR="000C54E6" w:rsidRPr="000C54E6">
        <w:rPr>
          <w:rFonts w:ascii="Arial" w:hAnsi="Arial" w:cs="Arial"/>
          <w:b/>
          <w:sz w:val="24"/>
        </w:rPr>
        <w:t>Freedom o</w:t>
      </w:r>
      <w:r w:rsidR="00371FDB">
        <w:rPr>
          <w:rFonts w:ascii="Arial" w:hAnsi="Arial" w:cs="Arial"/>
          <w:b/>
          <w:sz w:val="24"/>
        </w:rPr>
        <w:t>f Information Annual Report 20</w:t>
      </w:r>
      <w:r w:rsidR="00467877">
        <w:rPr>
          <w:rFonts w:ascii="Arial" w:hAnsi="Arial" w:cs="Arial"/>
          <w:b/>
          <w:sz w:val="24"/>
        </w:rPr>
        <w:t>2</w:t>
      </w:r>
      <w:r w:rsidR="008D5490">
        <w:rPr>
          <w:rFonts w:ascii="Arial" w:hAnsi="Arial" w:cs="Arial"/>
          <w:b/>
          <w:sz w:val="24"/>
        </w:rPr>
        <w:t>2/</w:t>
      </w:r>
      <w:r w:rsidR="00371FDB">
        <w:rPr>
          <w:rFonts w:ascii="Arial" w:hAnsi="Arial" w:cs="Arial"/>
          <w:b/>
          <w:sz w:val="24"/>
        </w:rPr>
        <w:t>2</w:t>
      </w:r>
      <w:r w:rsidR="008D5490">
        <w:rPr>
          <w:rFonts w:ascii="Arial" w:hAnsi="Arial" w:cs="Arial"/>
          <w:b/>
          <w:sz w:val="24"/>
        </w:rPr>
        <w:t>3</w:t>
      </w:r>
    </w:p>
    <w:p w14:paraId="0FF77331" w14:textId="646536F9" w:rsidR="00BC5418" w:rsidRDefault="00BC5418" w:rsidP="00467877">
      <w:pPr>
        <w:ind w:left="1418" w:hanging="1418"/>
        <w:rPr>
          <w:rFonts w:ascii="Arial" w:hAnsi="Arial" w:cs="Arial"/>
          <w:b/>
          <w:sz w:val="24"/>
          <w:szCs w:val="24"/>
        </w:rPr>
      </w:pPr>
      <w:r>
        <w:rPr>
          <w:rFonts w:ascii="Arial" w:hAnsi="Arial" w:cs="Arial"/>
          <w:b/>
          <w:sz w:val="24"/>
          <w:szCs w:val="24"/>
        </w:rPr>
        <w:t>DATE</w:t>
      </w:r>
      <w:r w:rsidR="00467877">
        <w:rPr>
          <w:rFonts w:ascii="Arial" w:hAnsi="Arial" w:cs="Arial"/>
          <w:b/>
          <w:sz w:val="24"/>
          <w:szCs w:val="24"/>
        </w:rPr>
        <w:t>:</w:t>
      </w:r>
      <w:r w:rsidR="00467877">
        <w:rPr>
          <w:rFonts w:ascii="Arial" w:hAnsi="Arial" w:cs="Arial"/>
          <w:b/>
          <w:sz w:val="24"/>
          <w:szCs w:val="24"/>
        </w:rPr>
        <w:tab/>
      </w:r>
      <w:r w:rsidR="008D5490">
        <w:rPr>
          <w:rFonts w:ascii="Arial" w:hAnsi="Arial" w:cs="Arial"/>
          <w:b/>
          <w:sz w:val="24"/>
          <w:szCs w:val="24"/>
        </w:rPr>
        <w:t>July</w:t>
      </w:r>
      <w:r w:rsidR="00032144">
        <w:rPr>
          <w:rFonts w:ascii="Arial" w:hAnsi="Arial" w:cs="Arial"/>
          <w:b/>
          <w:sz w:val="24"/>
          <w:szCs w:val="24"/>
        </w:rPr>
        <w:t xml:space="preserve"> </w:t>
      </w:r>
      <w:r w:rsidR="00467877">
        <w:rPr>
          <w:rFonts w:ascii="Arial" w:hAnsi="Arial" w:cs="Arial"/>
          <w:b/>
          <w:sz w:val="24"/>
          <w:szCs w:val="24"/>
        </w:rPr>
        <w:t>202</w:t>
      </w:r>
      <w:r w:rsidR="008D5490">
        <w:rPr>
          <w:rFonts w:ascii="Arial" w:hAnsi="Arial" w:cs="Arial"/>
          <w:b/>
          <w:sz w:val="24"/>
          <w:szCs w:val="24"/>
        </w:rPr>
        <w:t>3</w:t>
      </w:r>
    </w:p>
    <w:p w14:paraId="230ACCE2" w14:textId="77777777" w:rsidR="00BC5418" w:rsidRDefault="00BC5418" w:rsidP="00BC5418">
      <w:pPr>
        <w:spacing w:after="0" w:line="240" w:lineRule="auto"/>
        <w:jc w:val="both"/>
        <w:rPr>
          <w:rFonts w:ascii="Arial" w:hAnsi="Arial" w:cs="Arial"/>
          <w:i/>
          <w:szCs w:val="24"/>
        </w:rPr>
      </w:pPr>
      <w:r>
        <w:rPr>
          <w:rFonts w:ascii="Arial" w:hAnsi="Arial" w:cs="Arial"/>
          <w:b/>
          <w:sz w:val="24"/>
          <w:szCs w:val="24"/>
        </w:rPr>
        <w:t>TIMING:</w:t>
      </w:r>
      <w:r w:rsidR="00467877">
        <w:rPr>
          <w:rFonts w:ascii="Arial" w:hAnsi="Arial" w:cs="Arial"/>
          <w:b/>
          <w:sz w:val="24"/>
          <w:szCs w:val="24"/>
        </w:rPr>
        <w:tab/>
      </w:r>
      <w:r w:rsidR="000C54E6" w:rsidRPr="0028549D">
        <w:rPr>
          <w:rFonts w:ascii="Arial" w:hAnsi="Arial" w:cs="Arial"/>
          <w:b/>
          <w:sz w:val="24"/>
          <w:szCs w:val="24"/>
        </w:rPr>
        <w:t>Annual</w:t>
      </w:r>
    </w:p>
    <w:p w14:paraId="7062C8C6" w14:textId="77777777" w:rsidR="00BC5418" w:rsidRDefault="00BC5418" w:rsidP="00BC5418">
      <w:pPr>
        <w:spacing w:after="0" w:line="240" w:lineRule="auto"/>
        <w:jc w:val="both"/>
        <w:rPr>
          <w:rFonts w:ascii="Arial" w:hAnsi="Arial" w:cs="Arial"/>
          <w:i/>
          <w:szCs w:val="24"/>
        </w:rPr>
      </w:pPr>
    </w:p>
    <w:p w14:paraId="18BD497F" w14:textId="582A06AE" w:rsidR="00BC5418" w:rsidRDefault="00BC5418" w:rsidP="00BC5418">
      <w:pPr>
        <w:spacing w:after="0" w:line="240" w:lineRule="auto"/>
        <w:jc w:val="both"/>
        <w:rPr>
          <w:rFonts w:ascii="Arial" w:hAnsi="Arial" w:cs="Arial"/>
          <w:b/>
          <w:sz w:val="24"/>
        </w:rPr>
      </w:pPr>
      <w:r w:rsidRPr="00BC5418">
        <w:rPr>
          <w:rFonts w:ascii="Arial" w:hAnsi="Arial" w:cs="Arial"/>
          <w:b/>
          <w:sz w:val="24"/>
          <w:szCs w:val="24"/>
        </w:rPr>
        <w:t>PURPOSE:</w:t>
      </w:r>
      <w:r w:rsidR="00467877">
        <w:rPr>
          <w:rFonts w:ascii="Arial" w:hAnsi="Arial" w:cs="Arial"/>
          <w:b/>
          <w:sz w:val="24"/>
          <w:szCs w:val="24"/>
        </w:rPr>
        <w:tab/>
      </w:r>
      <w:r w:rsidR="000C54E6">
        <w:rPr>
          <w:rFonts w:ascii="Arial" w:hAnsi="Arial" w:cs="Arial"/>
          <w:b/>
          <w:sz w:val="24"/>
        </w:rPr>
        <w:t xml:space="preserve">For </w:t>
      </w:r>
      <w:r w:rsidR="0059744C">
        <w:rPr>
          <w:rFonts w:ascii="Arial" w:hAnsi="Arial" w:cs="Arial"/>
          <w:b/>
          <w:sz w:val="24"/>
        </w:rPr>
        <w:t>Approval</w:t>
      </w:r>
    </w:p>
    <w:p w14:paraId="5F4F2490" w14:textId="77777777" w:rsidR="00BB52E1" w:rsidRDefault="00BB52E1" w:rsidP="00BC5418">
      <w:pPr>
        <w:spacing w:after="0" w:line="240" w:lineRule="auto"/>
        <w:jc w:val="both"/>
        <w:rPr>
          <w:rFonts w:ascii="Arial" w:hAnsi="Arial" w:cs="Arial"/>
          <w:b/>
          <w:sz w:val="24"/>
        </w:rPr>
      </w:pPr>
    </w:p>
    <w:tbl>
      <w:tblPr>
        <w:tblStyle w:val="TableGridLight"/>
        <w:tblW w:w="0" w:type="auto"/>
        <w:tblLook w:val="04A0" w:firstRow="1" w:lastRow="0" w:firstColumn="1" w:lastColumn="0" w:noHBand="0" w:noVBand="1"/>
      </w:tblPr>
      <w:tblGrid>
        <w:gridCol w:w="670"/>
        <w:gridCol w:w="8390"/>
      </w:tblGrid>
      <w:tr w:rsidR="00DA0202" w:rsidRPr="00055BFA" w14:paraId="2A14692F" w14:textId="77777777" w:rsidTr="00746DF8">
        <w:tc>
          <w:tcPr>
            <w:tcW w:w="670" w:type="dxa"/>
          </w:tcPr>
          <w:p w14:paraId="6FAC5891" w14:textId="77777777" w:rsidR="00DA0202" w:rsidRPr="00055BFA" w:rsidRDefault="00DA0202" w:rsidP="00746DF8">
            <w:pPr>
              <w:spacing w:after="0"/>
              <w:rPr>
                <w:rFonts w:ascii="Arial" w:hAnsi="Arial" w:cs="Arial"/>
                <w:b/>
                <w:sz w:val="24"/>
                <w:szCs w:val="24"/>
              </w:rPr>
            </w:pPr>
            <w:r>
              <w:rPr>
                <w:rFonts w:ascii="Arial" w:hAnsi="Arial" w:cs="Arial"/>
                <w:b/>
                <w:sz w:val="24"/>
                <w:szCs w:val="24"/>
              </w:rPr>
              <w:t>1</w:t>
            </w:r>
            <w:r w:rsidRPr="00055BFA">
              <w:rPr>
                <w:rFonts w:ascii="Arial" w:hAnsi="Arial" w:cs="Arial"/>
                <w:b/>
                <w:sz w:val="24"/>
                <w:szCs w:val="24"/>
              </w:rPr>
              <w:t>.</w:t>
            </w:r>
          </w:p>
        </w:tc>
        <w:tc>
          <w:tcPr>
            <w:tcW w:w="8390" w:type="dxa"/>
          </w:tcPr>
          <w:p w14:paraId="41CE92BC" w14:textId="77777777" w:rsidR="00DA0202" w:rsidRPr="00055BFA" w:rsidRDefault="00DA0202" w:rsidP="00746DF8">
            <w:pPr>
              <w:spacing w:after="0"/>
              <w:jc w:val="both"/>
              <w:rPr>
                <w:rFonts w:ascii="Arial" w:hAnsi="Arial" w:cs="Arial"/>
                <w:b/>
                <w:sz w:val="24"/>
                <w:szCs w:val="24"/>
                <w:u w:val="single"/>
              </w:rPr>
            </w:pPr>
            <w:r w:rsidRPr="00055BFA">
              <w:rPr>
                <w:rFonts w:ascii="Arial" w:hAnsi="Arial" w:cs="Arial"/>
                <w:b/>
                <w:sz w:val="24"/>
                <w:szCs w:val="24"/>
                <w:u w:val="single"/>
              </w:rPr>
              <w:t>RECOMMENDATION</w:t>
            </w:r>
          </w:p>
          <w:p w14:paraId="67648A4F" w14:textId="77777777" w:rsidR="00DA0202" w:rsidRDefault="00DA0202" w:rsidP="00DA0202">
            <w:pPr>
              <w:spacing w:after="0"/>
              <w:jc w:val="both"/>
              <w:rPr>
                <w:rFonts w:ascii="Arial" w:hAnsi="Arial" w:cs="Arial"/>
                <w:sz w:val="24"/>
              </w:rPr>
            </w:pPr>
            <w:r w:rsidRPr="00DF544E">
              <w:rPr>
                <w:rFonts w:ascii="Arial" w:hAnsi="Arial" w:cs="Arial"/>
                <w:sz w:val="24"/>
              </w:rPr>
              <w:t xml:space="preserve">That the Police and Crime Commissioner for Gwent monitors the performance of </w:t>
            </w:r>
            <w:r>
              <w:rPr>
                <w:rFonts w:ascii="Arial" w:hAnsi="Arial" w:cs="Arial"/>
                <w:sz w:val="24"/>
              </w:rPr>
              <w:t>the</w:t>
            </w:r>
            <w:r w:rsidRPr="00DF544E">
              <w:rPr>
                <w:rFonts w:ascii="Arial" w:hAnsi="Arial" w:cs="Arial"/>
                <w:sz w:val="24"/>
              </w:rPr>
              <w:t xml:space="preserve"> office during 2022/2023 in relation to </w:t>
            </w:r>
            <w:r>
              <w:rPr>
                <w:rFonts w:ascii="Arial" w:hAnsi="Arial" w:cs="Arial"/>
                <w:sz w:val="24"/>
              </w:rPr>
              <w:t>its</w:t>
            </w:r>
            <w:r w:rsidRPr="00DF544E">
              <w:rPr>
                <w:rFonts w:ascii="Arial" w:hAnsi="Arial" w:cs="Arial"/>
                <w:sz w:val="24"/>
              </w:rPr>
              <w:t xml:space="preserve"> statutory duties under the Freedom of Information Act 2000 (FOIA).</w:t>
            </w:r>
          </w:p>
          <w:p w14:paraId="2CE00B0B" w14:textId="18B4B3DB" w:rsidR="00DA0202" w:rsidRPr="001201D9" w:rsidRDefault="00DA0202" w:rsidP="00746DF8">
            <w:pPr>
              <w:spacing w:after="0"/>
              <w:jc w:val="both"/>
              <w:rPr>
                <w:rFonts w:ascii="Arial" w:hAnsi="Arial" w:cs="Arial"/>
                <w:sz w:val="24"/>
                <w:szCs w:val="24"/>
              </w:rPr>
            </w:pPr>
          </w:p>
        </w:tc>
      </w:tr>
      <w:tr w:rsidR="00DA0202" w:rsidRPr="00055BFA" w14:paraId="1444D3C6" w14:textId="77777777" w:rsidTr="00746DF8">
        <w:tc>
          <w:tcPr>
            <w:tcW w:w="670" w:type="dxa"/>
          </w:tcPr>
          <w:p w14:paraId="6C13EEC9" w14:textId="77777777" w:rsidR="00DA0202" w:rsidRPr="00055BFA" w:rsidRDefault="00DA0202" w:rsidP="00746DF8">
            <w:pPr>
              <w:spacing w:after="0"/>
              <w:rPr>
                <w:rFonts w:ascii="Arial" w:hAnsi="Arial" w:cs="Arial"/>
                <w:b/>
                <w:sz w:val="24"/>
                <w:szCs w:val="24"/>
              </w:rPr>
            </w:pPr>
            <w:r>
              <w:rPr>
                <w:rFonts w:ascii="Arial" w:hAnsi="Arial" w:cs="Arial"/>
                <w:b/>
                <w:sz w:val="24"/>
                <w:szCs w:val="24"/>
              </w:rPr>
              <w:t>2</w:t>
            </w:r>
            <w:r w:rsidRPr="00055BFA">
              <w:rPr>
                <w:rFonts w:ascii="Arial" w:hAnsi="Arial" w:cs="Arial"/>
                <w:b/>
                <w:sz w:val="24"/>
                <w:szCs w:val="24"/>
              </w:rPr>
              <w:t>.</w:t>
            </w:r>
          </w:p>
        </w:tc>
        <w:tc>
          <w:tcPr>
            <w:tcW w:w="8390" w:type="dxa"/>
          </w:tcPr>
          <w:p w14:paraId="53BC967F" w14:textId="77777777" w:rsidR="00DA0202" w:rsidRPr="00055BFA" w:rsidRDefault="00DA0202" w:rsidP="00746DF8">
            <w:pPr>
              <w:spacing w:after="0"/>
              <w:jc w:val="both"/>
              <w:rPr>
                <w:rFonts w:ascii="Arial" w:hAnsi="Arial" w:cs="Arial"/>
                <w:b/>
                <w:sz w:val="24"/>
                <w:szCs w:val="24"/>
                <w:u w:val="single"/>
              </w:rPr>
            </w:pPr>
            <w:r w:rsidRPr="00055BFA">
              <w:rPr>
                <w:rFonts w:ascii="Arial" w:hAnsi="Arial" w:cs="Arial"/>
                <w:b/>
                <w:sz w:val="24"/>
                <w:szCs w:val="24"/>
                <w:u w:val="single"/>
              </w:rPr>
              <w:t>INTRODUCTION &amp; BACKGROUN</w:t>
            </w:r>
            <w:r>
              <w:rPr>
                <w:rFonts w:ascii="Arial" w:hAnsi="Arial" w:cs="Arial"/>
                <w:b/>
                <w:sz w:val="24"/>
                <w:szCs w:val="24"/>
                <w:u w:val="single"/>
              </w:rPr>
              <w:t>D</w:t>
            </w:r>
          </w:p>
          <w:p w14:paraId="62CFBC6F" w14:textId="77777777" w:rsidR="00DA0202" w:rsidRPr="00DF544E" w:rsidRDefault="00DA0202" w:rsidP="00DA0202">
            <w:pPr>
              <w:spacing w:after="0"/>
              <w:jc w:val="both"/>
              <w:rPr>
                <w:rFonts w:ascii="Arial" w:hAnsi="Arial" w:cs="Arial"/>
                <w:sz w:val="24"/>
                <w:szCs w:val="24"/>
              </w:rPr>
            </w:pPr>
            <w:r w:rsidRPr="00DF544E">
              <w:rPr>
                <w:rFonts w:ascii="Arial" w:hAnsi="Arial" w:cs="Arial"/>
                <w:sz w:val="24"/>
                <w:szCs w:val="24"/>
              </w:rPr>
              <w:t xml:space="preserve">The FOIA provides access to information held by public authorities.  Under the FOIA, public authorities are obliged to publish certain information about their activities, this is referred to as a Publication Scheme.  Members of the public are also entitled to request any recorded information held by them.  </w:t>
            </w:r>
          </w:p>
          <w:p w14:paraId="567CE3A9" w14:textId="77777777" w:rsidR="00DA0202" w:rsidRPr="00DF544E" w:rsidRDefault="00DA0202" w:rsidP="00DA0202">
            <w:pPr>
              <w:spacing w:after="0"/>
              <w:jc w:val="both"/>
              <w:rPr>
                <w:rFonts w:ascii="Arial" w:hAnsi="Arial" w:cs="Arial"/>
                <w:sz w:val="24"/>
                <w:szCs w:val="24"/>
              </w:rPr>
            </w:pPr>
          </w:p>
          <w:p w14:paraId="1036B578" w14:textId="77777777" w:rsidR="00DA0202" w:rsidRPr="00DF544E" w:rsidRDefault="00DA0202" w:rsidP="00DA0202">
            <w:pPr>
              <w:spacing w:after="0"/>
              <w:jc w:val="both"/>
              <w:rPr>
                <w:rFonts w:ascii="Arial" w:hAnsi="Arial" w:cs="Arial"/>
                <w:sz w:val="24"/>
                <w:szCs w:val="24"/>
              </w:rPr>
            </w:pPr>
            <w:r w:rsidRPr="00DF544E">
              <w:rPr>
                <w:rFonts w:ascii="Arial" w:hAnsi="Arial" w:cs="Arial"/>
                <w:sz w:val="24"/>
                <w:szCs w:val="24"/>
              </w:rPr>
              <w:t>The FOIA states that disclosure of information should be the default and only kept private when there is a good reason.</w:t>
            </w:r>
          </w:p>
          <w:p w14:paraId="1DDC85BA" w14:textId="77777777" w:rsidR="00DA0202" w:rsidRPr="00DF544E" w:rsidRDefault="00DA0202" w:rsidP="00DA0202">
            <w:pPr>
              <w:spacing w:after="0"/>
              <w:jc w:val="both"/>
              <w:rPr>
                <w:rFonts w:ascii="Arial" w:hAnsi="Arial" w:cs="Arial"/>
                <w:sz w:val="24"/>
                <w:szCs w:val="24"/>
              </w:rPr>
            </w:pPr>
          </w:p>
          <w:p w14:paraId="3002EED6" w14:textId="77777777" w:rsidR="00DA0202" w:rsidRPr="00DF544E" w:rsidRDefault="00DA0202" w:rsidP="00DA0202">
            <w:pPr>
              <w:spacing w:after="0"/>
              <w:jc w:val="both"/>
              <w:rPr>
                <w:rFonts w:ascii="Arial" w:hAnsi="Arial" w:cs="Arial"/>
                <w:sz w:val="24"/>
                <w:szCs w:val="24"/>
              </w:rPr>
            </w:pPr>
            <w:r w:rsidRPr="00DF544E">
              <w:rPr>
                <w:rFonts w:ascii="Arial" w:hAnsi="Arial" w:cs="Arial"/>
                <w:sz w:val="24"/>
                <w:szCs w:val="24"/>
              </w:rPr>
              <w:t>The main functions of dealing with requests are as follows:</w:t>
            </w:r>
          </w:p>
          <w:p w14:paraId="7B915F68" w14:textId="77777777" w:rsidR="00DA0202" w:rsidRPr="00DF544E" w:rsidRDefault="00DA0202" w:rsidP="00DA0202">
            <w:pPr>
              <w:numPr>
                <w:ilvl w:val="0"/>
                <w:numId w:val="4"/>
              </w:numPr>
              <w:spacing w:after="0"/>
              <w:jc w:val="both"/>
              <w:rPr>
                <w:rFonts w:ascii="Arial" w:hAnsi="Arial" w:cs="Arial"/>
                <w:sz w:val="24"/>
                <w:szCs w:val="24"/>
              </w:rPr>
            </w:pPr>
            <w:r w:rsidRPr="00DF544E">
              <w:rPr>
                <w:rFonts w:ascii="Arial" w:hAnsi="Arial" w:cs="Arial"/>
                <w:sz w:val="24"/>
                <w:szCs w:val="24"/>
              </w:rPr>
              <w:t>Determine if the request falls within the legislation or if it could be treated as business as usual;</w:t>
            </w:r>
          </w:p>
          <w:p w14:paraId="1306068E" w14:textId="77777777" w:rsidR="00DA0202" w:rsidRPr="00DF544E" w:rsidRDefault="00DA0202" w:rsidP="00DA0202">
            <w:pPr>
              <w:numPr>
                <w:ilvl w:val="0"/>
                <w:numId w:val="4"/>
              </w:numPr>
              <w:spacing w:after="0"/>
              <w:jc w:val="both"/>
              <w:rPr>
                <w:rFonts w:ascii="Arial" w:hAnsi="Arial" w:cs="Arial"/>
                <w:sz w:val="24"/>
                <w:szCs w:val="24"/>
              </w:rPr>
            </w:pPr>
            <w:r w:rsidRPr="00DF544E">
              <w:rPr>
                <w:rFonts w:ascii="Arial" w:hAnsi="Arial" w:cs="Arial"/>
                <w:sz w:val="24"/>
                <w:szCs w:val="24"/>
              </w:rPr>
              <w:t>Acknowledge, record and ensure the request is completed within the required 20 working day timeframe and sent to the requester;</w:t>
            </w:r>
          </w:p>
          <w:p w14:paraId="69362D1B" w14:textId="77777777" w:rsidR="00DA0202" w:rsidRPr="00DF544E" w:rsidRDefault="00DA0202" w:rsidP="00DA0202">
            <w:pPr>
              <w:numPr>
                <w:ilvl w:val="0"/>
                <w:numId w:val="4"/>
              </w:numPr>
              <w:spacing w:after="0"/>
              <w:jc w:val="both"/>
              <w:rPr>
                <w:rFonts w:ascii="Arial" w:hAnsi="Arial" w:cs="Arial"/>
                <w:sz w:val="24"/>
                <w:szCs w:val="24"/>
              </w:rPr>
            </w:pPr>
            <w:r w:rsidRPr="00DF544E">
              <w:rPr>
                <w:rFonts w:ascii="Arial" w:hAnsi="Arial" w:cs="Arial"/>
                <w:sz w:val="24"/>
                <w:szCs w:val="24"/>
              </w:rPr>
              <w:t>Determine if information can be published or if an exemption needs to be invoked;</w:t>
            </w:r>
          </w:p>
          <w:p w14:paraId="5E6D5580" w14:textId="77777777" w:rsidR="00DA0202" w:rsidRPr="00DF544E" w:rsidRDefault="00DA0202" w:rsidP="00DA0202">
            <w:pPr>
              <w:numPr>
                <w:ilvl w:val="0"/>
                <w:numId w:val="4"/>
              </w:numPr>
              <w:spacing w:after="0"/>
              <w:jc w:val="both"/>
              <w:rPr>
                <w:rFonts w:ascii="Arial" w:hAnsi="Arial" w:cs="Arial"/>
                <w:sz w:val="24"/>
                <w:szCs w:val="24"/>
              </w:rPr>
            </w:pPr>
            <w:r w:rsidRPr="00DF544E">
              <w:rPr>
                <w:rFonts w:ascii="Arial" w:hAnsi="Arial" w:cs="Arial"/>
                <w:sz w:val="24"/>
                <w:szCs w:val="24"/>
              </w:rPr>
              <w:t>Give a clear explanation as to why information has been withheld and the reasons why the balance of public interest is against disclosure;</w:t>
            </w:r>
          </w:p>
          <w:p w14:paraId="2375F089" w14:textId="77777777" w:rsidR="00DA0202" w:rsidRPr="00DF544E" w:rsidRDefault="00DA0202" w:rsidP="00DA0202">
            <w:pPr>
              <w:numPr>
                <w:ilvl w:val="0"/>
                <w:numId w:val="4"/>
              </w:numPr>
              <w:spacing w:after="0"/>
              <w:jc w:val="both"/>
              <w:rPr>
                <w:rFonts w:ascii="Arial" w:hAnsi="Arial" w:cs="Arial"/>
                <w:sz w:val="24"/>
                <w:szCs w:val="24"/>
              </w:rPr>
            </w:pPr>
            <w:r w:rsidRPr="00DF544E">
              <w:rPr>
                <w:rFonts w:ascii="Arial" w:hAnsi="Arial" w:cs="Arial"/>
                <w:sz w:val="24"/>
                <w:szCs w:val="24"/>
              </w:rPr>
              <w:t>Provide advice and guidance to members of the public and staff asked to assist with requests;</w:t>
            </w:r>
          </w:p>
          <w:p w14:paraId="7E9973DC" w14:textId="77777777" w:rsidR="00DA0202" w:rsidRPr="00DF544E" w:rsidRDefault="00DA0202" w:rsidP="00DA0202">
            <w:pPr>
              <w:numPr>
                <w:ilvl w:val="0"/>
                <w:numId w:val="4"/>
              </w:numPr>
              <w:spacing w:after="0"/>
              <w:jc w:val="both"/>
              <w:rPr>
                <w:rFonts w:ascii="Arial" w:hAnsi="Arial" w:cs="Arial"/>
                <w:sz w:val="24"/>
                <w:szCs w:val="24"/>
              </w:rPr>
            </w:pPr>
            <w:r w:rsidRPr="00DF544E">
              <w:rPr>
                <w:rFonts w:ascii="Arial" w:hAnsi="Arial" w:cs="Arial"/>
                <w:sz w:val="24"/>
                <w:szCs w:val="24"/>
              </w:rPr>
              <w:t xml:space="preserve">Ensure the correct process is followed if an appeal is received; and </w:t>
            </w:r>
          </w:p>
          <w:p w14:paraId="5FFEB2AF" w14:textId="77777777" w:rsidR="00DA0202" w:rsidRPr="00DF544E" w:rsidRDefault="00DA0202" w:rsidP="00DA0202">
            <w:pPr>
              <w:numPr>
                <w:ilvl w:val="0"/>
                <w:numId w:val="4"/>
              </w:numPr>
              <w:spacing w:after="0"/>
              <w:jc w:val="both"/>
              <w:rPr>
                <w:rFonts w:ascii="Arial" w:hAnsi="Arial" w:cs="Arial"/>
                <w:sz w:val="24"/>
                <w:szCs w:val="24"/>
              </w:rPr>
            </w:pPr>
            <w:r w:rsidRPr="00DF544E">
              <w:rPr>
                <w:rFonts w:ascii="Arial" w:hAnsi="Arial" w:cs="Arial"/>
                <w:sz w:val="24"/>
                <w:szCs w:val="24"/>
              </w:rPr>
              <w:t>Be the point of contact for the Information Commissioner’s Office (ICO).</w:t>
            </w:r>
          </w:p>
          <w:p w14:paraId="4919D5D7" w14:textId="77777777" w:rsidR="00DA0202" w:rsidRPr="00DF544E" w:rsidRDefault="00DA0202" w:rsidP="00DA0202">
            <w:pPr>
              <w:spacing w:after="0"/>
              <w:jc w:val="both"/>
              <w:rPr>
                <w:rFonts w:ascii="Arial" w:hAnsi="Arial" w:cs="Arial"/>
              </w:rPr>
            </w:pPr>
          </w:p>
          <w:p w14:paraId="7F2D7304" w14:textId="63101A86" w:rsidR="00DA0202" w:rsidRDefault="00DA0202" w:rsidP="00DA0202">
            <w:pPr>
              <w:spacing w:after="0"/>
              <w:jc w:val="both"/>
              <w:rPr>
                <w:rFonts w:ascii="Arial" w:hAnsi="Arial" w:cs="Arial"/>
                <w:sz w:val="24"/>
              </w:rPr>
            </w:pPr>
            <w:r w:rsidRPr="00DF544E">
              <w:rPr>
                <w:rFonts w:ascii="Arial" w:hAnsi="Arial" w:cs="Arial"/>
                <w:sz w:val="24"/>
              </w:rPr>
              <w:t xml:space="preserve">Updates in relation to compliance with FOIA requests are provided to the OPCC </w:t>
            </w:r>
            <w:r>
              <w:rPr>
                <w:rFonts w:ascii="Arial" w:hAnsi="Arial" w:cs="Arial"/>
                <w:sz w:val="24"/>
              </w:rPr>
              <w:t>Planning and Performance Meeting</w:t>
            </w:r>
            <w:r w:rsidRPr="00DF544E">
              <w:rPr>
                <w:rFonts w:ascii="Arial" w:hAnsi="Arial" w:cs="Arial"/>
                <w:sz w:val="24"/>
              </w:rPr>
              <w:t xml:space="preserve"> on a monthly basis</w:t>
            </w:r>
            <w:r>
              <w:rPr>
                <w:rFonts w:ascii="Arial" w:hAnsi="Arial" w:cs="Arial"/>
                <w:sz w:val="24"/>
              </w:rPr>
              <w:t xml:space="preserve"> </w:t>
            </w:r>
            <w:r w:rsidRPr="00DF544E">
              <w:rPr>
                <w:rFonts w:ascii="Arial" w:hAnsi="Arial" w:cs="Arial"/>
                <w:sz w:val="24"/>
              </w:rPr>
              <w:t>by the H</w:t>
            </w:r>
            <w:r>
              <w:rPr>
                <w:rFonts w:ascii="Arial" w:hAnsi="Arial" w:cs="Arial"/>
                <w:sz w:val="24"/>
              </w:rPr>
              <w:t xml:space="preserve">ead </w:t>
            </w:r>
            <w:r w:rsidRPr="00DF544E">
              <w:rPr>
                <w:rFonts w:ascii="Arial" w:hAnsi="Arial" w:cs="Arial"/>
                <w:sz w:val="24"/>
              </w:rPr>
              <w:t>o</w:t>
            </w:r>
            <w:r>
              <w:rPr>
                <w:rFonts w:ascii="Arial" w:hAnsi="Arial" w:cs="Arial"/>
                <w:sz w:val="24"/>
              </w:rPr>
              <w:t xml:space="preserve">f </w:t>
            </w:r>
            <w:r w:rsidRPr="00DF544E">
              <w:rPr>
                <w:rFonts w:ascii="Arial" w:hAnsi="Arial" w:cs="Arial"/>
                <w:sz w:val="24"/>
              </w:rPr>
              <w:t>A</w:t>
            </w:r>
            <w:r>
              <w:rPr>
                <w:rFonts w:ascii="Arial" w:hAnsi="Arial" w:cs="Arial"/>
                <w:sz w:val="24"/>
              </w:rPr>
              <w:t xml:space="preserve">ssurance and </w:t>
            </w:r>
            <w:r w:rsidRPr="00DF544E">
              <w:rPr>
                <w:rFonts w:ascii="Arial" w:hAnsi="Arial" w:cs="Arial"/>
                <w:sz w:val="24"/>
              </w:rPr>
              <w:t>C</w:t>
            </w:r>
            <w:r>
              <w:rPr>
                <w:rFonts w:ascii="Arial" w:hAnsi="Arial" w:cs="Arial"/>
                <w:sz w:val="24"/>
              </w:rPr>
              <w:t>ompliance</w:t>
            </w:r>
            <w:r w:rsidRPr="00DF544E">
              <w:rPr>
                <w:rFonts w:ascii="Arial" w:hAnsi="Arial" w:cs="Arial"/>
                <w:sz w:val="24"/>
              </w:rPr>
              <w:t>.</w:t>
            </w:r>
          </w:p>
          <w:p w14:paraId="04E65B2F" w14:textId="3CB40FD2" w:rsidR="00DA0202" w:rsidRPr="001201D9" w:rsidRDefault="00DA0202" w:rsidP="00746DF8">
            <w:pPr>
              <w:spacing w:after="0"/>
              <w:jc w:val="both"/>
              <w:rPr>
                <w:rFonts w:ascii="Arial" w:hAnsi="Arial" w:cs="Arial"/>
              </w:rPr>
            </w:pPr>
          </w:p>
        </w:tc>
      </w:tr>
      <w:tr w:rsidR="00DA0202" w:rsidRPr="00055BFA" w14:paraId="3179AD70" w14:textId="77777777" w:rsidTr="00746DF8">
        <w:tc>
          <w:tcPr>
            <w:tcW w:w="670" w:type="dxa"/>
          </w:tcPr>
          <w:p w14:paraId="2F7D0129" w14:textId="77777777" w:rsidR="00DA0202" w:rsidRPr="00055BFA" w:rsidRDefault="00DA0202" w:rsidP="00746DF8">
            <w:pPr>
              <w:spacing w:after="0"/>
              <w:rPr>
                <w:rFonts w:ascii="Arial" w:hAnsi="Arial" w:cs="Arial"/>
                <w:b/>
                <w:sz w:val="24"/>
                <w:szCs w:val="24"/>
              </w:rPr>
            </w:pPr>
            <w:r>
              <w:rPr>
                <w:rFonts w:ascii="Arial" w:hAnsi="Arial" w:cs="Arial"/>
                <w:b/>
                <w:sz w:val="24"/>
                <w:szCs w:val="24"/>
              </w:rPr>
              <w:t>3</w:t>
            </w:r>
            <w:r w:rsidRPr="00055BFA">
              <w:rPr>
                <w:rFonts w:ascii="Arial" w:hAnsi="Arial" w:cs="Arial"/>
                <w:b/>
                <w:sz w:val="24"/>
                <w:szCs w:val="24"/>
              </w:rPr>
              <w:t>.</w:t>
            </w:r>
          </w:p>
        </w:tc>
        <w:tc>
          <w:tcPr>
            <w:tcW w:w="8390" w:type="dxa"/>
          </w:tcPr>
          <w:p w14:paraId="69A25E81" w14:textId="77777777" w:rsidR="00DA0202" w:rsidRDefault="00DA0202" w:rsidP="00746DF8">
            <w:pPr>
              <w:spacing w:after="0"/>
              <w:jc w:val="both"/>
              <w:rPr>
                <w:rFonts w:ascii="Arial" w:hAnsi="Arial" w:cs="Arial"/>
                <w:b/>
                <w:sz w:val="24"/>
                <w:szCs w:val="24"/>
                <w:u w:val="single"/>
              </w:rPr>
            </w:pPr>
            <w:r w:rsidRPr="00055BFA">
              <w:rPr>
                <w:rFonts w:ascii="Arial" w:hAnsi="Arial" w:cs="Arial"/>
                <w:b/>
                <w:sz w:val="24"/>
                <w:szCs w:val="24"/>
                <w:u w:val="single"/>
              </w:rPr>
              <w:t>ISSUES FOR CONSIDERATION</w:t>
            </w:r>
          </w:p>
          <w:p w14:paraId="5AB8CFEF" w14:textId="77777777" w:rsidR="00DA0202" w:rsidRPr="00BB52E1" w:rsidRDefault="00DA0202" w:rsidP="00DA0202">
            <w:pPr>
              <w:spacing w:after="0"/>
              <w:jc w:val="both"/>
              <w:rPr>
                <w:rFonts w:ascii="Arial" w:hAnsi="Arial" w:cs="Arial"/>
                <w:sz w:val="24"/>
                <w:szCs w:val="24"/>
              </w:rPr>
            </w:pPr>
            <w:r w:rsidRPr="00BB52E1">
              <w:rPr>
                <w:rFonts w:ascii="Arial" w:hAnsi="Arial" w:cs="Arial"/>
                <w:sz w:val="24"/>
                <w:szCs w:val="24"/>
              </w:rPr>
              <w:t>Between 1</w:t>
            </w:r>
            <w:r w:rsidRPr="00BB52E1">
              <w:rPr>
                <w:rFonts w:ascii="Arial" w:hAnsi="Arial" w:cs="Arial"/>
                <w:sz w:val="24"/>
                <w:szCs w:val="24"/>
                <w:vertAlign w:val="superscript"/>
              </w:rPr>
              <w:t>st</w:t>
            </w:r>
            <w:r w:rsidRPr="00BB52E1">
              <w:rPr>
                <w:rFonts w:ascii="Arial" w:hAnsi="Arial" w:cs="Arial"/>
                <w:sz w:val="24"/>
                <w:szCs w:val="24"/>
              </w:rPr>
              <w:t xml:space="preserve"> April 2022 and 31</w:t>
            </w:r>
            <w:r w:rsidRPr="00BB52E1">
              <w:rPr>
                <w:rFonts w:ascii="Arial" w:hAnsi="Arial" w:cs="Arial"/>
                <w:sz w:val="24"/>
                <w:szCs w:val="24"/>
                <w:vertAlign w:val="superscript"/>
              </w:rPr>
              <w:t>st</w:t>
            </w:r>
            <w:r w:rsidRPr="00BB52E1">
              <w:rPr>
                <w:rFonts w:ascii="Arial" w:hAnsi="Arial" w:cs="Arial"/>
                <w:sz w:val="24"/>
                <w:szCs w:val="24"/>
              </w:rPr>
              <w:t xml:space="preserve"> March 2023, the OPCC received 37 FOIA requests; 1 of these requests did not fall within FOIA legislation as it requested comments that were not recorded.  1 other request was not valid as it did not </w:t>
            </w:r>
            <w:r w:rsidRPr="00BB52E1">
              <w:rPr>
                <w:rFonts w:ascii="Arial" w:hAnsi="Arial" w:cs="Arial"/>
                <w:sz w:val="24"/>
                <w:szCs w:val="24"/>
              </w:rPr>
              <w:lastRenderedPageBreak/>
              <w:t>contain the requesters name. As such only 35 requests are considered for statistical purposes.</w:t>
            </w:r>
          </w:p>
          <w:p w14:paraId="7F0DDE8F" w14:textId="77777777" w:rsidR="00DA0202" w:rsidRPr="00BB52E1" w:rsidRDefault="00DA0202" w:rsidP="00DA0202">
            <w:pPr>
              <w:spacing w:after="0"/>
              <w:jc w:val="both"/>
              <w:rPr>
                <w:rFonts w:ascii="Arial" w:hAnsi="Arial" w:cs="Arial"/>
                <w:sz w:val="24"/>
                <w:szCs w:val="24"/>
              </w:rPr>
            </w:pPr>
          </w:p>
          <w:p w14:paraId="522012E1" w14:textId="77777777" w:rsidR="00DA0202" w:rsidRPr="008D5490" w:rsidRDefault="00DA0202" w:rsidP="00DA0202">
            <w:pPr>
              <w:spacing w:after="0"/>
              <w:jc w:val="both"/>
              <w:rPr>
                <w:rFonts w:ascii="Arial" w:hAnsi="Arial" w:cs="Arial"/>
                <w:sz w:val="24"/>
                <w:szCs w:val="24"/>
                <w:highlight w:val="yellow"/>
              </w:rPr>
            </w:pPr>
            <w:r w:rsidRPr="00BB52E1">
              <w:rPr>
                <w:rFonts w:ascii="Arial" w:hAnsi="Arial" w:cs="Arial"/>
                <w:sz w:val="24"/>
                <w:szCs w:val="24"/>
              </w:rPr>
              <w:t xml:space="preserve">Although the number of requests received has decreased since 2021/22, an increase is still being sustained over the numbers received in previous years with 28 in 2019/20 and 29 in 2020/21.  The requests received by the OPCC in 2022/23 that were for information held by Gwent Police were still the largest number of requests submitted, with a total of 27 received.  This compared to 42 in 2021/22 and 14 in 2020/21.  </w:t>
            </w:r>
            <w:r>
              <w:rPr>
                <w:rFonts w:ascii="Arial" w:hAnsi="Arial" w:cs="Arial"/>
                <w:sz w:val="24"/>
                <w:szCs w:val="24"/>
              </w:rPr>
              <w:t xml:space="preserve">Although the number of requests has reduced from 2021/22, they are still significantly higher than 2020/21 and 2019/20.  This continued increase over the last 2 years has been attributed to </w:t>
            </w:r>
            <w:r w:rsidRPr="00BB52E1">
              <w:rPr>
                <w:rFonts w:ascii="Arial" w:hAnsi="Arial" w:cs="Arial"/>
                <w:sz w:val="24"/>
                <w:szCs w:val="24"/>
              </w:rPr>
              <w:t>the adoption by Gwent Police of Single Online Home (SOH) which is the national website format adopted by all police forces in England and Wales.  In order to submit an FOI request, the public must now find the relevant section of the force website and submit their request via an online form; this is more complicated than writing and submitting an email and the requester no longer has a record of that request being made.</w:t>
            </w:r>
            <w:r>
              <w:rPr>
                <w:rFonts w:ascii="Arial" w:hAnsi="Arial" w:cs="Arial"/>
                <w:sz w:val="24"/>
                <w:szCs w:val="24"/>
              </w:rPr>
              <w:t xml:space="preserve">  This has previously been raised with Gwent Police with feedback provided to the national SOH team.</w:t>
            </w:r>
            <w:r w:rsidRPr="00BB52E1">
              <w:rPr>
                <w:rFonts w:ascii="Arial" w:hAnsi="Arial" w:cs="Arial"/>
                <w:sz w:val="24"/>
                <w:szCs w:val="24"/>
              </w:rPr>
              <w:t xml:space="preserve">  </w:t>
            </w:r>
          </w:p>
          <w:p w14:paraId="33811030" w14:textId="77777777" w:rsidR="00DA0202" w:rsidRPr="008D5490" w:rsidRDefault="00DA0202" w:rsidP="00DA0202">
            <w:pPr>
              <w:spacing w:after="0"/>
              <w:jc w:val="both"/>
              <w:rPr>
                <w:rFonts w:ascii="Arial" w:hAnsi="Arial" w:cs="Arial"/>
                <w:sz w:val="24"/>
                <w:szCs w:val="24"/>
                <w:highlight w:val="yellow"/>
              </w:rPr>
            </w:pPr>
          </w:p>
          <w:p w14:paraId="7956E218" w14:textId="77777777" w:rsidR="00DA0202" w:rsidRPr="00BB52E1" w:rsidRDefault="00DA0202" w:rsidP="00DA0202">
            <w:pPr>
              <w:spacing w:after="0"/>
              <w:jc w:val="both"/>
              <w:rPr>
                <w:rFonts w:ascii="Arial" w:hAnsi="Arial" w:cs="Arial"/>
                <w:sz w:val="24"/>
                <w:szCs w:val="24"/>
              </w:rPr>
            </w:pPr>
            <w:r w:rsidRPr="00BB52E1">
              <w:rPr>
                <w:rFonts w:ascii="Arial" w:hAnsi="Arial" w:cs="Arial"/>
                <w:sz w:val="24"/>
                <w:szCs w:val="24"/>
              </w:rPr>
              <w:t>All requests were received via email.</w:t>
            </w:r>
          </w:p>
          <w:p w14:paraId="152C98B3" w14:textId="77777777" w:rsidR="00DA0202" w:rsidRPr="008D5490" w:rsidRDefault="00DA0202" w:rsidP="00DA0202">
            <w:pPr>
              <w:spacing w:after="0"/>
              <w:jc w:val="both"/>
              <w:rPr>
                <w:rFonts w:ascii="Arial" w:hAnsi="Arial" w:cs="Arial"/>
                <w:sz w:val="24"/>
                <w:szCs w:val="24"/>
                <w:highlight w:val="yellow"/>
              </w:rPr>
            </w:pPr>
          </w:p>
          <w:p w14:paraId="6AEAC6BE" w14:textId="77777777" w:rsidR="00DA0202" w:rsidRPr="007A69B1" w:rsidRDefault="00DA0202" w:rsidP="00DA0202">
            <w:pPr>
              <w:spacing w:after="0"/>
              <w:jc w:val="both"/>
              <w:rPr>
                <w:rFonts w:ascii="Arial" w:hAnsi="Arial" w:cs="Arial"/>
                <w:sz w:val="24"/>
                <w:szCs w:val="24"/>
                <w:u w:val="single"/>
              </w:rPr>
            </w:pPr>
            <w:r w:rsidRPr="007A69B1">
              <w:rPr>
                <w:rFonts w:ascii="Arial" w:hAnsi="Arial" w:cs="Arial"/>
                <w:sz w:val="24"/>
                <w:szCs w:val="24"/>
                <w:u w:val="single"/>
              </w:rPr>
              <w:t>Identification of Requester</w:t>
            </w:r>
          </w:p>
          <w:p w14:paraId="4BD75E4F" w14:textId="77777777" w:rsidR="00DA0202" w:rsidRPr="007A69B1" w:rsidRDefault="00DA0202" w:rsidP="00DA0202">
            <w:pPr>
              <w:spacing w:after="0"/>
              <w:jc w:val="both"/>
              <w:rPr>
                <w:rFonts w:ascii="Arial" w:hAnsi="Arial" w:cs="Arial"/>
                <w:sz w:val="24"/>
                <w:szCs w:val="24"/>
              </w:rPr>
            </w:pPr>
            <w:r w:rsidRPr="007A69B1">
              <w:rPr>
                <w:rFonts w:ascii="Arial" w:hAnsi="Arial" w:cs="Arial"/>
                <w:sz w:val="24"/>
                <w:szCs w:val="24"/>
              </w:rPr>
              <w:t>There is no requirement under the FOIA for a requester to detail the reason for the request, they do</w:t>
            </w:r>
            <w:r>
              <w:rPr>
                <w:rFonts w:ascii="Arial" w:hAnsi="Arial" w:cs="Arial"/>
                <w:sz w:val="24"/>
                <w:szCs w:val="24"/>
              </w:rPr>
              <w:t>,</w:t>
            </w:r>
            <w:r w:rsidRPr="007A69B1">
              <w:rPr>
                <w:rFonts w:ascii="Arial" w:hAnsi="Arial" w:cs="Arial"/>
                <w:sz w:val="24"/>
                <w:szCs w:val="24"/>
              </w:rPr>
              <w:t xml:space="preserve"> however</w:t>
            </w:r>
            <w:r>
              <w:rPr>
                <w:rFonts w:ascii="Arial" w:hAnsi="Arial" w:cs="Arial"/>
                <w:sz w:val="24"/>
                <w:szCs w:val="24"/>
              </w:rPr>
              <w:t>,</w:t>
            </w:r>
            <w:r w:rsidRPr="007A69B1">
              <w:rPr>
                <w:rFonts w:ascii="Arial" w:hAnsi="Arial" w:cs="Arial"/>
                <w:sz w:val="24"/>
                <w:szCs w:val="24"/>
              </w:rPr>
              <w:t xml:space="preserve"> have to provide a name and address for correspondence.  Based only on the information freely provided by requesters, the table below shows where the requests came from in 2022/23 when compared to 2021/22:</w:t>
            </w:r>
          </w:p>
          <w:p w14:paraId="2049DD22" w14:textId="77777777" w:rsidR="00DA0202" w:rsidRPr="008D5490" w:rsidRDefault="00DA0202" w:rsidP="00DA0202">
            <w:pPr>
              <w:spacing w:after="0"/>
              <w:jc w:val="both"/>
              <w:rPr>
                <w:rFonts w:ascii="Arial"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658"/>
              <w:gridCol w:w="1742"/>
              <w:gridCol w:w="1246"/>
              <w:gridCol w:w="1536"/>
            </w:tblGrid>
            <w:tr w:rsidR="00DA0202" w:rsidRPr="008D5490" w14:paraId="0E2D2978" w14:textId="77777777" w:rsidTr="006427B2">
              <w:tc>
                <w:tcPr>
                  <w:tcW w:w="2029" w:type="dxa"/>
                  <w:shd w:val="clear" w:color="auto" w:fill="D9D9D9" w:themeFill="background1" w:themeFillShade="D9"/>
                </w:tcPr>
                <w:p w14:paraId="4CB5326C" w14:textId="77777777" w:rsidR="00DA0202" w:rsidRPr="007A69B1" w:rsidRDefault="00DA0202" w:rsidP="00DA0202">
                  <w:pPr>
                    <w:spacing w:after="0"/>
                    <w:jc w:val="center"/>
                    <w:rPr>
                      <w:rFonts w:ascii="Arial" w:hAnsi="Arial" w:cs="Arial"/>
                      <w:b/>
                      <w:sz w:val="24"/>
                      <w:szCs w:val="24"/>
                    </w:rPr>
                  </w:pPr>
                  <w:r w:rsidRPr="007A69B1">
                    <w:rPr>
                      <w:rFonts w:ascii="Arial" w:hAnsi="Arial" w:cs="Arial"/>
                      <w:b/>
                      <w:sz w:val="24"/>
                      <w:szCs w:val="24"/>
                    </w:rPr>
                    <w:t>Requester</w:t>
                  </w:r>
                </w:p>
              </w:tc>
              <w:tc>
                <w:tcPr>
                  <w:tcW w:w="1701" w:type="dxa"/>
                  <w:shd w:val="clear" w:color="auto" w:fill="D9D9D9" w:themeFill="background1" w:themeFillShade="D9"/>
                </w:tcPr>
                <w:p w14:paraId="5E5C479A" w14:textId="77777777" w:rsidR="00DA0202" w:rsidRPr="007A69B1" w:rsidRDefault="00DA0202" w:rsidP="00DA0202">
                  <w:pPr>
                    <w:spacing w:after="0"/>
                    <w:jc w:val="center"/>
                    <w:rPr>
                      <w:rFonts w:ascii="Arial" w:hAnsi="Arial" w:cs="Arial"/>
                      <w:b/>
                      <w:sz w:val="24"/>
                      <w:szCs w:val="24"/>
                    </w:rPr>
                  </w:pPr>
                  <w:r w:rsidRPr="007A69B1">
                    <w:rPr>
                      <w:rFonts w:ascii="Arial" w:hAnsi="Arial" w:cs="Arial"/>
                      <w:b/>
                      <w:sz w:val="24"/>
                      <w:szCs w:val="24"/>
                    </w:rPr>
                    <w:t>Number 21/22</w:t>
                  </w:r>
                </w:p>
              </w:tc>
              <w:tc>
                <w:tcPr>
                  <w:tcW w:w="1760" w:type="dxa"/>
                  <w:shd w:val="clear" w:color="auto" w:fill="D9D9D9" w:themeFill="background1" w:themeFillShade="D9"/>
                </w:tcPr>
                <w:p w14:paraId="1533CE24" w14:textId="77777777" w:rsidR="00DA0202" w:rsidRPr="007A69B1" w:rsidRDefault="00DA0202" w:rsidP="00DA0202">
                  <w:pPr>
                    <w:spacing w:after="0"/>
                    <w:jc w:val="center"/>
                    <w:rPr>
                      <w:rFonts w:ascii="Arial" w:hAnsi="Arial" w:cs="Arial"/>
                      <w:b/>
                      <w:sz w:val="24"/>
                      <w:szCs w:val="24"/>
                    </w:rPr>
                  </w:pPr>
                  <w:r w:rsidRPr="007A69B1">
                    <w:rPr>
                      <w:rFonts w:ascii="Arial" w:hAnsi="Arial" w:cs="Arial"/>
                      <w:b/>
                      <w:sz w:val="24"/>
                      <w:szCs w:val="24"/>
                    </w:rPr>
                    <w:t>Percentage 21/22</w:t>
                  </w:r>
                </w:p>
              </w:tc>
              <w:tc>
                <w:tcPr>
                  <w:tcW w:w="1256" w:type="dxa"/>
                  <w:shd w:val="clear" w:color="auto" w:fill="D9D9D9" w:themeFill="background1" w:themeFillShade="D9"/>
                </w:tcPr>
                <w:p w14:paraId="7F7803D4" w14:textId="77777777" w:rsidR="00DA0202" w:rsidRPr="007A69B1" w:rsidRDefault="00DA0202" w:rsidP="00DA0202">
                  <w:pPr>
                    <w:spacing w:after="0"/>
                    <w:jc w:val="center"/>
                    <w:rPr>
                      <w:rFonts w:ascii="Arial" w:hAnsi="Arial" w:cs="Arial"/>
                      <w:b/>
                      <w:sz w:val="24"/>
                      <w:szCs w:val="24"/>
                    </w:rPr>
                  </w:pPr>
                  <w:r w:rsidRPr="007A69B1">
                    <w:rPr>
                      <w:rFonts w:ascii="Arial" w:hAnsi="Arial" w:cs="Arial"/>
                      <w:b/>
                      <w:sz w:val="24"/>
                      <w:szCs w:val="24"/>
                    </w:rPr>
                    <w:t>Number 22/23</w:t>
                  </w:r>
                </w:p>
              </w:tc>
              <w:tc>
                <w:tcPr>
                  <w:tcW w:w="1538" w:type="dxa"/>
                  <w:shd w:val="clear" w:color="auto" w:fill="D9D9D9" w:themeFill="background1" w:themeFillShade="D9"/>
                </w:tcPr>
                <w:p w14:paraId="3A37EA88" w14:textId="77777777" w:rsidR="00DA0202" w:rsidRPr="007A69B1" w:rsidRDefault="00DA0202" w:rsidP="00DA0202">
                  <w:pPr>
                    <w:spacing w:after="0"/>
                    <w:jc w:val="center"/>
                    <w:rPr>
                      <w:rFonts w:ascii="Arial" w:hAnsi="Arial" w:cs="Arial"/>
                      <w:b/>
                      <w:sz w:val="24"/>
                      <w:szCs w:val="24"/>
                    </w:rPr>
                  </w:pPr>
                  <w:r w:rsidRPr="007A69B1">
                    <w:rPr>
                      <w:rFonts w:ascii="Arial" w:hAnsi="Arial" w:cs="Arial"/>
                      <w:b/>
                      <w:sz w:val="24"/>
                      <w:szCs w:val="24"/>
                    </w:rPr>
                    <w:t>Percentage 22/23</w:t>
                  </w:r>
                </w:p>
              </w:tc>
            </w:tr>
            <w:tr w:rsidR="00DA0202" w:rsidRPr="008D5490" w14:paraId="6BA25AD2" w14:textId="77777777" w:rsidTr="006427B2">
              <w:tc>
                <w:tcPr>
                  <w:tcW w:w="2029" w:type="dxa"/>
                  <w:shd w:val="clear" w:color="auto" w:fill="auto"/>
                </w:tcPr>
                <w:p w14:paraId="759C8DB3" w14:textId="77777777" w:rsidR="00DA0202" w:rsidRPr="007A69B1" w:rsidRDefault="00DA0202" w:rsidP="00DA0202">
                  <w:pPr>
                    <w:spacing w:after="0"/>
                    <w:rPr>
                      <w:rFonts w:ascii="Arial" w:hAnsi="Arial" w:cs="Arial"/>
                      <w:sz w:val="24"/>
                      <w:szCs w:val="24"/>
                    </w:rPr>
                  </w:pPr>
                  <w:r w:rsidRPr="007A69B1">
                    <w:rPr>
                      <w:rFonts w:ascii="Arial" w:hAnsi="Arial" w:cs="Arial"/>
                      <w:sz w:val="24"/>
                      <w:szCs w:val="24"/>
                    </w:rPr>
                    <w:t>General Public</w:t>
                  </w:r>
                </w:p>
              </w:tc>
              <w:tc>
                <w:tcPr>
                  <w:tcW w:w="1701" w:type="dxa"/>
                  <w:shd w:val="clear" w:color="auto" w:fill="auto"/>
                </w:tcPr>
                <w:p w14:paraId="11F4F335" w14:textId="77777777" w:rsidR="00DA0202" w:rsidRPr="007A69B1" w:rsidRDefault="00DA0202" w:rsidP="00DA0202">
                  <w:pPr>
                    <w:spacing w:after="0"/>
                    <w:jc w:val="center"/>
                    <w:rPr>
                      <w:rFonts w:ascii="Arial" w:hAnsi="Arial" w:cs="Arial"/>
                      <w:sz w:val="24"/>
                      <w:szCs w:val="24"/>
                    </w:rPr>
                  </w:pPr>
                  <w:r w:rsidRPr="007A69B1">
                    <w:rPr>
                      <w:rFonts w:ascii="Arial" w:hAnsi="Arial" w:cs="Arial"/>
                      <w:sz w:val="24"/>
                      <w:szCs w:val="24"/>
                    </w:rPr>
                    <w:t>36</w:t>
                  </w:r>
                </w:p>
              </w:tc>
              <w:tc>
                <w:tcPr>
                  <w:tcW w:w="1760" w:type="dxa"/>
                  <w:shd w:val="clear" w:color="auto" w:fill="auto"/>
                </w:tcPr>
                <w:p w14:paraId="7D22F05F" w14:textId="77777777" w:rsidR="00DA0202" w:rsidRPr="007A69B1" w:rsidRDefault="00DA0202" w:rsidP="00DA0202">
                  <w:pPr>
                    <w:spacing w:after="0"/>
                    <w:jc w:val="center"/>
                    <w:rPr>
                      <w:rFonts w:ascii="Arial" w:hAnsi="Arial" w:cs="Arial"/>
                      <w:sz w:val="24"/>
                      <w:szCs w:val="24"/>
                    </w:rPr>
                  </w:pPr>
                  <w:r w:rsidRPr="007A69B1">
                    <w:rPr>
                      <w:rFonts w:ascii="Arial" w:hAnsi="Arial" w:cs="Arial"/>
                      <w:sz w:val="24"/>
                      <w:szCs w:val="24"/>
                    </w:rPr>
                    <w:t>56%</w:t>
                  </w:r>
                </w:p>
              </w:tc>
              <w:tc>
                <w:tcPr>
                  <w:tcW w:w="1256" w:type="dxa"/>
                  <w:shd w:val="clear" w:color="auto" w:fill="auto"/>
                </w:tcPr>
                <w:p w14:paraId="406C6E96" w14:textId="77777777" w:rsidR="00DA0202" w:rsidRPr="00714D13" w:rsidRDefault="00DA0202" w:rsidP="00DA0202">
                  <w:pPr>
                    <w:spacing w:after="0"/>
                    <w:jc w:val="center"/>
                    <w:rPr>
                      <w:rFonts w:ascii="Arial" w:hAnsi="Arial" w:cs="Arial"/>
                      <w:sz w:val="24"/>
                      <w:szCs w:val="24"/>
                    </w:rPr>
                  </w:pPr>
                  <w:r w:rsidRPr="00714D13">
                    <w:rPr>
                      <w:rFonts w:ascii="Arial" w:hAnsi="Arial" w:cs="Arial"/>
                      <w:sz w:val="24"/>
                      <w:szCs w:val="24"/>
                    </w:rPr>
                    <w:t>2</w:t>
                  </w:r>
                  <w:r>
                    <w:rPr>
                      <w:rFonts w:ascii="Arial" w:hAnsi="Arial" w:cs="Arial"/>
                      <w:sz w:val="24"/>
                      <w:szCs w:val="24"/>
                    </w:rPr>
                    <w:t>1</w:t>
                  </w:r>
                </w:p>
              </w:tc>
              <w:tc>
                <w:tcPr>
                  <w:tcW w:w="1538" w:type="dxa"/>
                  <w:shd w:val="clear" w:color="auto" w:fill="auto"/>
                </w:tcPr>
                <w:p w14:paraId="1ADB56EC" w14:textId="77777777" w:rsidR="00DA0202" w:rsidRPr="004923E2" w:rsidRDefault="00DA0202" w:rsidP="00DA0202">
                  <w:pPr>
                    <w:spacing w:after="0"/>
                    <w:jc w:val="center"/>
                    <w:rPr>
                      <w:rFonts w:ascii="Arial" w:hAnsi="Arial" w:cs="Arial"/>
                      <w:sz w:val="24"/>
                      <w:szCs w:val="24"/>
                    </w:rPr>
                  </w:pPr>
                  <w:r w:rsidRPr="004923E2">
                    <w:rPr>
                      <w:rFonts w:ascii="Arial" w:hAnsi="Arial" w:cs="Arial"/>
                      <w:sz w:val="24"/>
                      <w:szCs w:val="24"/>
                    </w:rPr>
                    <w:t>60%</w:t>
                  </w:r>
                </w:p>
              </w:tc>
            </w:tr>
            <w:tr w:rsidR="00DA0202" w:rsidRPr="008D5490" w14:paraId="4A47D3D4" w14:textId="77777777" w:rsidTr="006427B2">
              <w:tc>
                <w:tcPr>
                  <w:tcW w:w="2029" w:type="dxa"/>
                  <w:shd w:val="clear" w:color="auto" w:fill="D9D9D9" w:themeFill="background1" w:themeFillShade="D9"/>
                </w:tcPr>
                <w:p w14:paraId="4E83283E" w14:textId="77777777" w:rsidR="00DA0202" w:rsidRPr="007A69B1" w:rsidRDefault="00DA0202" w:rsidP="00DA0202">
                  <w:pPr>
                    <w:spacing w:after="0"/>
                    <w:jc w:val="both"/>
                    <w:rPr>
                      <w:rFonts w:ascii="Arial" w:hAnsi="Arial" w:cs="Arial"/>
                      <w:sz w:val="24"/>
                      <w:szCs w:val="24"/>
                    </w:rPr>
                  </w:pPr>
                  <w:r w:rsidRPr="007A69B1">
                    <w:rPr>
                      <w:rFonts w:ascii="Arial" w:hAnsi="Arial" w:cs="Arial"/>
                      <w:sz w:val="24"/>
                      <w:szCs w:val="24"/>
                    </w:rPr>
                    <w:t>Media</w:t>
                  </w:r>
                </w:p>
              </w:tc>
              <w:tc>
                <w:tcPr>
                  <w:tcW w:w="1701" w:type="dxa"/>
                  <w:shd w:val="clear" w:color="auto" w:fill="D9D9D9" w:themeFill="background1" w:themeFillShade="D9"/>
                </w:tcPr>
                <w:p w14:paraId="18ABB967" w14:textId="77777777" w:rsidR="00DA0202" w:rsidRPr="007A69B1" w:rsidRDefault="00DA0202" w:rsidP="00DA0202">
                  <w:pPr>
                    <w:spacing w:after="0"/>
                    <w:jc w:val="center"/>
                    <w:rPr>
                      <w:rFonts w:ascii="Arial" w:hAnsi="Arial" w:cs="Arial"/>
                      <w:sz w:val="24"/>
                      <w:szCs w:val="24"/>
                    </w:rPr>
                  </w:pPr>
                  <w:r w:rsidRPr="007A69B1">
                    <w:rPr>
                      <w:rFonts w:ascii="Arial" w:hAnsi="Arial" w:cs="Arial"/>
                      <w:sz w:val="24"/>
                      <w:szCs w:val="24"/>
                    </w:rPr>
                    <w:t>3</w:t>
                  </w:r>
                </w:p>
              </w:tc>
              <w:tc>
                <w:tcPr>
                  <w:tcW w:w="1760" w:type="dxa"/>
                  <w:shd w:val="clear" w:color="auto" w:fill="D9D9D9" w:themeFill="background1" w:themeFillShade="D9"/>
                </w:tcPr>
                <w:p w14:paraId="0EF466F5" w14:textId="77777777" w:rsidR="00DA0202" w:rsidRPr="007A69B1" w:rsidRDefault="00DA0202" w:rsidP="00DA0202">
                  <w:pPr>
                    <w:spacing w:after="0"/>
                    <w:jc w:val="center"/>
                    <w:rPr>
                      <w:rFonts w:ascii="Arial" w:hAnsi="Arial" w:cs="Arial"/>
                      <w:sz w:val="24"/>
                      <w:szCs w:val="24"/>
                    </w:rPr>
                  </w:pPr>
                  <w:r w:rsidRPr="007A69B1">
                    <w:rPr>
                      <w:rFonts w:ascii="Arial" w:hAnsi="Arial" w:cs="Arial"/>
                      <w:sz w:val="24"/>
                      <w:szCs w:val="24"/>
                    </w:rPr>
                    <w:t>5%</w:t>
                  </w:r>
                </w:p>
              </w:tc>
              <w:tc>
                <w:tcPr>
                  <w:tcW w:w="1256" w:type="dxa"/>
                  <w:shd w:val="clear" w:color="auto" w:fill="D9D9D9" w:themeFill="background1" w:themeFillShade="D9"/>
                </w:tcPr>
                <w:p w14:paraId="511E83DE" w14:textId="77777777" w:rsidR="00DA0202" w:rsidRPr="00714D13" w:rsidRDefault="00DA0202" w:rsidP="00DA0202">
                  <w:pPr>
                    <w:spacing w:after="0"/>
                    <w:jc w:val="center"/>
                    <w:rPr>
                      <w:rFonts w:ascii="Arial" w:hAnsi="Arial" w:cs="Arial"/>
                      <w:sz w:val="24"/>
                      <w:szCs w:val="24"/>
                    </w:rPr>
                  </w:pPr>
                  <w:r w:rsidRPr="00714D13">
                    <w:rPr>
                      <w:rFonts w:ascii="Arial" w:hAnsi="Arial" w:cs="Arial"/>
                      <w:sz w:val="24"/>
                      <w:szCs w:val="24"/>
                    </w:rPr>
                    <w:t>3</w:t>
                  </w:r>
                </w:p>
              </w:tc>
              <w:tc>
                <w:tcPr>
                  <w:tcW w:w="1538" w:type="dxa"/>
                  <w:shd w:val="clear" w:color="auto" w:fill="D9D9D9" w:themeFill="background1" w:themeFillShade="D9"/>
                </w:tcPr>
                <w:p w14:paraId="1AB5C4B3" w14:textId="77777777" w:rsidR="00DA0202" w:rsidRPr="004923E2" w:rsidRDefault="00DA0202" w:rsidP="00DA0202">
                  <w:pPr>
                    <w:spacing w:after="0"/>
                    <w:jc w:val="center"/>
                    <w:rPr>
                      <w:rFonts w:ascii="Arial" w:hAnsi="Arial" w:cs="Arial"/>
                      <w:sz w:val="24"/>
                      <w:szCs w:val="24"/>
                    </w:rPr>
                  </w:pPr>
                  <w:r w:rsidRPr="004923E2">
                    <w:rPr>
                      <w:rFonts w:ascii="Arial" w:hAnsi="Arial" w:cs="Arial"/>
                      <w:sz w:val="24"/>
                      <w:szCs w:val="24"/>
                    </w:rPr>
                    <w:t>9%</w:t>
                  </w:r>
                </w:p>
              </w:tc>
            </w:tr>
            <w:tr w:rsidR="00DA0202" w:rsidRPr="008D5490" w14:paraId="66CAA2EB" w14:textId="77777777" w:rsidTr="006427B2">
              <w:tc>
                <w:tcPr>
                  <w:tcW w:w="2029" w:type="dxa"/>
                  <w:shd w:val="clear" w:color="auto" w:fill="auto"/>
                </w:tcPr>
                <w:p w14:paraId="40964CD3" w14:textId="77777777" w:rsidR="00DA0202" w:rsidRPr="007A69B1" w:rsidRDefault="00DA0202" w:rsidP="00DA0202">
                  <w:pPr>
                    <w:spacing w:after="0"/>
                    <w:jc w:val="both"/>
                    <w:rPr>
                      <w:rFonts w:ascii="Arial" w:hAnsi="Arial" w:cs="Arial"/>
                      <w:sz w:val="24"/>
                      <w:szCs w:val="24"/>
                    </w:rPr>
                  </w:pPr>
                  <w:r w:rsidRPr="007A69B1">
                    <w:rPr>
                      <w:rFonts w:ascii="Arial" w:hAnsi="Arial" w:cs="Arial"/>
                      <w:sz w:val="24"/>
                      <w:szCs w:val="24"/>
                    </w:rPr>
                    <w:t>Business</w:t>
                  </w:r>
                </w:p>
              </w:tc>
              <w:tc>
                <w:tcPr>
                  <w:tcW w:w="1701" w:type="dxa"/>
                  <w:shd w:val="clear" w:color="auto" w:fill="auto"/>
                </w:tcPr>
                <w:p w14:paraId="610E0834" w14:textId="77777777" w:rsidR="00DA0202" w:rsidRPr="007A69B1" w:rsidRDefault="00DA0202" w:rsidP="00DA0202">
                  <w:pPr>
                    <w:spacing w:after="0"/>
                    <w:jc w:val="center"/>
                    <w:rPr>
                      <w:rFonts w:ascii="Arial" w:hAnsi="Arial" w:cs="Arial"/>
                      <w:sz w:val="24"/>
                      <w:szCs w:val="24"/>
                    </w:rPr>
                  </w:pPr>
                  <w:r w:rsidRPr="007A69B1">
                    <w:rPr>
                      <w:rFonts w:ascii="Arial" w:hAnsi="Arial" w:cs="Arial"/>
                      <w:sz w:val="24"/>
                      <w:szCs w:val="24"/>
                    </w:rPr>
                    <w:t>17</w:t>
                  </w:r>
                </w:p>
              </w:tc>
              <w:tc>
                <w:tcPr>
                  <w:tcW w:w="1760" w:type="dxa"/>
                  <w:shd w:val="clear" w:color="auto" w:fill="auto"/>
                </w:tcPr>
                <w:p w14:paraId="725D8CA7" w14:textId="77777777" w:rsidR="00DA0202" w:rsidRPr="007A69B1" w:rsidRDefault="00DA0202" w:rsidP="00DA0202">
                  <w:pPr>
                    <w:spacing w:after="0"/>
                    <w:jc w:val="center"/>
                    <w:rPr>
                      <w:rFonts w:ascii="Arial" w:hAnsi="Arial" w:cs="Arial"/>
                      <w:sz w:val="24"/>
                      <w:szCs w:val="24"/>
                    </w:rPr>
                  </w:pPr>
                  <w:r w:rsidRPr="007A69B1">
                    <w:rPr>
                      <w:rFonts w:ascii="Arial" w:hAnsi="Arial" w:cs="Arial"/>
                      <w:sz w:val="24"/>
                      <w:szCs w:val="24"/>
                    </w:rPr>
                    <w:t>27%</w:t>
                  </w:r>
                </w:p>
              </w:tc>
              <w:tc>
                <w:tcPr>
                  <w:tcW w:w="1256" w:type="dxa"/>
                  <w:shd w:val="clear" w:color="auto" w:fill="auto"/>
                </w:tcPr>
                <w:p w14:paraId="09E9D3BD" w14:textId="77777777" w:rsidR="00DA0202" w:rsidRPr="00714D13" w:rsidRDefault="00DA0202" w:rsidP="00DA0202">
                  <w:pPr>
                    <w:spacing w:after="0"/>
                    <w:jc w:val="center"/>
                    <w:rPr>
                      <w:rFonts w:ascii="Arial" w:hAnsi="Arial" w:cs="Arial"/>
                      <w:sz w:val="24"/>
                      <w:szCs w:val="24"/>
                    </w:rPr>
                  </w:pPr>
                  <w:r>
                    <w:rPr>
                      <w:rFonts w:ascii="Arial" w:hAnsi="Arial" w:cs="Arial"/>
                      <w:sz w:val="24"/>
                      <w:szCs w:val="24"/>
                    </w:rPr>
                    <w:t>5</w:t>
                  </w:r>
                </w:p>
              </w:tc>
              <w:tc>
                <w:tcPr>
                  <w:tcW w:w="1538" w:type="dxa"/>
                  <w:shd w:val="clear" w:color="auto" w:fill="auto"/>
                </w:tcPr>
                <w:p w14:paraId="6A6CB0E1" w14:textId="77777777" w:rsidR="00DA0202" w:rsidRPr="004923E2" w:rsidRDefault="00DA0202" w:rsidP="00DA0202">
                  <w:pPr>
                    <w:spacing w:after="0"/>
                    <w:jc w:val="center"/>
                    <w:rPr>
                      <w:rFonts w:ascii="Arial" w:hAnsi="Arial" w:cs="Arial"/>
                      <w:sz w:val="24"/>
                      <w:szCs w:val="24"/>
                    </w:rPr>
                  </w:pPr>
                  <w:r w:rsidRPr="004923E2">
                    <w:rPr>
                      <w:rFonts w:ascii="Arial" w:hAnsi="Arial" w:cs="Arial"/>
                      <w:sz w:val="24"/>
                      <w:szCs w:val="24"/>
                    </w:rPr>
                    <w:t>13%</w:t>
                  </w:r>
                </w:p>
              </w:tc>
            </w:tr>
            <w:tr w:rsidR="00DA0202" w:rsidRPr="008D5490" w14:paraId="73D7F46E" w14:textId="77777777" w:rsidTr="006427B2">
              <w:tc>
                <w:tcPr>
                  <w:tcW w:w="2029" w:type="dxa"/>
                  <w:shd w:val="clear" w:color="auto" w:fill="D9D9D9" w:themeFill="background1" w:themeFillShade="D9"/>
                </w:tcPr>
                <w:p w14:paraId="06D902E4" w14:textId="77777777" w:rsidR="00DA0202" w:rsidRPr="007A69B1" w:rsidRDefault="00DA0202" w:rsidP="00DA0202">
                  <w:pPr>
                    <w:spacing w:after="0"/>
                    <w:jc w:val="both"/>
                    <w:rPr>
                      <w:rFonts w:ascii="Arial" w:hAnsi="Arial" w:cs="Arial"/>
                      <w:sz w:val="24"/>
                      <w:szCs w:val="24"/>
                    </w:rPr>
                  </w:pPr>
                  <w:r w:rsidRPr="007A69B1">
                    <w:rPr>
                      <w:rFonts w:ascii="Arial" w:hAnsi="Arial" w:cs="Arial"/>
                      <w:sz w:val="24"/>
                      <w:szCs w:val="24"/>
                    </w:rPr>
                    <w:t>Charities</w:t>
                  </w:r>
                </w:p>
              </w:tc>
              <w:tc>
                <w:tcPr>
                  <w:tcW w:w="1701" w:type="dxa"/>
                  <w:shd w:val="clear" w:color="auto" w:fill="D9D9D9" w:themeFill="background1" w:themeFillShade="D9"/>
                </w:tcPr>
                <w:p w14:paraId="4E509F6C" w14:textId="77777777" w:rsidR="00DA0202" w:rsidRPr="007A69B1" w:rsidRDefault="00DA0202" w:rsidP="00DA0202">
                  <w:pPr>
                    <w:spacing w:after="0"/>
                    <w:jc w:val="center"/>
                    <w:rPr>
                      <w:rFonts w:ascii="Arial" w:hAnsi="Arial" w:cs="Arial"/>
                      <w:sz w:val="24"/>
                      <w:szCs w:val="24"/>
                    </w:rPr>
                  </w:pPr>
                  <w:r w:rsidRPr="007A69B1">
                    <w:rPr>
                      <w:rFonts w:ascii="Arial" w:hAnsi="Arial" w:cs="Arial"/>
                      <w:sz w:val="24"/>
                      <w:szCs w:val="24"/>
                    </w:rPr>
                    <w:t>3</w:t>
                  </w:r>
                </w:p>
              </w:tc>
              <w:tc>
                <w:tcPr>
                  <w:tcW w:w="1760" w:type="dxa"/>
                  <w:shd w:val="clear" w:color="auto" w:fill="D9D9D9" w:themeFill="background1" w:themeFillShade="D9"/>
                </w:tcPr>
                <w:p w14:paraId="0600CDBA" w14:textId="77777777" w:rsidR="00DA0202" w:rsidRPr="007A69B1" w:rsidRDefault="00DA0202" w:rsidP="00DA0202">
                  <w:pPr>
                    <w:spacing w:after="0"/>
                    <w:jc w:val="center"/>
                    <w:rPr>
                      <w:rFonts w:ascii="Arial" w:hAnsi="Arial" w:cs="Arial"/>
                      <w:sz w:val="24"/>
                      <w:szCs w:val="24"/>
                    </w:rPr>
                  </w:pPr>
                  <w:r w:rsidRPr="007A69B1">
                    <w:rPr>
                      <w:rFonts w:ascii="Arial" w:hAnsi="Arial" w:cs="Arial"/>
                      <w:sz w:val="24"/>
                      <w:szCs w:val="24"/>
                    </w:rPr>
                    <w:t>5%</w:t>
                  </w:r>
                </w:p>
              </w:tc>
              <w:tc>
                <w:tcPr>
                  <w:tcW w:w="1256" w:type="dxa"/>
                  <w:shd w:val="clear" w:color="auto" w:fill="D9D9D9" w:themeFill="background1" w:themeFillShade="D9"/>
                </w:tcPr>
                <w:p w14:paraId="67E103BA" w14:textId="77777777" w:rsidR="00DA0202" w:rsidRPr="00714D13" w:rsidRDefault="00DA0202" w:rsidP="00DA0202">
                  <w:pPr>
                    <w:spacing w:after="0"/>
                    <w:jc w:val="center"/>
                    <w:rPr>
                      <w:rFonts w:ascii="Arial" w:hAnsi="Arial" w:cs="Arial"/>
                      <w:sz w:val="24"/>
                      <w:szCs w:val="24"/>
                    </w:rPr>
                  </w:pPr>
                  <w:r w:rsidRPr="00714D13">
                    <w:rPr>
                      <w:rFonts w:ascii="Arial" w:hAnsi="Arial" w:cs="Arial"/>
                      <w:sz w:val="24"/>
                      <w:szCs w:val="24"/>
                    </w:rPr>
                    <w:t>3</w:t>
                  </w:r>
                </w:p>
              </w:tc>
              <w:tc>
                <w:tcPr>
                  <w:tcW w:w="1538" w:type="dxa"/>
                  <w:shd w:val="clear" w:color="auto" w:fill="D9D9D9" w:themeFill="background1" w:themeFillShade="D9"/>
                </w:tcPr>
                <w:p w14:paraId="3E58E863" w14:textId="77777777" w:rsidR="00DA0202" w:rsidRPr="004923E2" w:rsidRDefault="00DA0202" w:rsidP="00DA0202">
                  <w:pPr>
                    <w:spacing w:after="0"/>
                    <w:jc w:val="center"/>
                    <w:rPr>
                      <w:rFonts w:ascii="Arial" w:hAnsi="Arial" w:cs="Arial"/>
                      <w:sz w:val="24"/>
                      <w:szCs w:val="24"/>
                    </w:rPr>
                  </w:pPr>
                  <w:r w:rsidRPr="004923E2">
                    <w:rPr>
                      <w:rFonts w:ascii="Arial" w:hAnsi="Arial" w:cs="Arial"/>
                      <w:sz w:val="24"/>
                      <w:szCs w:val="24"/>
                    </w:rPr>
                    <w:t>9%</w:t>
                  </w:r>
                </w:p>
              </w:tc>
            </w:tr>
            <w:tr w:rsidR="00DA0202" w:rsidRPr="008D5490" w14:paraId="3F42ABC8" w14:textId="77777777" w:rsidTr="006427B2">
              <w:tc>
                <w:tcPr>
                  <w:tcW w:w="2029" w:type="dxa"/>
                  <w:shd w:val="clear" w:color="auto" w:fill="auto"/>
                </w:tcPr>
                <w:p w14:paraId="3EC91154" w14:textId="77777777" w:rsidR="00DA0202" w:rsidRPr="007A69B1" w:rsidRDefault="00DA0202" w:rsidP="00DA0202">
                  <w:pPr>
                    <w:spacing w:after="0"/>
                    <w:jc w:val="both"/>
                    <w:rPr>
                      <w:rFonts w:ascii="Arial" w:hAnsi="Arial" w:cs="Arial"/>
                      <w:sz w:val="24"/>
                      <w:szCs w:val="24"/>
                    </w:rPr>
                  </w:pPr>
                  <w:r w:rsidRPr="007A69B1">
                    <w:rPr>
                      <w:rFonts w:ascii="Arial" w:hAnsi="Arial" w:cs="Arial"/>
                      <w:sz w:val="24"/>
                      <w:szCs w:val="24"/>
                    </w:rPr>
                    <w:t>Politi</w:t>
                  </w:r>
                  <w:r>
                    <w:rPr>
                      <w:rFonts w:ascii="Arial" w:hAnsi="Arial" w:cs="Arial"/>
                      <w:sz w:val="24"/>
                      <w:szCs w:val="24"/>
                    </w:rPr>
                    <w:t>cians</w:t>
                  </w:r>
                </w:p>
              </w:tc>
              <w:tc>
                <w:tcPr>
                  <w:tcW w:w="1701" w:type="dxa"/>
                  <w:shd w:val="clear" w:color="auto" w:fill="auto"/>
                </w:tcPr>
                <w:p w14:paraId="42AA969C" w14:textId="77777777" w:rsidR="00DA0202" w:rsidRPr="007A69B1" w:rsidRDefault="00DA0202" w:rsidP="00DA0202">
                  <w:pPr>
                    <w:spacing w:after="0"/>
                    <w:jc w:val="center"/>
                    <w:rPr>
                      <w:rFonts w:ascii="Arial" w:hAnsi="Arial" w:cs="Arial"/>
                      <w:sz w:val="24"/>
                      <w:szCs w:val="24"/>
                    </w:rPr>
                  </w:pPr>
                  <w:r w:rsidRPr="007A69B1">
                    <w:rPr>
                      <w:rFonts w:ascii="Arial" w:hAnsi="Arial" w:cs="Arial"/>
                      <w:sz w:val="24"/>
                      <w:szCs w:val="24"/>
                    </w:rPr>
                    <w:t>1</w:t>
                  </w:r>
                </w:p>
              </w:tc>
              <w:tc>
                <w:tcPr>
                  <w:tcW w:w="1760" w:type="dxa"/>
                  <w:shd w:val="clear" w:color="auto" w:fill="auto"/>
                </w:tcPr>
                <w:p w14:paraId="2560C95F" w14:textId="77777777" w:rsidR="00DA0202" w:rsidRPr="007A69B1" w:rsidRDefault="00DA0202" w:rsidP="00DA0202">
                  <w:pPr>
                    <w:spacing w:after="0"/>
                    <w:jc w:val="center"/>
                    <w:rPr>
                      <w:rFonts w:ascii="Arial" w:hAnsi="Arial" w:cs="Arial"/>
                      <w:sz w:val="24"/>
                      <w:szCs w:val="24"/>
                    </w:rPr>
                  </w:pPr>
                  <w:r w:rsidRPr="007A69B1">
                    <w:rPr>
                      <w:rFonts w:ascii="Arial" w:hAnsi="Arial" w:cs="Arial"/>
                      <w:sz w:val="24"/>
                      <w:szCs w:val="24"/>
                    </w:rPr>
                    <w:t>1%</w:t>
                  </w:r>
                </w:p>
              </w:tc>
              <w:tc>
                <w:tcPr>
                  <w:tcW w:w="1256" w:type="dxa"/>
                  <w:shd w:val="clear" w:color="auto" w:fill="auto"/>
                </w:tcPr>
                <w:p w14:paraId="0D1A0E2B" w14:textId="77777777" w:rsidR="00DA0202" w:rsidRPr="00714D13" w:rsidRDefault="00DA0202" w:rsidP="00DA0202">
                  <w:pPr>
                    <w:spacing w:after="0"/>
                    <w:jc w:val="center"/>
                    <w:rPr>
                      <w:rFonts w:ascii="Arial" w:hAnsi="Arial" w:cs="Arial"/>
                      <w:sz w:val="24"/>
                      <w:szCs w:val="24"/>
                    </w:rPr>
                  </w:pPr>
                  <w:r w:rsidRPr="00714D13">
                    <w:rPr>
                      <w:rFonts w:ascii="Arial" w:hAnsi="Arial" w:cs="Arial"/>
                      <w:sz w:val="24"/>
                      <w:szCs w:val="24"/>
                    </w:rPr>
                    <w:t>2</w:t>
                  </w:r>
                </w:p>
              </w:tc>
              <w:tc>
                <w:tcPr>
                  <w:tcW w:w="1538" w:type="dxa"/>
                  <w:shd w:val="clear" w:color="auto" w:fill="auto"/>
                </w:tcPr>
                <w:p w14:paraId="3B9E3421" w14:textId="77777777" w:rsidR="00DA0202" w:rsidRPr="004923E2" w:rsidRDefault="00DA0202" w:rsidP="00DA0202">
                  <w:pPr>
                    <w:spacing w:after="0"/>
                    <w:jc w:val="center"/>
                    <w:rPr>
                      <w:rFonts w:ascii="Arial" w:hAnsi="Arial" w:cs="Arial"/>
                      <w:sz w:val="24"/>
                      <w:szCs w:val="24"/>
                    </w:rPr>
                  </w:pPr>
                  <w:r w:rsidRPr="004923E2">
                    <w:rPr>
                      <w:rFonts w:ascii="Arial" w:hAnsi="Arial" w:cs="Arial"/>
                      <w:sz w:val="24"/>
                      <w:szCs w:val="24"/>
                    </w:rPr>
                    <w:t>6%</w:t>
                  </w:r>
                </w:p>
              </w:tc>
            </w:tr>
            <w:tr w:rsidR="00DA0202" w:rsidRPr="008D5490" w14:paraId="5E423BE2" w14:textId="77777777" w:rsidTr="006427B2">
              <w:tc>
                <w:tcPr>
                  <w:tcW w:w="2029" w:type="dxa"/>
                  <w:shd w:val="clear" w:color="auto" w:fill="D9D9D9" w:themeFill="background1" w:themeFillShade="D9"/>
                </w:tcPr>
                <w:p w14:paraId="7BC4F0AB" w14:textId="77777777" w:rsidR="00DA0202" w:rsidRPr="007A69B1" w:rsidRDefault="00DA0202" w:rsidP="00DA0202">
                  <w:pPr>
                    <w:spacing w:after="0"/>
                    <w:jc w:val="both"/>
                    <w:rPr>
                      <w:rFonts w:ascii="Arial" w:hAnsi="Arial" w:cs="Arial"/>
                      <w:sz w:val="24"/>
                      <w:szCs w:val="24"/>
                    </w:rPr>
                  </w:pPr>
                  <w:r w:rsidRPr="007A69B1">
                    <w:rPr>
                      <w:rFonts w:ascii="Arial" w:hAnsi="Arial" w:cs="Arial"/>
                      <w:sz w:val="24"/>
                      <w:szCs w:val="24"/>
                    </w:rPr>
                    <w:t>Students</w:t>
                  </w:r>
                </w:p>
              </w:tc>
              <w:tc>
                <w:tcPr>
                  <w:tcW w:w="1701" w:type="dxa"/>
                  <w:shd w:val="clear" w:color="auto" w:fill="D9D9D9" w:themeFill="background1" w:themeFillShade="D9"/>
                </w:tcPr>
                <w:p w14:paraId="4D51C83B" w14:textId="77777777" w:rsidR="00DA0202" w:rsidRPr="007A69B1" w:rsidRDefault="00DA0202" w:rsidP="00DA0202">
                  <w:pPr>
                    <w:spacing w:after="0"/>
                    <w:jc w:val="center"/>
                    <w:rPr>
                      <w:rFonts w:ascii="Arial" w:hAnsi="Arial" w:cs="Arial"/>
                      <w:sz w:val="24"/>
                      <w:szCs w:val="24"/>
                    </w:rPr>
                  </w:pPr>
                  <w:r w:rsidRPr="007A69B1">
                    <w:rPr>
                      <w:rFonts w:ascii="Arial" w:hAnsi="Arial" w:cs="Arial"/>
                      <w:sz w:val="24"/>
                      <w:szCs w:val="24"/>
                    </w:rPr>
                    <w:t>2</w:t>
                  </w:r>
                </w:p>
              </w:tc>
              <w:tc>
                <w:tcPr>
                  <w:tcW w:w="1760" w:type="dxa"/>
                  <w:shd w:val="clear" w:color="auto" w:fill="D9D9D9" w:themeFill="background1" w:themeFillShade="D9"/>
                </w:tcPr>
                <w:p w14:paraId="557B5FDE" w14:textId="77777777" w:rsidR="00DA0202" w:rsidRPr="007A69B1" w:rsidRDefault="00DA0202" w:rsidP="00DA0202">
                  <w:pPr>
                    <w:spacing w:after="0"/>
                    <w:jc w:val="center"/>
                    <w:rPr>
                      <w:rFonts w:ascii="Arial" w:hAnsi="Arial" w:cs="Arial"/>
                      <w:sz w:val="24"/>
                      <w:szCs w:val="24"/>
                    </w:rPr>
                  </w:pPr>
                  <w:r w:rsidRPr="007A69B1">
                    <w:rPr>
                      <w:rFonts w:ascii="Arial" w:hAnsi="Arial" w:cs="Arial"/>
                      <w:sz w:val="24"/>
                      <w:szCs w:val="24"/>
                    </w:rPr>
                    <w:t>3%</w:t>
                  </w:r>
                </w:p>
              </w:tc>
              <w:tc>
                <w:tcPr>
                  <w:tcW w:w="1256" w:type="dxa"/>
                  <w:shd w:val="clear" w:color="auto" w:fill="D9D9D9" w:themeFill="background1" w:themeFillShade="D9"/>
                </w:tcPr>
                <w:p w14:paraId="791998B8" w14:textId="77777777" w:rsidR="00DA0202" w:rsidRPr="00714D13" w:rsidRDefault="00DA0202" w:rsidP="00DA0202">
                  <w:pPr>
                    <w:spacing w:after="0"/>
                    <w:jc w:val="center"/>
                    <w:rPr>
                      <w:rFonts w:ascii="Arial" w:hAnsi="Arial" w:cs="Arial"/>
                      <w:sz w:val="24"/>
                      <w:szCs w:val="24"/>
                    </w:rPr>
                  </w:pPr>
                  <w:r w:rsidRPr="00714D13">
                    <w:rPr>
                      <w:rFonts w:ascii="Arial" w:hAnsi="Arial" w:cs="Arial"/>
                      <w:sz w:val="24"/>
                      <w:szCs w:val="24"/>
                    </w:rPr>
                    <w:t>1</w:t>
                  </w:r>
                </w:p>
              </w:tc>
              <w:tc>
                <w:tcPr>
                  <w:tcW w:w="1538" w:type="dxa"/>
                  <w:shd w:val="clear" w:color="auto" w:fill="D9D9D9" w:themeFill="background1" w:themeFillShade="D9"/>
                </w:tcPr>
                <w:p w14:paraId="6604B936" w14:textId="77777777" w:rsidR="00DA0202" w:rsidRPr="004923E2" w:rsidRDefault="00DA0202" w:rsidP="00DA0202">
                  <w:pPr>
                    <w:spacing w:after="0"/>
                    <w:jc w:val="center"/>
                    <w:rPr>
                      <w:rFonts w:ascii="Arial" w:hAnsi="Arial" w:cs="Arial"/>
                      <w:sz w:val="24"/>
                      <w:szCs w:val="24"/>
                    </w:rPr>
                  </w:pPr>
                  <w:r w:rsidRPr="004923E2">
                    <w:rPr>
                      <w:rFonts w:ascii="Arial" w:hAnsi="Arial" w:cs="Arial"/>
                      <w:sz w:val="24"/>
                      <w:szCs w:val="24"/>
                    </w:rPr>
                    <w:t>3%</w:t>
                  </w:r>
                </w:p>
              </w:tc>
            </w:tr>
            <w:tr w:rsidR="00DA0202" w:rsidRPr="008D5490" w14:paraId="577F85D8" w14:textId="77777777" w:rsidTr="006427B2">
              <w:tc>
                <w:tcPr>
                  <w:tcW w:w="2029" w:type="dxa"/>
                  <w:shd w:val="clear" w:color="auto" w:fill="auto"/>
                </w:tcPr>
                <w:p w14:paraId="2E004331" w14:textId="77777777" w:rsidR="00DA0202" w:rsidRPr="007A69B1" w:rsidRDefault="00DA0202" w:rsidP="00DA0202">
                  <w:pPr>
                    <w:spacing w:after="0"/>
                    <w:jc w:val="both"/>
                    <w:rPr>
                      <w:rFonts w:ascii="Arial" w:hAnsi="Arial" w:cs="Arial"/>
                      <w:sz w:val="24"/>
                      <w:szCs w:val="24"/>
                    </w:rPr>
                  </w:pPr>
                  <w:r w:rsidRPr="007A69B1">
                    <w:rPr>
                      <w:rFonts w:ascii="Arial" w:hAnsi="Arial" w:cs="Arial"/>
                      <w:sz w:val="24"/>
                      <w:szCs w:val="24"/>
                    </w:rPr>
                    <w:t>Other</w:t>
                  </w:r>
                </w:p>
              </w:tc>
              <w:tc>
                <w:tcPr>
                  <w:tcW w:w="1701" w:type="dxa"/>
                  <w:shd w:val="clear" w:color="auto" w:fill="auto"/>
                </w:tcPr>
                <w:p w14:paraId="5B1E6C77" w14:textId="77777777" w:rsidR="00DA0202" w:rsidRPr="007A69B1" w:rsidRDefault="00DA0202" w:rsidP="00DA0202">
                  <w:pPr>
                    <w:spacing w:after="0"/>
                    <w:jc w:val="center"/>
                    <w:rPr>
                      <w:rFonts w:ascii="Arial" w:hAnsi="Arial" w:cs="Arial"/>
                      <w:sz w:val="24"/>
                      <w:szCs w:val="24"/>
                    </w:rPr>
                  </w:pPr>
                  <w:r w:rsidRPr="007A69B1">
                    <w:rPr>
                      <w:rFonts w:ascii="Arial" w:hAnsi="Arial" w:cs="Arial"/>
                      <w:sz w:val="24"/>
                      <w:szCs w:val="24"/>
                    </w:rPr>
                    <w:t>2</w:t>
                  </w:r>
                </w:p>
              </w:tc>
              <w:tc>
                <w:tcPr>
                  <w:tcW w:w="1760" w:type="dxa"/>
                  <w:shd w:val="clear" w:color="auto" w:fill="auto"/>
                </w:tcPr>
                <w:p w14:paraId="3933FDE1" w14:textId="77777777" w:rsidR="00DA0202" w:rsidRPr="007A69B1" w:rsidRDefault="00DA0202" w:rsidP="00DA0202">
                  <w:pPr>
                    <w:spacing w:after="0"/>
                    <w:jc w:val="center"/>
                    <w:rPr>
                      <w:rFonts w:ascii="Arial" w:hAnsi="Arial" w:cs="Arial"/>
                      <w:sz w:val="24"/>
                      <w:szCs w:val="24"/>
                    </w:rPr>
                  </w:pPr>
                  <w:r w:rsidRPr="007A69B1">
                    <w:rPr>
                      <w:rFonts w:ascii="Arial" w:hAnsi="Arial" w:cs="Arial"/>
                      <w:sz w:val="24"/>
                      <w:szCs w:val="24"/>
                    </w:rPr>
                    <w:t>3%</w:t>
                  </w:r>
                </w:p>
              </w:tc>
              <w:tc>
                <w:tcPr>
                  <w:tcW w:w="1256" w:type="dxa"/>
                  <w:shd w:val="clear" w:color="auto" w:fill="auto"/>
                </w:tcPr>
                <w:p w14:paraId="1A9F62C1" w14:textId="77777777" w:rsidR="00DA0202" w:rsidRPr="00714D13" w:rsidRDefault="00DA0202" w:rsidP="00DA0202">
                  <w:pPr>
                    <w:spacing w:after="0"/>
                    <w:jc w:val="center"/>
                    <w:rPr>
                      <w:rFonts w:ascii="Arial" w:hAnsi="Arial" w:cs="Arial"/>
                      <w:sz w:val="24"/>
                      <w:szCs w:val="24"/>
                    </w:rPr>
                  </w:pPr>
                  <w:r w:rsidRPr="00714D13">
                    <w:rPr>
                      <w:rFonts w:ascii="Arial" w:hAnsi="Arial" w:cs="Arial"/>
                      <w:sz w:val="24"/>
                      <w:szCs w:val="24"/>
                    </w:rPr>
                    <w:t>-</w:t>
                  </w:r>
                </w:p>
              </w:tc>
              <w:tc>
                <w:tcPr>
                  <w:tcW w:w="1538" w:type="dxa"/>
                  <w:shd w:val="clear" w:color="auto" w:fill="auto"/>
                </w:tcPr>
                <w:p w14:paraId="6F9C3A8F" w14:textId="77777777" w:rsidR="00DA0202" w:rsidRPr="004923E2" w:rsidRDefault="00DA0202" w:rsidP="00DA0202">
                  <w:pPr>
                    <w:spacing w:after="0"/>
                    <w:jc w:val="center"/>
                    <w:rPr>
                      <w:rFonts w:ascii="Arial" w:hAnsi="Arial" w:cs="Arial"/>
                      <w:sz w:val="24"/>
                      <w:szCs w:val="24"/>
                    </w:rPr>
                  </w:pPr>
                  <w:r w:rsidRPr="004923E2">
                    <w:rPr>
                      <w:rFonts w:ascii="Arial" w:hAnsi="Arial" w:cs="Arial"/>
                      <w:sz w:val="24"/>
                      <w:szCs w:val="24"/>
                    </w:rPr>
                    <w:t>-</w:t>
                  </w:r>
                </w:p>
              </w:tc>
            </w:tr>
          </w:tbl>
          <w:p w14:paraId="523EA016" w14:textId="77777777" w:rsidR="00DA0202" w:rsidRPr="008D5490" w:rsidRDefault="00DA0202" w:rsidP="00DA0202">
            <w:pPr>
              <w:spacing w:after="0"/>
              <w:jc w:val="both"/>
              <w:rPr>
                <w:rFonts w:ascii="Arial" w:hAnsi="Arial" w:cs="Arial"/>
                <w:sz w:val="24"/>
                <w:szCs w:val="24"/>
                <w:highlight w:val="yellow"/>
              </w:rPr>
            </w:pPr>
          </w:p>
          <w:p w14:paraId="4790460E" w14:textId="77777777" w:rsidR="00DA0202" w:rsidRPr="004923E2" w:rsidRDefault="00DA0202" w:rsidP="00DA0202">
            <w:pPr>
              <w:spacing w:after="0"/>
              <w:jc w:val="both"/>
              <w:rPr>
                <w:rFonts w:ascii="Arial" w:hAnsi="Arial" w:cs="Arial"/>
                <w:sz w:val="24"/>
                <w:szCs w:val="24"/>
              </w:rPr>
            </w:pPr>
            <w:r w:rsidRPr="004923E2">
              <w:rPr>
                <w:rFonts w:ascii="Arial" w:hAnsi="Arial" w:cs="Arial"/>
                <w:sz w:val="24"/>
                <w:szCs w:val="24"/>
              </w:rPr>
              <w:t xml:space="preserve">The above table shows that most FOIA requests were submitted by the general public although it is possible that those submitting requests did not identify themselves to the OPCC as falling within another category. </w:t>
            </w:r>
          </w:p>
          <w:p w14:paraId="04DC6DAB" w14:textId="77777777" w:rsidR="00DA0202" w:rsidRPr="008D5490" w:rsidRDefault="00DA0202" w:rsidP="00DA0202">
            <w:pPr>
              <w:spacing w:after="0"/>
              <w:jc w:val="both"/>
              <w:rPr>
                <w:rFonts w:ascii="Arial" w:hAnsi="Arial" w:cs="Arial"/>
                <w:sz w:val="24"/>
                <w:szCs w:val="24"/>
                <w:highlight w:val="yellow"/>
              </w:rPr>
            </w:pPr>
          </w:p>
          <w:p w14:paraId="762DCFEA" w14:textId="77777777" w:rsidR="00DA0202" w:rsidRPr="005D2911" w:rsidRDefault="00DA0202" w:rsidP="00DA0202">
            <w:pPr>
              <w:spacing w:after="0"/>
              <w:jc w:val="both"/>
              <w:rPr>
                <w:rFonts w:ascii="Arial" w:hAnsi="Arial" w:cs="Arial"/>
                <w:sz w:val="24"/>
                <w:szCs w:val="24"/>
                <w:u w:val="single"/>
              </w:rPr>
            </w:pPr>
            <w:r w:rsidRPr="005D2911">
              <w:rPr>
                <w:rFonts w:ascii="Arial" w:hAnsi="Arial" w:cs="Arial"/>
                <w:sz w:val="24"/>
                <w:szCs w:val="24"/>
                <w:u w:val="single"/>
              </w:rPr>
              <w:t>Requests per Work Stream</w:t>
            </w:r>
          </w:p>
          <w:p w14:paraId="7886FFD8" w14:textId="2DA7171F" w:rsidR="00DA0202" w:rsidRPr="005D2911" w:rsidRDefault="00DA0202" w:rsidP="00DA0202">
            <w:pPr>
              <w:spacing w:after="0"/>
              <w:jc w:val="both"/>
              <w:rPr>
                <w:rFonts w:ascii="Arial" w:hAnsi="Arial" w:cs="Arial"/>
                <w:sz w:val="24"/>
                <w:szCs w:val="24"/>
              </w:rPr>
            </w:pPr>
            <w:r w:rsidRPr="005D2911">
              <w:rPr>
                <w:rFonts w:ascii="Arial" w:hAnsi="Arial" w:cs="Arial"/>
                <w:sz w:val="24"/>
                <w:szCs w:val="26"/>
              </w:rPr>
              <w:t xml:space="preserve">In 2022/23, the ‘Other’ category showed the highest number of requests which was consistent with 2021/22 and 2020/21.  ‘Other’ covers singular requests, for example where only one request of that nature has been received and also </w:t>
            </w:r>
            <w:r w:rsidRPr="005D2911">
              <w:rPr>
                <w:rFonts w:ascii="Arial" w:hAnsi="Arial" w:cs="Arial"/>
                <w:sz w:val="24"/>
                <w:szCs w:val="26"/>
              </w:rPr>
              <w:lastRenderedPageBreak/>
              <w:t>covers those requests where the information requested was operational and therefore held by Gwent Police.  Finance and queries relating to OPCC staffing and costs continues to be one of the most popular workstreams with similar requests submitted year on year despite the majority of this information being freely available on the OPCC website.  However</w:t>
            </w:r>
            <w:r>
              <w:rPr>
                <w:rFonts w:ascii="Arial" w:hAnsi="Arial" w:cs="Arial"/>
                <w:sz w:val="24"/>
                <w:szCs w:val="26"/>
              </w:rPr>
              <w:t>,</w:t>
            </w:r>
            <w:r w:rsidRPr="005D2911">
              <w:rPr>
                <w:rFonts w:ascii="Arial" w:hAnsi="Arial" w:cs="Arial"/>
                <w:sz w:val="24"/>
                <w:szCs w:val="26"/>
              </w:rPr>
              <w:t xml:space="preserve"> in 2022/23, we received requests </w:t>
            </w:r>
            <w:r>
              <w:rPr>
                <w:rFonts w:ascii="Arial" w:hAnsi="Arial" w:cs="Arial"/>
                <w:sz w:val="24"/>
                <w:szCs w:val="26"/>
              </w:rPr>
              <w:t xml:space="preserve">for the first time </w:t>
            </w:r>
            <w:r w:rsidRPr="005D2911">
              <w:rPr>
                <w:rFonts w:ascii="Arial" w:hAnsi="Arial" w:cs="Arial"/>
                <w:sz w:val="24"/>
                <w:szCs w:val="26"/>
              </w:rPr>
              <w:t>relating to misconduct hearings to which we appoint Legally Qualified Chairs and Independent Panel members.</w:t>
            </w:r>
          </w:p>
          <w:p w14:paraId="6E11FC6C" w14:textId="77777777" w:rsidR="00DA0202" w:rsidRPr="00DF544E" w:rsidRDefault="00DA0202" w:rsidP="00DA0202">
            <w:pPr>
              <w:spacing w:after="0"/>
              <w:jc w:val="both"/>
              <w:rPr>
                <w:rFonts w:ascii="Arial" w:hAnsi="Arial" w:cs="Arial"/>
                <w:sz w:val="24"/>
              </w:rPr>
            </w:pPr>
          </w:p>
          <w:p w14:paraId="430DBE49" w14:textId="77777777" w:rsidR="00DA0202" w:rsidRPr="00350B64" w:rsidRDefault="00DA0202" w:rsidP="00DA0202">
            <w:pPr>
              <w:spacing w:after="0"/>
              <w:jc w:val="both"/>
              <w:rPr>
                <w:rFonts w:ascii="Arial" w:hAnsi="Arial" w:cs="Arial"/>
                <w:sz w:val="24"/>
                <w:szCs w:val="26"/>
              </w:rPr>
            </w:pPr>
            <w:r w:rsidRPr="00350B64">
              <w:rPr>
                <w:rFonts w:ascii="Arial" w:hAnsi="Arial" w:cs="Arial"/>
                <w:sz w:val="24"/>
                <w:szCs w:val="26"/>
                <w:u w:val="single"/>
              </w:rPr>
              <w:t>Timeliness</w:t>
            </w:r>
            <w:r w:rsidRPr="00350B64">
              <w:rPr>
                <w:rFonts w:ascii="Arial" w:hAnsi="Arial" w:cs="Arial"/>
                <w:sz w:val="24"/>
                <w:szCs w:val="26"/>
              </w:rPr>
              <w:br/>
              <w:t>Timeliness in responding to requests for information during 2022/23 within 20 working days was 94%.  This equates to 2 requests being sent outside of the 20 working day requirement.  1 request was sent within 21 working days and was delayed due to the absence of key members of staff.  1 request was significantly delayed (responded to within 43 working days) as it related to a complicated misconduct process and we were awaiting legal advice prior to responding to ensure no sensitive information was released</w:t>
            </w:r>
            <w:r>
              <w:rPr>
                <w:rFonts w:ascii="Arial" w:hAnsi="Arial" w:cs="Arial"/>
                <w:sz w:val="24"/>
                <w:szCs w:val="26"/>
              </w:rPr>
              <w:t xml:space="preserve"> unlawfully</w:t>
            </w:r>
            <w:r w:rsidRPr="00350B64">
              <w:rPr>
                <w:rFonts w:ascii="Arial" w:hAnsi="Arial" w:cs="Arial"/>
                <w:sz w:val="24"/>
                <w:szCs w:val="26"/>
              </w:rPr>
              <w:t>.</w:t>
            </w:r>
          </w:p>
          <w:p w14:paraId="0149C486" w14:textId="77777777" w:rsidR="00DA0202" w:rsidRPr="00350B64" w:rsidRDefault="00DA0202" w:rsidP="00DA0202">
            <w:pPr>
              <w:spacing w:after="0"/>
              <w:jc w:val="both"/>
              <w:rPr>
                <w:rFonts w:ascii="Arial" w:hAnsi="Arial" w:cs="Arial"/>
                <w:sz w:val="24"/>
                <w:szCs w:val="26"/>
              </w:rPr>
            </w:pPr>
            <w:r w:rsidRPr="008D5490">
              <w:rPr>
                <w:rFonts w:ascii="Arial" w:hAnsi="Arial" w:cs="Arial"/>
                <w:sz w:val="24"/>
                <w:szCs w:val="26"/>
                <w:highlight w:val="yellow"/>
              </w:rPr>
              <w:br/>
            </w:r>
            <w:r w:rsidRPr="00350B64">
              <w:rPr>
                <w:rFonts w:ascii="Arial" w:hAnsi="Arial" w:cs="Arial"/>
                <w:sz w:val="24"/>
                <w:szCs w:val="26"/>
                <w:u w:val="single"/>
              </w:rPr>
              <w:t>Exemptions and Refusals</w:t>
            </w:r>
          </w:p>
          <w:p w14:paraId="0604FF88" w14:textId="77777777" w:rsidR="00DA0202" w:rsidRPr="00350B64" w:rsidRDefault="00DA0202" w:rsidP="00DA0202">
            <w:pPr>
              <w:spacing w:after="0"/>
              <w:jc w:val="both"/>
              <w:rPr>
                <w:rFonts w:ascii="Arial" w:hAnsi="Arial" w:cs="Arial"/>
                <w:sz w:val="24"/>
                <w:szCs w:val="26"/>
              </w:rPr>
            </w:pPr>
            <w:r w:rsidRPr="00350B64">
              <w:rPr>
                <w:rFonts w:ascii="Arial" w:hAnsi="Arial" w:cs="Arial"/>
                <w:sz w:val="24"/>
                <w:szCs w:val="26"/>
              </w:rPr>
              <w:t>The FOIA outlines a number of exemptions that can be utilised to prevent the release of sensitive information.    There is a presumption that information will be released unless there is a good reason for it to be withheld.</w:t>
            </w:r>
          </w:p>
          <w:p w14:paraId="08CBB663" w14:textId="77777777" w:rsidR="00DA0202" w:rsidRPr="008D5490" w:rsidRDefault="00DA0202" w:rsidP="00DA0202">
            <w:pPr>
              <w:spacing w:after="0"/>
              <w:jc w:val="both"/>
              <w:rPr>
                <w:rFonts w:ascii="Arial" w:hAnsi="Arial" w:cs="Arial"/>
                <w:sz w:val="24"/>
                <w:szCs w:val="26"/>
                <w:highlight w:val="yellow"/>
              </w:rPr>
            </w:pPr>
          </w:p>
          <w:p w14:paraId="0A20B8DC" w14:textId="77777777" w:rsidR="00DA0202" w:rsidRPr="00093DD8" w:rsidRDefault="00DA0202" w:rsidP="00DA0202">
            <w:pPr>
              <w:spacing w:after="0"/>
              <w:jc w:val="both"/>
              <w:rPr>
                <w:rFonts w:ascii="Arial" w:hAnsi="Arial" w:cs="Arial"/>
                <w:sz w:val="24"/>
                <w:szCs w:val="26"/>
              </w:rPr>
            </w:pPr>
            <w:r w:rsidRPr="00093DD8">
              <w:rPr>
                <w:rFonts w:ascii="Arial" w:hAnsi="Arial" w:cs="Arial"/>
                <w:sz w:val="24"/>
                <w:szCs w:val="26"/>
              </w:rPr>
              <w:t xml:space="preserve">Of the 35 valid requests received, 26 were refused because the OPCC did not hold the information that was requested with an additional 3 fully or partly refused utilising an exemption.  </w:t>
            </w:r>
          </w:p>
          <w:p w14:paraId="24608FAB" w14:textId="77777777" w:rsidR="00DA0202" w:rsidRPr="008D5490" w:rsidRDefault="00DA0202" w:rsidP="00DA0202">
            <w:pPr>
              <w:spacing w:after="0"/>
              <w:jc w:val="both"/>
              <w:rPr>
                <w:rFonts w:ascii="Arial" w:hAnsi="Arial" w:cs="Arial"/>
                <w:sz w:val="24"/>
                <w:szCs w:val="26"/>
                <w:highlight w:val="yellow"/>
              </w:rPr>
            </w:pPr>
          </w:p>
          <w:p w14:paraId="2774648D" w14:textId="77777777" w:rsidR="00DA0202" w:rsidRPr="00093DD8" w:rsidRDefault="00DA0202" w:rsidP="00DA0202">
            <w:pPr>
              <w:spacing w:after="0"/>
              <w:jc w:val="both"/>
              <w:rPr>
                <w:rFonts w:ascii="Arial" w:hAnsi="Arial" w:cs="Arial"/>
                <w:sz w:val="24"/>
                <w:szCs w:val="26"/>
              </w:rPr>
            </w:pPr>
            <w:r w:rsidRPr="00093DD8">
              <w:rPr>
                <w:rFonts w:ascii="Arial" w:hAnsi="Arial" w:cs="Arial"/>
                <w:sz w:val="24"/>
                <w:szCs w:val="26"/>
              </w:rPr>
              <w:t>The majority of the requests refused were for operational policing information. Where appropriate, the requester was provided with the contact details of the Gwent Police Freedom of Information department.</w:t>
            </w:r>
          </w:p>
          <w:p w14:paraId="03DA81C4" w14:textId="77777777" w:rsidR="00DA0202" w:rsidRPr="00093DD8" w:rsidRDefault="00DA0202" w:rsidP="00DA0202">
            <w:pPr>
              <w:spacing w:after="0"/>
              <w:jc w:val="both"/>
              <w:rPr>
                <w:rFonts w:ascii="Arial" w:hAnsi="Arial" w:cs="Arial"/>
                <w:sz w:val="24"/>
                <w:szCs w:val="26"/>
              </w:rPr>
            </w:pPr>
            <w:r w:rsidRPr="00093DD8">
              <w:rPr>
                <w:rFonts w:ascii="Arial" w:hAnsi="Arial" w:cs="Arial"/>
                <w:sz w:val="24"/>
                <w:szCs w:val="26"/>
              </w:rPr>
              <w:t>A detailed breakdown of the exemptions and the number of times they have been utilised is included at appendix 1.</w:t>
            </w:r>
          </w:p>
          <w:p w14:paraId="70B0FC1D" w14:textId="77777777" w:rsidR="00DA0202" w:rsidRPr="008D5490" w:rsidRDefault="00DA0202" w:rsidP="00DA0202">
            <w:pPr>
              <w:spacing w:after="0"/>
              <w:jc w:val="both"/>
              <w:rPr>
                <w:rFonts w:ascii="Arial" w:hAnsi="Arial" w:cs="Arial"/>
                <w:sz w:val="24"/>
                <w:szCs w:val="26"/>
                <w:highlight w:val="yellow"/>
                <w:u w:val="single"/>
              </w:rPr>
            </w:pPr>
          </w:p>
          <w:p w14:paraId="50C4E26A" w14:textId="77777777" w:rsidR="00DA0202" w:rsidRPr="00093DD8" w:rsidRDefault="00DA0202" w:rsidP="00DA0202">
            <w:pPr>
              <w:spacing w:after="0"/>
              <w:jc w:val="both"/>
              <w:rPr>
                <w:rFonts w:ascii="Arial" w:hAnsi="Arial" w:cs="Arial"/>
                <w:sz w:val="24"/>
                <w:szCs w:val="26"/>
              </w:rPr>
            </w:pPr>
            <w:r w:rsidRPr="00093DD8">
              <w:rPr>
                <w:rFonts w:ascii="Arial" w:hAnsi="Arial" w:cs="Arial"/>
                <w:sz w:val="24"/>
                <w:szCs w:val="26"/>
                <w:u w:val="single"/>
              </w:rPr>
              <w:t>Appeals</w:t>
            </w:r>
            <w:r w:rsidRPr="00093DD8">
              <w:rPr>
                <w:rFonts w:ascii="Arial" w:hAnsi="Arial" w:cs="Arial"/>
                <w:sz w:val="24"/>
                <w:szCs w:val="26"/>
                <w:u w:val="single"/>
              </w:rPr>
              <w:br/>
            </w:r>
            <w:r w:rsidRPr="00093DD8">
              <w:rPr>
                <w:rFonts w:ascii="Arial" w:hAnsi="Arial" w:cs="Arial"/>
                <w:sz w:val="24"/>
                <w:szCs w:val="26"/>
              </w:rPr>
              <w:t>All responses to requests received under the FOIA require details of the internal appeals process to be included.  The Chief Executive is responsible for all internal appeals received in relation to the FOIA.</w:t>
            </w:r>
          </w:p>
          <w:p w14:paraId="2C2EDC58" w14:textId="77777777" w:rsidR="00DA0202" w:rsidRPr="00093DD8" w:rsidRDefault="00DA0202" w:rsidP="00DA0202">
            <w:pPr>
              <w:spacing w:after="0"/>
              <w:jc w:val="both"/>
              <w:rPr>
                <w:rFonts w:ascii="Arial" w:hAnsi="Arial" w:cs="Arial"/>
                <w:sz w:val="24"/>
                <w:szCs w:val="26"/>
              </w:rPr>
            </w:pPr>
          </w:p>
          <w:p w14:paraId="1CC7DBA9" w14:textId="77777777" w:rsidR="00DA0202" w:rsidRPr="00093DD8" w:rsidRDefault="00DA0202" w:rsidP="00DA0202">
            <w:pPr>
              <w:spacing w:after="0"/>
              <w:jc w:val="both"/>
              <w:rPr>
                <w:rFonts w:ascii="Arial" w:hAnsi="Arial" w:cs="Arial"/>
                <w:sz w:val="24"/>
                <w:szCs w:val="26"/>
              </w:rPr>
            </w:pPr>
            <w:r w:rsidRPr="00093DD8">
              <w:rPr>
                <w:rFonts w:ascii="Arial" w:hAnsi="Arial" w:cs="Arial"/>
                <w:sz w:val="24"/>
                <w:szCs w:val="26"/>
              </w:rPr>
              <w:t xml:space="preserve">During 2022/23, no requests for an appeal were received by the OPCC.  </w:t>
            </w:r>
          </w:p>
          <w:p w14:paraId="3A42A502" w14:textId="77777777" w:rsidR="00DA0202" w:rsidRPr="00093DD8" w:rsidRDefault="00DA0202" w:rsidP="00DA0202">
            <w:pPr>
              <w:spacing w:after="0"/>
              <w:jc w:val="both"/>
              <w:rPr>
                <w:rFonts w:ascii="Arial" w:hAnsi="Arial" w:cs="Arial"/>
                <w:sz w:val="24"/>
                <w:szCs w:val="26"/>
              </w:rPr>
            </w:pPr>
          </w:p>
          <w:p w14:paraId="29C10390" w14:textId="77777777" w:rsidR="00DA0202" w:rsidRPr="00093DD8" w:rsidRDefault="00DA0202" w:rsidP="00DA0202">
            <w:pPr>
              <w:spacing w:after="0"/>
              <w:jc w:val="both"/>
              <w:rPr>
                <w:rFonts w:ascii="Arial" w:hAnsi="Arial" w:cs="Arial"/>
                <w:sz w:val="24"/>
                <w:szCs w:val="26"/>
                <w:u w:val="single"/>
              </w:rPr>
            </w:pPr>
            <w:r w:rsidRPr="00093DD8">
              <w:rPr>
                <w:rFonts w:ascii="Arial" w:hAnsi="Arial" w:cs="Arial"/>
                <w:sz w:val="24"/>
                <w:szCs w:val="26"/>
                <w:u w:val="single"/>
              </w:rPr>
              <w:t>Information Commissioner’s Office</w:t>
            </w:r>
          </w:p>
          <w:p w14:paraId="6CB269E0" w14:textId="77777777" w:rsidR="00DA0202" w:rsidRPr="00093DD8" w:rsidRDefault="00DA0202" w:rsidP="00DA0202">
            <w:pPr>
              <w:spacing w:after="0"/>
              <w:jc w:val="both"/>
              <w:rPr>
                <w:rFonts w:ascii="Arial" w:hAnsi="Arial" w:cs="Arial"/>
                <w:sz w:val="24"/>
                <w:szCs w:val="26"/>
              </w:rPr>
            </w:pPr>
            <w:r w:rsidRPr="00093DD8">
              <w:rPr>
                <w:rFonts w:ascii="Arial" w:hAnsi="Arial" w:cs="Arial"/>
                <w:sz w:val="24"/>
                <w:szCs w:val="26"/>
              </w:rPr>
              <w:t>After the internal appeals process has been exhausted and if the requester is still unhappy with the response provided by the OPCC, they have a right of appeal to the ICO.  The public are also able to contact the ICO in other instances such as if the 20 working day time limit is not being met.</w:t>
            </w:r>
          </w:p>
          <w:p w14:paraId="1394A9EB" w14:textId="77777777" w:rsidR="00DA0202" w:rsidRPr="00093DD8" w:rsidRDefault="00DA0202" w:rsidP="00DA0202">
            <w:pPr>
              <w:spacing w:after="0"/>
              <w:jc w:val="both"/>
              <w:rPr>
                <w:rFonts w:ascii="Arial" w:hAnsi="Arial" w:cs="Arial"/>
                <w:sz w:val="24"/>
                <w:szCs w:val="26"/>
              </w:rPr>
            </w:pPr>
          </w:p>
          <w:p w14:paraId="49475371" w14:textId="77777777" w:rsidR="00DA0202" w:rsidRPr="00093DD8" w:rsidRDefault="00DA0202" w:rsidP="00DA0202">
            <w:pPr>
              <w:spacing w:after="0"/>
              <w:jc w:val="both"/>
              <w:rPr>
                <w:rFonts w:ascii="Arial" w:hAnsi="Arial" w:cs="Arial"/>
                <w:sz w:val="24"/>
                <w:szCs w:val="26"/>
              </w:rPr>
            </w:pPr>
            <w:r w:rsidRPr="00093DD8">
              <w:rPr>
                <w:rFonts w:ascii="Arial" w:hAnsi="Arial" w:cs="Arial"/>
                <w:sz w:val="24"/>
                <w:szCs w:val="26"/>
              </w:rPr>
              <w:t>No contact was received from the ICO during 2022/23.</w:t>
            </w:r>
          </w:p>
          <w:p w14:paraId="01E04E02" w14:textId="77777777" w:rsidR="00DA0202" w:rsidRPr="00462B0D" w:rsidRDefault="00DA0202" w:rsidP="00DA0202">
            <w:pPr>
              <w:spacing w:after="0"/>
              <w:jc w:val="both"/>
              <w:rPr>
                <w:rFonts w:ascii="Arial" w:hAnsi="Arial" w:cs="Arial"/>
                <w:sz w:val="24"/>
                <w:szCs w:val="26"/>
                <w:u w:val="single"/>
              </w:rPr>
            </w:pPr>
            <w:r w:rsidRPr="00462B0D">
              <w:rPr>
                <w:rFonts w:ascii="Arial" w:hAnsi="Arial" w:cs="Arial"/>
                <w:sz w:val="24"/>
                <w:szCs w:val="26"/>
                <w:u w:val="single"/>
              </w:rPr>
              <w:lastRenderedPageBreak/>
              <w:t>Publication Scheme</w:t>
            </w:r>
          </w:p>
          <w:p w14:paraId="151D5C93" w14:textId="77777777" w:rsidR="00DA0202" w:rsidRPr="00462B0D" w:rsidRDefault="00DA0202" w:rsidP="00DA0202">
            <w:pPr>
              <w:jc w:val="both"/>
              <w:rPr>
                <w:rFonts w:ascii="Arial" w:hAnsi="Arial" w:cs="Arial"/>
                <w:sz w:val="24"/>
                <w:szCs w:val="26"/>
              </w:rPr>
            </w:pPr>
            <w:r w:rsidRPr="00462B0D">
              <w:rPr>
                <w:rFonts w:ascii="Arial" w:hAnsi="Arial" w:cs="Arial"/>
                <w:sz w:val="24"/>
                <w:szCs w:val="26"/>
              </w:rPr>
              <w:t xml:space="preserve">The FOIA requires every public authority to have a publication scheme approved by the ICO.  There is a specific definition document for Elected Local Policing Bodies (otherwise referred to as OPCCs) produced by the ICO that indicates what information should be published in order to meet </w:t>
            </w:r>
            <w:r>
              <w:rPr>
                <w:rFonts w:ascii="Arial" w:hAnsi="Arial" w:cs="Arial"/>
                <w:sz w:val="24"/>
                <w:szCs w:val="26"/>
              </w:rPr>
              <w:t>the</w:t>
            </w:r>
            <w:r w:rsidRPr="00462B0D">
              <w:rPr>
                <w:rFonts w:ascii="Arial" w:hAnsi="Arial" w:cs="Arial"/>
                <w:sz w:val="24"/>
                <w:szCs w:val="26"/>
              </w:rPr>
              <w:t xml:space="preserve"> commitments under the model publication scheme, although the list provided is not exhaustive.</w:t>
            </w:r>
          </w:p>
          <w:p w14:paraId="22752F93" w14:textId="77777777" w:rsidR="00DA0202" w:rsidRPr="00462B0D" w:rsidRDefault="00DA0202" w:rsidP="00DA0202">
            <w:pPr>
              <w:jc w:val="both"/>
              <w:rPr>
                <w:rFonts w:ascii="Arial" w:hAnsi="Arial" w:cs="Arial"/>
                <w:sz w:val="24"/>
                <w:szCs w:val="26"/>
              </w:rPr>
            </w:pPr>
            <w:r w:rsidRPr="00462B0D">
              <w:rPr>
                <w:rFonts w:ascii="Arial" w:hAnsi="Arial" w:cs="Arial"/>
                <w:sz w:val="24"/>
                <w:szCs w:val="26"/>
              </w:rPr>
              <w:t xml:space="preserve">The HoAC is responsible for ensuring the OPCC complies with the requirements of the publication scheme and can confirm that the OPCC was compliant with the requirements set out in the definition document as of March 2023.  </w:t>
            </w:r>
          </w:p>
          <w:p w14:paraId="04AEDF6A" w14:textId="77777777" w:rsidR="00DA0202" w:rsidRPr="00462B0D" w:rsidRDefault="00DA0202" w:rsidP="00DA0202">
            <w:pPr>
              <w:spacing w:after="0"/>
              <w:jc w:val="both"/>
              <w:rPr>
                <w:rFonts w:ascii="Arial" w:hAnsi="Arial" w:cs="Arial"/>
                <w:sz w:val="24"/>
                <w:szCs w:val="26"/>
              </w:rPr>
            </w:pPr>
            <w:r w:rsidRPr="00462B0D">
              <w:rPr>
                <w:rFonts w:ascii="Arial" w:hAnsi="Arial" w:cs="Arial"/>
                <w:sz w:val="24"/>
                <w:szCs w:val="26"/>
              </w:rPr>
              <w:t>All requests received under the FOIA and their responses are published on the OPCC website as per the requirements of the publication scheme.</w:t>
            </w:r>
          </w:p>
          <w:p w14:paraId="43BDA426" w14:textId="77777777" w:rsidR="00DA0202" w:rsidRPr="008D5490" w:rsidRDefault="00DA0202" w:rsidP="00DA0202">
            <w:pPr>
              <w:spacing w:after="0"/>
              <w:jc w:val="both"/>
              <w:rPr>
                <w:rFonts w:ascii="Arial" w:hAnsi="Arial" w:cs="Arial"/>
                <w:sz w:val="24"/>
                <w:szCs w:val="26"/>
                <w:highlight w:val="yellow"/>
              </w:rPr>
            </w:pPr>
          </w:p>
          <w:p w14:paraId="5D4F19F3" w14:textId="77777777" w:rsidR="00DA0202" w:rsidRPr="00462B0D" w:rsidRDefault="00DA0202" w:rsidP="00DA0202">
            <w:pPr>
              <w:spacing w:after="0"/>
              <w:jc w:val="both"/>
              <w:rPr>
                <w:rFonts w:ascii="Arial" w:hAnsi="Arial" w:cs="Arial"/>
                <w:sz w:val="24"/>
                <w:szCs w:val="26"/>
                <w:u w:val="single"/>
              </w:rPr>
            </w:pPr>
            <w:r w:rsidRPr="00462B0D">
              <w:rPr>
                <w:rFonts w:ascii="Arial" w:hAnsi="Arial" w:cs="Arial"/>
                <w:sz w:val="24"/>
                <w:szCs w:val="26"/>
                <w:u w:val="single"/>
              </w:rPr>
              <w:t>Records Management</w:t>
            </w:r>
          </w:p>
          <w:p w14:paraId="3EA35871" w14:textId="77777777" w:rsidR="00DA0202" w:rsidRPr="00462B0D" w:rsidRDefault="00DA0202" w:rsidP="00DA0202">
            <w:pPr>
              <w:spacing w:after="0"/>
              <w:jc w:val="both"/>
              <w:rPr>
                <w:rFonts w:ascii="Arial" w:hAnsi="Arial" w:cs="Arial"/>
                <w:sz w:val="24"/>
                <w:szCs w:val="26"/>
              </w:rPr>
            </w:pPr>
            <w:r w:rsidRPr="00462B0D">
              <w:rPr>
                <w:rFonts w:ascii="Arial" w:hAnsi="Arial" w:cs="Arial"/>
                <w:sz w:val="24"/>
                <w:szCs w:val="26"/>
              </w:rPr>
              <w:t xml:space="preserve">Good records management is fundamental to being able to respond to requests under the FOIA accurately and within the required 20 working day timeframe.  </w:t>
            </w:r>
          </w:p>
          <w:p w14:paraId="1B84C6BD" w14:textId="77777777" w:rsidR="00DA0202" w:rsidRPr="00462B0D" w:rsidRDefault="00DA0202" w:rsidP="00DA0202">
            <w:pPr>
              <w:spacing w:after="0"/>
              <w:jc w:val="both"/>
              <w:rPr>
                <w:rFonts w:ascii="Arial" w:hAnsi="Arial" w:cs="Arial"/>
                <w:sz w:val="24"/>
                <w:szCs w:val="26"/>
              </w:rPr>
            </w:pPr>
          </w:p>
          <w:p w14:paraId="74D323C4" w14:textId="77777777" w:rsidR="00DA0202" w:rsidRDefault="00DA0202" w:rsidP="00DA0202">
            <w:pPr>
              <w:spacing w:after="0"/>
              <w:jc w:val="both"/>
              <w:rPr>
                <w:rFonts w:ascii="Arial" w:hAnsi="Arial" w:cs="Arial"/>
                <w:sz w:val="24"/>
                <w:szCs w:val="26"/>
              </w:rPr>
            </w:pPr>
            <w:r w:rsidRPr="00462B0D">
              <w:rPr>
                <w:rFonts w:ascii="Arial" w:hAnsi="Arial" w:cs="Arial"/>
                <w:sz w:val="24"/>
                <w:szCs w:val="26"/>
              </w:rPr>
              <w:t xml:space="preserve">During 2021/22, a review of all hard copy documents was finalised.  There is minimal hard copy documentation held by the OPCC with the majority of this being suitable for scanning after which the hard copies will be disposed.  Work to scan and file the hard copy documentation was due to start during 2022/23 but this has been delayed due to demands on resource.  It is hoped that this will be started during 2023/24. </w:t>
            </w:r>
          </w:p>
          <w:p w14:paraId="15106830" w14:textId="62E4073B" w:rsidR="00B57E47" w:rsidRPr="00DA0202" w:rsidRDefault="00B57E47" w:rsidP="00DA0202">
            <w:pPr>
              <w:spacing w:after="0"/>
              <w:jc w:val="both"/>
              <w:rPr>
                <w:rFonts w:ascii="Arial" w:hAnsi="Arial" w:cs="Arial"/>
                <w:sz w:val="24"/>
                <w:szCs w:val="26"/>
              </w:rPr>
            </w:pPr>
          </w:p>
        </w:tc>
      </w:tr>
      <w:tr w:rsidR="00DA0202" w:rsidRPr="00055BFA" w14:paraId="29E28352" w14:textId="77777777" w:rsidTr="00746DF8">
        <w:tc>
          <w:tcPr>
            <w:tcW w:w="670" w:type="dxa"/>
          </w:tcPr>
          <w:p w14:paraId="23FF7DC7" w14:textId="77777777" w:rsidR="00DA0202" w:rsidRPr="00055BFA" w:rsidRDefault="00DA0202" w:rsidP="00746DF8">
            <w:pPr>
              <w:spacing w:after="0"/>
              <w:rPr>
                <w:rFonts w:ascii="Arial" w:hAnsi="Arial" w:cs="Arial"/>
                <w:b/>
                <w:sz w:val="24"/>
                <w:szCs w:val="24"/>
              </w:rPr>
            </w:pPr>
            <w:r>
              <w:rPr>
                <w:rFonts w:ascii="Arial" w:hAnsi="Arial" w:cs="Arial"/>
                <w:b/>
                <w:sz w:val="24"/>
                <w:szCs w:val="24"/>
              </w:rPr>
              <w:lastRenderedPageBreak/>
              <w:t>4.</w:t>
            </w:r>
          </w:p>
        </w:tc>
        <w:tc>
          <w:tcPr>
            <w:tcW w:w="8390" w:type="dxa"/>
          </w:tcPr>
          <w:p w14:paraId="1B88F7D6" w14:textId="77777777" w:rsidR="00DA0202" w:rsidRDefault="00DA0202" w:rsidP="00746DF8">
            <w:pPr>
              <w:spacing w:after="0"/>
              <w:jc w:val="both"/>
              <w:rPr>
                <w:rFonts w:ascii="Arial" w:hAnsi="Arial" w:cs="Arial"/>
                <w:b/>
                <w:sz w:val="24"/>
                <w:szCs w:val="24"/>
                <w:u w:val="single"/>
              </w:rPr>
            </w:pPr>
            <w:r>
              <w:rPr>
                <w:rFonts w:ascii="Arial" w:hAnsi="Arial" w:cs="Arial"/>
                <w:b/>
                <w:sz w:val="24"/>
                <w:szCs w:val="24"/>
                <w:u w:val="single"/>
              </w:rPr>
              <w:t>NEXT STEPS</w:t>
            </w:r>
          </w:p>
          <w:p w14:paraId="318155FC" w14:textId="77777777" w:rsidR="00DA0202" w:rsidRPr="00462B0D" w:rsidRDefault="00DA0202" w:rsidP="00DA0202">
            <w:pPr>
              <w:spacing w:after="0"/>
              <w:jc w:val="both"/>
              <w:rPr>
                <w:rFonts w:ascii="Arial" w:hAnsi="Arial" w:cs="Arial"/>
                <w:sz w:val="24"/>
              </w:rPr>
            </w:pPr>
            <w:r w:rsidRPr="00462B0D">
              <w:rPr>
                <w:rFonts w:ascii="Arial" w:hAnsi="Arial" w:cs="Arial"/>
                <w:sz w:val="24"/>
              </w:rPr>
              <w:t>Work will continue to ensure we respond to requests within the statutory timeframe and that we continue to provide information requested by the public where possible.</w:t>
            </w:r>
          </w:p>
          <w:p w14:paraId="49CC82BB" w14:textId="77777777" w:rsidR="00DA0202" w:rsidRPr="00462B0D" w:rsidRDefault="00DA0202" w:rsidP="00DA0202">
            <w:pPr>
              <w:spacing w:after="0"/>
              <w:jc w:val="both"/>
              <w:rPr>
                <w:rFonts w:ascii="Arial" w:hAnsi="Arial" w:cs="Arial"/>
                <w:sz w:val="24"/>
              </w:rPr>
            </w:pPr>
          </w:p>
          <w:p w14:paraId="45C02623" w14:textId="77777777" w:rsidR="00DA0202" w:rsidRPr="00462B0D" w:rsidRDefault="00DA0202" w:rsidP="00DA0202">
            <w:pPr>
              <w:spacing w:after="0"/>
              <w:jc w:val="both"/>
              <w:rPr>
                <w:rFonts w:ascii="Arial" w:hAnsi="Arial" w:cs="Arial"/>
                <w:sz w:val="24"/>
                <w:szCs w:val="24"/>
              </w:rPr>
            </w:pPr>
            <w:r w:rsidRPr="00462B0D">
              <w:rPr>
                <w:rFonts w:ascii="Arial" w:hAnsi="Arial" w:cs="Arial"/>
                <w:sz w:val="24"/>
                <w:szCs w:val="24"/>
              </w:rPr>
              <w:t>To ensure the public access the correct information in as efficient way as possible, we will continue to raise the distinctions between the force and OPCC to ensure future requests are sent to the most appropriate organisation.</w:t>
            </w:r>
          </w:p>
          <w:p w14:paraId="70989D96" w14:textId="1887EC4F" w:rsidR="00DA0202" w:rsidRPr="001201D9" w:rsidRDefault="00DA0202" w:rsidP="00746DF8">
            <w:pPr>
              <w:spacing w:after="0"/>
              <w:jc w:val="both"/>
              <w:rPr>
                <w:rFonts w:ascii="Arial" w:hAnsi="Arial" w:cs="Arial"/>
              </w:rPr>
            </w:pPr>
          </w:p>
        </w:tc>
      </w:tr>
      <w:tr w:rsidR="00DA0202" w:rsidRPr="00055BFA" w14:paraId="59F89C52" w14:textId="77777777" w:rsidTr="00746DF8">
        <w:tc>
          <w:tcPr>
            <w:tcW w:w="670" w:type="dxa"/>
          </w:tcPr>
          <w:p w14:paraId="71D4B621" w14:textId="77777777" w:rsidR="00DA0202" w:rsidRPr="00055BFA" w:rsidRDefault="00DA0202" w:rsidP="00746DF8">
            <w:pPr>
              <w:spacing w:after="0"/>
              <w:rPr>
                <w:rFonts w:ascii="Arial" w:hAnsi="Arial" w:cs="Arial"/>
                <w:b/>
                <w:sz w:val="24"/>
                <w:szCs w:val="24"/>
              </w:rPr>
            </w:pPr>
            <w:r>
              <w:rPr>
                <w:rFonts w:ascii="Arial" w:hAnsi="Arial" w:cs="Arial"/>
                <w:b/>
                <w:sz w:val="24"/>
                <w:szCs w:val="24"/>
              </w:rPr>
              <w:t>5.</w:t>
            </w:r>
          </w:p>
        </w:tc>
        <w:tc>
          <w:tcPr>
            <w:tcW w:w="8390" w:type="dxa"/>
          </w:tcPr>
          <w:p w14:paraId="085C0BEC" w14:textId="77777777" w:rsidR="00DA0202" w:rsidRPr="000415D2" w:rsidRDefault="00DA0202" w:rsidP="00746DF8">
            <w:pPr>
              <w:spacing w:after="0"/>
              <w:rPr>
                <w:rFonts w:ascii="Arial" w:hAnsi="Arial" w:cs="Arial"/>
                <w:b/>
                <w:sz w:val="24"/>
                <w:szCs w:val="24"/>
                <w:u w:val="single"/>
              </w:rPr>
            </w:pPr>
            <w:r w:rsidRPr="000415D2">
              <w:rPr>
                <w:rFonts w:ascii="Arial" w:hAnsi="Arial" w:cs="Arial"/>
                <w:b/>
                <w:sz w:val="24"/>
                <w:szCs w:val="24"/>
                <w:u w:val="single"/>
              </w:rPr>
              <w:t>FINANCIAL CONSIDERATIONS</w:t>
            </w:r>
          </w:p>
          <w:p w14:paraId="3E8F5B7B" w14:textId="77777777" w:rsidR="00DA0202" w:rsidRPr="00462B0D" w:rsidRDefault="00DA0202" w:rsidP="00DA0202">
            <w:pPr>
              <w:spacing w:after="0"/>
              <w:jc w:val="both"/>
              <w:rPr>
                <w:rFonts w:ascii="Arial" w:hAnsi="Arial" w:cs="Arial"/>
                <w:sz w:val="24"/>
                <w:szCs w:val="24"/>
              </w:rPr>
            </w:pPr>
            <w:r w:rsidRPr="00462B0D">
              <w:rPr>
                <w:rFonts w:ascii="Arial" w:hAnsi="Arial" w:cs="Arial"/>
                <w:sz w:val="24"/>
                <w:szCs w:val="24"/>
              </w:rPr>
              <w:t xml:space="preserve">All FOIA requests must be responded to free of charge unless it is estimated that providing the information will cost more than the acceptable limit of £400 (£25 per hour/18 hours) </w:t>
            </w:r>
            <w:r>
              <w:rPr>
                <w:rFonts w:ascii="Arial" w:hAnsi="Arial" w:cs="Arial"/>
                <w:sz w:val="24"/>
                <w:szCs w:val="24"/>
              </w:rPr>
              <w:t>(</w:t>
            </w:r>
            <w:r w:rsidRPr="00462B0D">
              <w:rPr>
                <w:rFonts w:ascii="Arial" w:hAnsi="Arial" w:cs="Arial"/>
                <w:sz w:val="24"/>
                <w:szCs w:val="24"/>
              </w:rPr>
              <w:t>although we are able to charge for items such as postage and photocopying</w:t>
            </w:r>
            <w:r>
              <w:rPr>
                <w:rFonts w:ascii="Arial" w:hAnsi="Arial" w:cs="Arial"/>
                <w:sz w:val="24"/>
                <w:szCs w:val="24"/>
              </w:rPr>
              <w:t>)</w:t>
            </w:r>
            <w:r w:rsidRPr="00462B0D">
              <w:rPr>
                <w:rFonts w:ascii="Arial" w:hAnsi="Arial" w:cs="Arial"/>
                <w:sz w:val="24"/>
                <w:szCs w:val="24"/>
              </w:rPr>
              <w:t>.</w:t>
            </w:r>
          </w:p>
          <w:p w14:paraId="1CB54CCF" w14:textId="77777777" w:rsidR="00DA0202" w:rsidRPr="00462B0D" w:rsidRDefault="00DA0202" w:rsidP="00DA0202">
            <w:pPr>
              <w:spacing w:after="0"/>
              <w:jc w:val="both"/>
              <w:rPr>
                <w:rFonts w:ascii="Arial" w:hAnsi="Arial" w:cs="Arial"/>
                <w:sz w:val="24"/>
                <w:szCs w:val="24"/>
              </w:rPr>
            </w:pPr>
          </w:p>
          <w:p w14:paraId="725073D8" w14:textId="77777777" w:rsidR="00DA0202" w:rsidRPr="00462B0D" w:rsidRDefault="00DA0202" w:rsidP="00DA0202">
            <w:pPr>
              <w:spacing w:after="0"/>
              <w:jc w:val="both"/>
              <w:rPr>
                <w:rFonts w:ascii="Arial" w:hAnsi="Arial" w:cs="Arial"/>
                <w:sz w:val="24"/>
                <w:szCs w:val="24"/>
              </w:rPr>
            </w:pPr>
            <w:r w:rsidRPr="00462B0D">
              <w:rPr>
                <w:rFonts w:ascii="Arial" w:hAnsi="Arial" w:cs="Arial"/>
                <w:sz w:val="24"/>
                <w:szCs w:val="24"/>
              </w:rPr>
              <w:t>No charges were made in relation to FOIA requests in 2022/23.</w:t>
            </w:r>
          </w:p>
          <w:p w14:paraId="13790CB9" w14:textId="77777777" w:rsidR="00DA0202" w:rsidRPr="00462B0D" w:rsidRDefault="00DA0202" w:rsidP="00DA0202">
            <w:pPr>
              <w:spacing w:after="0"/>
              <w:jc w:val="both"/>
              <w:rPr>
                <w:rFonts w:ascii="Arial" w:hAnsi="Arial" w:cs="Arial"/>
                <w:sz w:val="24"/>
                <w:szCs w:val="24"/>
              </w:rPr>
            </w:pPr>
          </w:p>
          <w:p w14:paraId="49E75EB8" w14:textId="77777777" w:rsidR="00DA0202" w:rsidRDefault="00DA0202" w:rsidP="005042D6">
            <w:pPr>
              <w:spacing w:after="0"/>
              <w:jc w:val="both"/>
              <w:rPr>
                <w:rFonts w:ascii="Arial" w:hAnsi="Arial" w:cs="Arial"/>
                <w:sz w:val="24"/>
                <w:szCs w:val="24"/>
              </w:rPr>
            </w:pPr>
            <w:r w:rsidRPr="00462B0D">
              <w:rPr>
                <w:rFonts w:ascii="Arial" w:hAnsi="Arial" w:cs="Arial"/>
                <w:sz w:val="24"/>
                <w:szCs w:val="24"/>
              </w:rPr>
              <w:t xml:space="preserve">The ICO </w:t>
            </w:r>
            <w:r>
              <w:rPr>
                <w:rFonts w:ascii="Arial" w:hAnsi="Arial" w:cs="Arial"/>
                <w:sz w:val="24"/>
                <w:szCs w:val="24"/>
              </w:rPr>
              <w:t>is</w:t>
            </w:r>
            <w:r w:rsidRPr="00462B0D">
              <w:rPr>
                <w:rFonts w:ascii="Arial" w:hAnsi="Arial" w:cs="Arial"/>
                <w:sz w:val="24"/>
                <w:szCs w:val="24"/>
              </w:rPr>
              <w:t xml:space="preserve"> not able to fine an organisation if they fail to comply with the FOIA.</w:t>
            </w:r>
          </w:p>
          <w:p w14:paraId="4E4220FE" w14:textId="70A375B4" w:rsidR="00A32AFF" w:rsidRPr="00F8795E" w:rsidRDefault="00A32AFF" w:rsidP="005042D6">
            <w:pPr>
              <w:spacing w:after="0"/>
              <w:jc w:val="both"/>
              <w:rPr>
                <w:rFonts w:ascii="Arial" w:hAnsi="Arial" w:cs="Arial"/>
                <w:sz w:val="24"/>
                <w:szCs w:val="24"/>
              </w:rPr>
            </w:pPr>
          </w:p>
        </w:tc>
      </w:tr>
      <w:tr w:rsidR="00DA0202" w:rsidRPr="00055BFA" w14:paraId="689B2A0A" w14:textId="77777777" w:rsidTr="00746DF8">
        <w:tc>
          <w:tcPr>
            <w:tcW w:w="670" w:type="dxa"/>
          </w:tcPr>
          <w:p w14:paraId="3191CCC8" w14:textId="77777777" w:rsidR="00DA0202" w:rsidRDefault="00DA0202" w:rsidP="00746DF8">
            <w:pPr>
              <w:spacing w:after="0"/>
              <w:rPr>
                <w:rFonts w:ascii="Arial" w:hAnsi="Arial" w:cs="Arial"/>
                <w:b/>
                <w:sz w:val="24"/>
                <w:szCs w:val="24"/>
              </w:rPr>
            </w:pPr>
            <w:r>
              <w:rPr>
                <w:rFonts w:ascii="Arial" w:hAnsi="Arial" w:cs="Arial"/>
                <w:b/>
                <w:sz w:val="24"/>
                <w:szCs w:val="24"/>
              </w:rPr>
              <w:lastRenderedPageBreak/>
              <w:t>6.</w:t>
            </w:r>
          </w:p>
        </w:tc>
        <w:tc>
          <w:tcPr>
            <w:tcW w:w="8390" w:type="dxa"/>
          </w:tcPr>
          <w:p w14:paraId="4169EA13" w14:textId="77777777" w:rsidR="00DA0202" w:rsidRPr="000415D2" w:rsidRDefault="00DA0202" w:rsidP="00746DF8">
            <w:pPr>
              <w:spacing w:after="0"/>
              <w:rPr>
                <w:rFonts w:ascii="Arial" w:hAnsi="Arial" w:cs="Arial"/>
                <w:b/>
                <w:sz w:val="24"/>
                <w:szCs w:val="24"/>
                <w:u w:val="single"/>
              </w:rPr>
            </w:pPr>
            <w:r w:rsidRPr="000415D2">
              <w:rPr>
                <w:rFonts w:ascii="Arial" w:hAnsi="Arial" w:cs="Arial"/>
                <w:b/>
                <w:sz w:val="24"/>
                <w:szCs w:val="24"/>
                <w:u w:val="single"/>
              </w:rPr>
              <w:t>PERSONNEL CONSIDERATIONS</w:t>
            </w:r>
          </w:p>
          <w:p w14:paraId="1A6E086C" w14:textId="77777777" w:rsidR="00DA0202" w:rsidRPr="00462B0D" w:rsidRDefault="00DA0202" w:rsidP="00DA0202">
            <w:pPr>
              <w:spacing w:after="0"/>
              <w:jc w:val="both"/>
              <w:rPr>
                <w:rFonts w:ascii="Arial" w:hAnsi="Arial" w:cs="Arial"/>
                <w:sz w:val="24"/>
              </w:rPr>
            </w:pPr>
            <w:r w:rsidRPr="00462B0D">
              <w:rPr>
                <w:rFonts w:ascii="Arial" w:hAnsi="Arial" w:cs="Arial"/>
                <w:sz w:val="24"/>
              </w:rPr>
              <w:t>The Governance Officer took over responsibility for dealing with FOIA requests from 1</w:t>
            </w:r>
            <w:r w:rsidRPr="00462B0D">
              <w:rPr>
                <w:rFonts w:ascii="Arial" w:hAnsi="Arial" w:cs="Arial"/>
                <w:sz w:val="24"/>
                <w:vertAlign w:val="superscript"/>
              </w:rPr>
              <w:t>st</w:t>
            </w:r>
            <w:r w:rsidRPr="00462B0D">
              <w:rPr>
                <w:rFonts w:ascii="Arial" w:hAnsi="Arial" w:cs="Arial"/>
                <w:sz w:val="24"/>
              </w:rPr>
              <w:t xml:space="preserve"> April 2019.  The HoAC approves all responses before release, with all appeals dealt with by the Chief Executive.  The Head of Communications and Engagement is sighted on FOI requests to try to determine if there is likely to be any media interest in the information made available.</w:t>
            </w:r>
          </w:p>
          <w:p w14:paraId="0A45E970" w14:textId="77777777" w:rsidR="00DA0202" w:rsidRPr="00462B0D" w:rsidRDefault="00DA0202" w:rsidP="00DA0202">
            <w:pPr>
              <w:spacing w:after="0"/>
              <w:jc w:val="both"/>
              <w:rPr>
                <w:rFonts w:ascii="Arial" w:hAnsi="Arial" w:cs="Arial"/>
                <w:sz w:val="24"/>
              </w:rPr>
            </w:pPr>
          </w:p>
          <w:p w14:paraId="37191BC5" w14:textId="77777777" w:rsidR="00DA0202" w:rsidRPr="00462B0D" w:rsidRDefault="00DA0202" w:rsidP="00DA0202">
            <w:pPr>
              <w:spacing w:after="0"/>
              <w:jc w:val="both"/>
              <w:rPr>
                <w:rFonts w:ascii="Arial" w:hAnsi="Arial" w:cs="Arial"/>
                <w:sz w:val="24"/>
              </w:rPr>
            </w:pPr>
            <w:r w:rsidRPr="00462B0D">
              <w:rPr>
                <w:rFonts w:ascii="Arial" w:hAnsi="Arial" w:cs="Arial"/>
                <w:sz w:val="24"/>
              </w:rPr>
              <w:t>All staff members involved within the FOIA process have received relevant training.</w:t>
            </w:r>
          </w:p>
          <w:p w14:paraId="1745B771" w14:textId="0352CC23" w:rsidR="00DA0202" w:rsidRPr="001201D9" w:rsidRDefault="00DA0202" w:rsidP="00746DF8">
            <w:pPr>
              <w:spacing w:after="0"/>
              <w:jc w:val="both"/>
              <w:rPr>
                <w:rFonts w:ascii="Arial" w:hAnsi="Arial" w:cs="Arial"/>
                <w:sz w:val="20"/>
              </w:rPr>
            </w:pPr>
          </w:p>
        </w:tc>
      </w:tr>
      <w:tr w:rsidR="00DA0202" w:rsidRPr="00055BFA" w14:paraId="5F253989" w14:textId="77777777" w:rsidTr="00746DF8">
        <w:tc>
          <w:tcPr>
            <w:tcW w:w="670" w:type="dxa"/>
          </w:tcPr>
          <w:p w14:paraId="23A8A01F" w14:textId="77777777" w:rsidR="00DA0202" w:rsidRDefault="00DA0202" w:rsidP="00746DF8">
            <w:pPr>
              <w:spacing w:after="0"/>
              <w:rPr>
                <w:rFonts w:ascii="Arial" w:hAnsi="Arial" w:cs="Arial"/>
                <w:b/>
                <w:sz w:val="24"/>
                <w:szCs w:val="24"/>
              </w:rPr>
            </w:pPr>
            <w:r>
              <w:rPr>
                <w:rFonts w:ascii="Arial" w:hAnsi="Arial" w:cs="Arial"/>
                <w:b/>
                <w:sz w:val="24"/>
                <w:szCs w:val="24"/>
              </w:rPr>
              <w:t>7.</w:t>
            </w:r>
          </w:p>
        </w:tc>
        <w:tc>
          <w:tcPr>
            <w:tcW w:w="8390" w:type="dxa"/>
          </w:tcPr>
          <w:p w14:paraId="17137A9D" w14:textId="77777777" w:rsidR="00DA0202" w:rsidRPr="000415D2" w:rsidRDefault="00DA0202" w:rsidP="00746DF8">
            <w:pPr>
              <w:spacing w:after="0"/>
              <w:rPr>
                <w:rFonts w:ascii="Arial" w:hAnsi="Arial" w:cs="Arial"/>
                <w:b/>
                <w:sz w:val="24"/>
                <w:szCs w:val="24"/>
                <w:u w:val="single"/>
              </w:rPr>
            </w:pPr>
            <w:r w:rsidRPr="000415D2">
              <w:rPr>
                <w:rFonts w:ascii="Arial" w:hAnsi="Arial" w:cs="Arial"/>
                <w:b/>
                <w:sz w:val="24"/>
                <w:szCs w:val="24"/>
                <w:u w:val="single"/>
              </w:rPr>
              <w:t>LEGAL IMPLICATIONS</w:t>
            </w:r>
          </w:p>
          <w:p w14:paraId="7C6C6E21" w14:textId="77777777" w:rsidR="00DA0202" w:rsidRPr="00462B0D" w:rsidRDefault="00DA0202" w:rsidP="00DA0202">
            <w:pPr>
              <w:spacing w:after="0"/>
              <w:jc w:val="both"/>
              <w:rPr>
                <w:rFonts w:ascii="Arial" w:hAnsi="Arial" w:cs="Arial"/>
                <w:sz w:val="24"/>
                <w:szCs w:val="24"/>
              </w:rPr>
            </w:pPr>
            <w:r w:rsidRPr="00462B0D">
              <w:rPr>
                <w:rFonts w:ascii="Arial" w:hAnsi="Arial" w:cs="Arial"/>
                <w:sz w:val="24"/>
                <w:szCs w:val="24"/>
              </w:rPr>
              <w:t>There are number of legal requirements that we need to comply with when responding to requests for information and we may breach the FOIA if we:</w:t>
            </w:r>
          </w:p>
          <w:p w14:paraId="66C9DD19" w14:textId="77777777" w:rsidR="00DA0202" w:rsidRPr="00462B0D" w:rsidRDefault="00DA0202" w:rsidP="00DA0202">
            <w:pPr>
              <w:numPr>
                <w:ilvl w:val="0"/>
                <w:numId w:val="7"/>
              </w:numPr>
              <w:spacing w:before="100" w:beforeAutospacing="1" w:after="100" w:afterAutospacing="1" w:line="240" w:lineRule="auto"/>
              <w:jc w:val="both"/>
              <w:rPr>
                <w:rFonts w:ascii="Arial" w:eastAsia="Times New Roman" w:hAnsi="Arial" w:cs="Arial"/>
                <w:sz w:val="24"/>
                <w:szCs w:val="24"/>
                <w:lang w:eastAsia="en-GB"/>
              </w:rPr>
            </w:pPr>
            <w:r w:rsidRPr="00462B0D">
              <w:rPr>
                <w:rFonts w:ascii="Arial" w:eastAsia="Times New Roman" w:hAnsi="Arial" w:cs="Arial"/>
                <w:sz w:val="24"/>
                <w:szCs w:val="24"/>
                <w:lang w:eastAsia="en-GB"/>
              </w:rPr>
              <w:t>fail to respond adequately to a request for information;</w:t>
            </w:r>
          </w:p>
          <w:p w14:paraId="693404B0" w14:textId="77777777" w:rsidR="00DA0202" w:rsidRPr="00462B0D" w:rsidRDefault="00DA0202" w:rsidP="00DA0202">
            <w:pPr>
              <w:numPr>
                <w:ilvl w:val="0"/>
                <w:numId w:val="7"/>
              </w:numPr>
              <w:spacing w:before="100" w:beforeAutospacing="1" w:after="100" w:afterAutospacing="1" w:line="240" w:lineRule="auto"/>
              <w:jc w:val="both"/>
              <w:rPr>
                <w:rFonts w:ascii="Arial" w:eastAsia="Times New Roman" w:hAnsi="Arial" w:cs="Arial"/>
                <w:sz w:val="24"/>
                <w:szCs w:val="24"/>
                <w:lang w:eastAsia="en-GB"/>
              </w:rPr>
            </w:pPr>
            <w:r w:rsidRPr="00462B0D">
              <w:rPr>
                <w:rFonts w:ascii="Arial" w:eastAsia="Times New Roman" w:hAnsi="Arial" w:cs="Arial"/>
                <w:sz w:val="24"/>
                <w:szCs w:val="24"/>
                <w:lang w:eastAsia="en-GB"/>
              </w:rPr>
              <w:t>fail to adopt the model publication scheme, or do not publish the correct information; or</w:t>
            </w:r>
          </w:p>
          <w:p w14:paraId="0BA4B067" w14:textId="77777777" w:rsidR="00DA0202" w:rsidRPr="00462B0D" w:rsidRDefault="00DA0202" w:rsidP="00DA0202">
            <w:pPr>
              <w:numPr>
                <w:ilvl w:val="0"/>
                <w:numId w:val="7"/>
              </w:numPr>
              <w:spacing w:before="100" w:beforeAutospacing="1" w:after="100" w:afterAutospacing="1" w:line="240" w:lineRule="auto"/>
              <w:jc w:val="both"/>
              <w:rPr>
                <w:rFonts w:ascii="Arial" w:eastAsia="Times New Roman" w:hAnsi="Arial" w:cs="Arial"/>
                <w:sz w:val="24"/>
                <w:szCs w:val="24"/>
                <w:lang w:eastAsia="en-GB"/>
              </w:rPr>
            </w:pPr>
            <w:r w:rsidRPr="00462B0D">
              <w:rPr>
                <w:rFonts w:ascii="Arial" w:eastAsia="Times New Roman" w:hAnsi="Arial" w:cs="Arial"/>
                <w:sz w:val="24"/>
                <w:szCs w:val="24"/>
                <w:lang w:eastAsia="en-GB"/>
              </w:rPr>
              <w:t>deliberately destroy, hide or alter requested information to prevent it being released.</w:t>
            </w:r>
          </w:p>
          <w:p w14:paraId="48101870" w14:textId="77777777" w:rsidR="00DA0202" w:rsidRPr="00462B0D" w:rsidRDefault="00DA0202" w:rsidP="00DA0202">
            <w:pPr>
              <w:spacing w:before="100" w:beforeAutospacing="1" w:after="100" w:afterAutospacing="1" w:line="240" w:lineRule="auto"/>
              <w:jc w:val="both"/>
              <w:rPr>
                <w:rFonts w:ascii="Arial" w:eastAsia="Times New Roman" w:hAnsi="Arial" w:cs="Arial"/>
                <w:sz w:val="24"/>
                <w:szCs w:val="24"/>
                <w:lang w:eastAsia="en-GB"/>
              </w:rPr>
            </w:pPr>
            <w:r w:rsidRPr="00462B0D">
              <w:rPr>
                <w:rFonts w:ascii="Arial" w:eastAsia="Times New Roman" w:hAnsi="Arial" w:cs="Arial"/>
                <w:sz w:val="24"/>
                <w:szCs w:val="24"/>
                <w:lang w:eastAsia="en-GB"/>
              </w:rPr>
              <w:t>The final point detailed above is the only criminal offence under the FOIA that individuals and public authorities can be charged with; it is therefore imperative that all staff within the OPCC are aware of their responsibilities in relation to FOIA and good records management.</w:t>
            </w:r>
          </w:p>
          <w:p w14:paraId="2C86634B" w14:textId="77777777" w:rsidR="00DA0202" w:rsidRDefault="00DA0202" w:rsidP="00DA0202">
            <w:pPr>
              <w:spacing w:after="0" w:line="240" w:lineRule="auto"/>
              <w:jc w:val="both"/>
              <w:rPr>
                <w:rFonts w:ascii="Arial" w:eastAsia="Times New Roman" w:hAnsi="Arial" w:cs="Arial"/>
                <w:sz w:val="24"/>
                <w:szCs w:val="24"/>
                <w:lang w:eastAsia="en-GB"/>
              </w:rPr>
            </w:pPr>
            <w:r w:rsidRPr="00462B0D">
              <w:rPr>
                <w:rFonts w:ascii="Arial" w:eastAsia="Times New Roman" w:hAnsi="Arial" w:cs="Arial"/>
                <w:sz w:val="24"/>
                <w:szCs w:val="24"/>
                <w:lang w:eastAsia="en-GB"/>
              </w:rPr>
              <w:t>The ICO will often try to resolve complaints informally although they do have the power to issue legally binding enforcement or decision notices which will detail what you need to do to resolve the issue identified.  To date the OPCC has not received an enforcement or decision notice from the ICO.</w:t>
            </w:r>
          </w:p>
          <w:p w14:paraId="61539919" w14:textId="7F04F65E" w:rsidR="00DA0202" w:rsidRPr="000415D2" w:rsidRDefault="00DA0202" w:rsidP="00746DF8">
            <w:pPr>
              <w:spacing w:after="0"/>
              <w:rPr>
                <w:rFonts w:ascii="Arial" w:hAnsi="Arial" w:cs="Arial"/>
                <w:b/>
                <w:sz w:val="24"/>
                <w:szCs w:val="24"/>
                <w:u w:val="single"/>
              </w:rPr>
            </w:pPr>
          </w:p>
        </w:tc>
      </w:tr>
      <w:tr w:rsidR="00DA0202" w:rsidRPr="00055BFA" w14:paraId="55A678D8" w14:textId="77777777" w:rsidTr="00746DF8">
        <w:tc>
          <w:tcPr>
            <w:tcW w:w="670" w:type="dxa"/>
          </w:tcPr>
          <w:p w14:paraId="321D145D" w14:textId="77777777" w:rsidR="00DA0202" w:rsidRDefault="00DA0202" w:rsidP="00746DF8">
            <w:pPr>
              <w:spacing w:after="0"/>
              <w:rPr>
                <w:rFonts w:ascii="Arial" w:hAnsi="Arial" w:cs="Arial"/>
                <w:b/>
                <w:sz w:val="24"/>
                <w:szCs w:val="24"/>
              </w:rPr>
            </w:pPr>
            <w:r>
              <w:rPr>
                <w:rFonts w:ascii="Arial" w:hAnsi="Arial" w:cs="Arial"/>
                <w:b/>
                <w:sz w:val="24"/>
                <w:szCs w:val="24"/>
              </w:rPr>
              <w:t>8.</w:t>
            </w:r>
          </w:p>
        </w:tc>
        <w:tc>
          <w:tcPr>
            <w:tcW w:w="8390" w:type="dxa"/>
          </w:tcPr>
          <w:p w14:paraId="20A2F43A" w14:textId="77777777" w:rsidR="00DA0202" w:rsidRDefault="00DA0202" w:rsidP="00746DF8">
            <w:pPr>
              <w:spacing w:after="0"/>
              <w:rPr>
                <w:rFonts w:ascii="Arial" w:hAnsi="Arial" w:cs="Arial"/>
                <w:b/>
                <w:sz w:val="24"/>
                <w:szCs w:val="24"/>
                <w:u w:val="single"/>
              </w:rPr>
            </w:pPr>
            <w:r>
              <w:rPr>
                <w:rFonts w:ascii="Arial" w:hAnsi="Arial" w:cs="Arial"/>
                <w:b/>
                <w:sz w:val="24"/>
                <w:szCs w:val="24"/>
                <w:u w:val="single"/>
              </w:rPr>
              <w:t>EQUALITIES  AND HUMAN RIGHTS CONSIDERATIONS</w:t>
            </w:r>
          </w:p>
          <w:p w14:paraId="41E9A9D2" w14:textId="77777777" w:rsidR="00DA0202" w:rsidRPr="00462B0D" w:rsidRDefault="00DA0202" w:rsidP="00DA0202">
            <w:pPr>
              <w:spacing w:after="0"/>
              <w:jc w:val="both"/>
              <w:rPr>
                <w:rFonts w:ascii="Arial" w:hAnsi="Arial"/>
                <w:snapToGrid w:val="0"/>
                <w:sz w:val="24"/>
                <w:szCs w:val="20"/>
              </w:rPr>
            </w:pPr>
            <w:r w:rsidRPr="00462B0D">
              <w:rPr>
                <w:rFonts w:ascii="Arial" w:hAnsi="Arial"/>
                <w:snapToGrid w:val="0"/>
                <w:sz w:val="24"/>
                <w:szCs w:val="20"/>
              </w:rPr>
              <w:t xml:space="preserve">This report has been considered against the general duty to promote equality, as stipulated under the Strategic Equality Plan and has been assessed not to discriminate against any particular group. </w:t>
            </w:r>
          </w:p>
          <w:p w14:paraId="3C24C511" w14:textId="77777777" w:rsidR="00DA0202" w:rsidRPr="00462B0D" w:rsidRDefault="00DA0202" w:rsidP="00DA0202">
            <w:pPr>
              <w:spacing w:after="0"/>
              <w:jc w:val="both"/>
              <w:rPr>
                <w:rFonts w:ascii="Arial" w:hAnsi="Arial"/>
                <w:snapToGrid w:val="0"/>
                <w:sz w:val="24"/>
                <w:szCs w:val="20"/>
              </w:rPr>
            </w:pPr>
          </w:p>
          <w:p w14:paraId="69A8FD9B" w14:textId="77777777" w:rsidR="00DA0202" w:rsidRPr="00462B0D" w:rsidRDefault="00DA0202" w:rsidP="00DA0202">
            <w:pPr>
              <w:spacing w:after="0"/>
              <w:jc w:val="both"/>
              <w:rPr>
                <w:rFonts w:ascii="Arial" w:hAnsi="Arial" w:cs="Arial"/>
                <w:bCs/>
                <w:iCs/>
                <w:sz w:val="24"/>
                <w:szCs w:val="20"/>
              </w:rPr>
            </w:pPr>
            <w:r w:rsidRPr="00462B0D">
              <w:rPr>
                <w:rFonts w:ascii="Arial" w:hAnsi="Arial" w:cs="Arial"/>
                <w:bCs/>
                <w:iCs/>
                <w:sz w:val="24"/>
                <w:szCs w:val="20"/>
              </w:rPr>
              <w:t>Consideration has been given to requirements of the Articles contained in the European Convention on Human Rights and the Human Rights Act 1998 in preparing this report.</w:t>
            </w:r>
          </w:p>
          <w:p w14:paraId="1CF09C3C" w14:textId="77777777" w:rsidR="00DA0202" w:rsidRPr="00F8795E" w:rsidRDefault="00DA0202" w:rsidP="00746DF8">
            <w:pPr>
              <w:spacing w:after="0"/>
              <w:rPr>
                <w:rFonts w:ascii="Arial" w:hAnsi="Arial" w:cs="Arial"/>
                <w:sz w:val="24"/>
                <w:szCs w:val="24"/>
              </w:rPr>
            </w:pPr>
          </w:p>
        </w:tc>
      </w:tr>
      <w:tr w:rsidR="00DA0202" w:rsidRPr="00055BFA" w14:paraId="5FA61681" w14:textId="77777777" w:rsidTr="00746DF8">
        <w:tc>
          <w:tcPr>
            <w:tcW w:w="670" w:type="dxa"/>
          </w:tcPr>
          <w:p w14:paraId="6E76E882" w14:textId="77777777" w:rsidR="00DA0202" w:rsidRDefault="00DA0202" w:rsidP="00746DF8">
            <w:pPr>
              <w:spacing w:after="0"/>
              <w:rPr>
                <w:rFonts w:ascii="Arial" w:hAnsi="Arial" w:cs="Arial"/>
                <w:b/>
                <w:sz w:val="24"/>
                <w:szCs w:val="24"/>
              </w:rPr>
            </w:pPr>
            <w:r>
              <w:rPr>
                <w:rFonts w:ascii="Arial" w:hAnsi="Arial" w:cs="Arial"/>
                <w:b/>
                <w:sz w:val="24"/>
                <w:szCs w:val="24"/>
              </w:rPr>
              <w:t>9.</w:t>
            </w:r>
          </w:p>
        </w:tc>
        <w:tc>
          <w:tcPr>
            <w:tcW w:w="8390" w:type="dxa"/>
          </w:tcPr>
          <w:p w14:paraId="62C2AE99" w14:textId="77777777" w:rsidR="00DA0202" w:rsidRDefault="00DA0202" w:rsidP="00746DF8">
            <w:pPr>
              <w:spacing w:after="0"/>
              <w:rPr>
                <w:rFonts w:ascii="Arial" w:hAnsi="Arial" w:cs="Arial"/>
                <w:b/>
                <w:sz w:val="24"/>
                <w:szCs w:val="24"/>
                <w:u w:val="single"/>
              </w:rPr>
            </w:pPr>
            <w:r w:rsidRPr="000415D2">
              <w:rPr>
                <w:rFonts w:ascii="Arial" w:hAnsi="Arial" w:cs="Arial"/>
                <w:b/>
                <w:sz w:val="24"/>
                <w:szCs w:val="24"/>
                <w:u w:val="single"/>
              </w:rPr>
              <w:t>RISK</w:t>
            </w:r>
          </w:p>
          <w:p w14:paraId="51FCC085" w14:textId="77777777" w:rsidR="00DA0202" w:rsidRPr="00462B0D" w:rsidRDefault="00DA0202" w:rsidP="00DA0202">
            <w:pPr>
              <w:spacing w:after="0"/>
              <w:jc w:val="both"/>
              <w:rPr>
                <w:rFonts w:ascii="Arial" w:hAnsi="Arial" w:cs="Arial"/>
                <w:sz w:val="24"/>
              </w:rPr>
            </w:pPr>
            <w:r w:rsidRPr="00462B0D">
              <w:rPr>
                <w:rFonts w:ascii="Arial" w:hAnsi="Arial" w:cs="Arial"/>
                <w:sz w:val="24"/>
              </w:rPr>
              <w:t xml:space="preserve">There is a reputational risk to the OPCC if the 20 working day timeframe is not adhered to and a complaint is made to the ICO.  Not adhering to processes could also have an impact on public confidence of the police service, not just in Gwent, but nationally. </w:t>
            </w:r>
          </w:p>
          <w:p w14:paraId="0F90B6AC" w14:textId="77777777" w:rsidR="00DA0202" w:rsidRDefault="00DA0202" w:rsidP="00746DF8">
            <w:pPr>
              <w:spacing w:after="0"/>
              <w:rPr>
                <w:rFonts w:ascii="Arial" w:hAnsi="Arial" w:cs="Arial"/>
              </w:rPr>
            </w:pPr>
          </w:p>
          <w:p w14:paraId="0843BCDA" w14:textId="77777777" w:rsidR="005042D6" w:rsidRDefault="005042D6" w:rsidP="00746DF8">
            <w:pPr>
              <w:spacing w:after="0"/>
              <w:rPr>
                <w:rFonts w:ascii="Arial" w:hAnsi="Arial" w:cs="Arial"/>
              </w:rPr>
            </w:pPr>
          </w:p>
          <w:p w14:paraId="61B108A9" w14:textId="3DBC9F9A" w:rsidR="005042D6" w:rsidRPr="001201D9" w:rsidRDefault="005042D6" w:rsidP="00746DF8">
            <w:pPr>
              <w:spacing w:after="0"/>
              <w:rPr>
                <w:rFonts w:ascii="Arial" w:hAnsi="Arial" w:cs="Arial"/>
              </w:rPr>
            </w:pPr>
          </w:p>
        </w:tc>
      </w:tr>
      <w:tr w:rsidR="00DA0202" w:rsidRPr="00055BFA" w14:paraId="5FA52CF5" w14:textId="77777777" w:rsidTr="00746DF8">
        <w:tc>
          <w:tcPr>
            <w:tcW w:w="670" w:type="dxa"/>
          </w:tcPr>
          <w:p w14:paraId="01BA4E46" w14:textId="77777777" w:rsidR="00DA0202" w:rsidRDefault="00DA0202" w:rsidP="00746DF8">
            <w:pPr>
              <w:spacing w:after="0"/>
              <w:rPr>
                <w:rFonts w:ascii="Arial" w:hAnsi="Arial" w:cs="Arial"/>
                <w:b/>
                <w:sz w:val="24"/>
                <w:szCs w:val="24"/>
              </w:rPr>
            </w:pPr>
            <w:r>
              <w:rPr>
                <w:rFonts w:ascii="Arial" w:hAnsi="Arial" w:cs="Arial"/>
                <w:b/>
                <w:sz w:val="24"/>
                <w:szCs w:val="24"/>
              </w:rPr>
              <w:lastRenderedPageBreak/>
              <w:t>10.</w:t>
            </w:r>
          </w:p>
        </w:tc>
        <w:tc>
          <w:tcPr>
            <w:tcW w:w="8390" w:type="dxa"/>
          </w:tcPr>
          <w:p w14:paraId="63598D1F" w14:textId="77777777" w:rsidR="00DA0202" w:rsidRDefault="00DA0202" w:rsidP="00746DF8">
            <w:pPr>
              <w:spacing w:after="0"/>
              <w:rPr>
                <w:rFonts w:ascii="Arial" w:hAnsi="Arial" w:cs="Arial"/>
                <w:b/>
                <w:sz w:val="24"/>
                <w:szCs w:val="24"/>
                <w:u w:val="single"/>
              </w:rPr>
            </w:pPr>
            <w:r>
              <w:rPr>
                <w:rFonts w:ascii="Arial" w:hAnsi="Arial" w:cs="Arial"/>
                <w:b/>
                <w:sz w:val="24"/>
                <w:szCs w:val="24"/>
                <w:u w:val="single"/>
              </w:rPr>
              <w:t>PUBLIC INTEREST</w:t>
            </w:r>
          </w:p>
          <w:p w14:paraId="57BAF32A" w14:textId="77777777" w:rsidR="00DA0202" w:rsidRPr="00462B0D" w:rsidRDefault="00DA0202" w:rsidP="00DA0202">
            <w:pPr>
              <w:spacing w:after="0"/>
              <w:jc w:val="both"/>
              <w:rPr>
                <w:rFonts w:ascii="Arial" w:hAnsi="Arial" w:cs="Arial"/>
                <w:sz w:val="24"/>
              </w:rPr>
            </w:pPr>
            <w:r w:rsidRPr="00462B0D">
              <w:rPr>
                <w:rFonts w:ascii="Arial" w:hAnsi="Arial" w:cs="Arial"/>
                <w:sz w:val="24"/>
              </w:rPr>
              <w:t>This report can be made available to the public.  It is best practice to produce and publish statistics in relation to FOIA requests.</w:t>
            </w:r>
          </w:p>
          <w:p w14:paraId="7D87D938" w14:textId="227759C1" w:rsidR="00DA0202" w:rsidRPr="001201D9" w:rsidRDefault="00DA0202" w:rsidP="00746DF8">
            <w:pPr>
              <w:spacing w:after="0"/>
              <w:rPr>
                <w:rFonts w:ascii="Arial" w:hAnsi="Arial" w:cs="Arial"/>
              </w:rPr>
            </w:pPr>
          </w:p>
        </w:tc>
      </w:tr>
      <w:tr w:rsidR="00DA0202" w:rsidRPr="00055BFA" w14:paraId="719E9834" w14:textId="77777777" w:rsidTr="00746DF8">
        <w:tc>
          <w:tcPr>
            <w:tcW w:w="670" w:type="dxa"/>
          </w:tcPr>
          <w:p w14:paraId="5EBA9755" w14:textId="77777777" w:rsidR="00DA0202" w:rsidRDefault="00DA0202" w:rsidP="00746DF8">
            <w:pPr>
              <w:spacing w:after="0"/>
              <w:rPr>
                <w:rFonts w:ascii="Arial" w:hAnsi="Arial" w:cs="Arial"/>
                <w:b/>
                <w:sz w:val="24"/>
                <w:szCs w:val="24"/>
              </w:rPr>
            </w:pPr>
            <w:r>
              <w:rPr>
                <w:rFonts w:ascii="Arial" w:hAnsi="Arial" w:cs="Arial"/>
                <w:b/>
                <w:sz w:val="24"/>
                <w:szCs w:val="24"/>
              </w:rPr>
              <w:t>11.</w:t>
            </w:r>
          </w:p>
        </w:tc>
        <w:tc>
          <w:tcPr>
            <w:tcW w:w="8390" w:type="dxa"/>
          </w:tcPr>
          <w:p w14:paraId="374C7A09" w14:textId="77777777" w:rsidR="00DA0202" w:rsidRDefault="00DA0202" w:rsidP="00746DF8">
            <w:pPr>
              <w:spacing w:after="0"/>
              <w:rPr>
                <w:rFonts w:ascii="Arial" w:hAnsi="Arial" w:cs="Arial"/>
                <w:b/>
                <w:sz w:val="24"/>
                <w:szCs w:val="24"/>
                <w:u w:val="single"/>
              </w:rPr>
            </w:pPr>
            <w:r>
              <w:rPr>
                <w:rFonts w:ascii="Arial" w:hAnsi="Arial" w:cs="Arial"/>
                <w:b/>
                <w:sz w:val="24"/>
                <w:szCs w:val="24"/>
                <w:u w:val="single"/>
              </w:rPr>
              <w:t>CONTACT OFFICER</w:t>
            </w:r>
          </w:p>
          <w:p w14:paraId="4848F1E3" w14:textId="77777777" w:rsidR="00DA0202" w:rsidRDefault="00DA0202" w:rsidP="00746DF8">
            <w:pPr>
              <w:spacing w:after="0"/>
              <w:rPr>
                <w:rFonts w:ascii="Arial" w:hAnsi="Arial" w:cs="Arial"/>
                <w:sz w:val="24"/>
              </w:rPr>
            </w:pPr>
            <w:r>
              <w:rPr>
                <w:rFonts w:ascii="Arial" w:hAnsi="Arial" w:cs="Arial"/>
              </w:rPr>
              <w:t>J</w:t>
            </w:r>
            <w:r w:rsidRPr="008D5490">
              <w:rPr>
                <w:rFonts w:ascii="Arial" w:hAnsi="Arial" w:cs="Arial"/>
                <w:sz w:val="24"/>
              </w:rPr>
              <w:t>oanne Regan, Head of Assurance and Compliance</w:t>
            </w:r>
          </w:p>
          <w:p w14:paraId="0BF2832A" w14:textId="08AF4DD1" w:rsidR="00DA0202" w:rsidRPr="001201D9" w:rsidRDefault="00DA0202" w:rsidP="00746DF8">
            <w:pPr>
              <w:spacing w:after="0"/>
              <w:rPr>
                <w:rFonts w:ascii="Arial" w:hAnsi="Arial" w:cs="Arial"/>
              </w:rPr>
            </w:pPr>
          </w:p>
        </w:tc>
      </w:tr>
      <w:tr w:rsidR="00DA0202" w:rsidRPr="00055BFA" w14:paraId="2F903E1F" w14:textId="77777777" w:rsidTr="00746DF8">
        <w:tc>
          <w:tcPr>
            <w:tcW w:w="670" w:type="dxa"/>
          </w:tcPr>
          <w:p w14:paraId="6C41FAB3" w14:textId="77777777" w:rsidR="00DA0202" w:rsidRDefault="00DA0202" w:rsidP="00746DF8">
            <w:pPr>
              <w:spacing w:after="0"/>
              <w:rPr>
                <w:rFonts w:ascii="Arial" w:hAnsi="Arial" w:cs="Arial"/>
                <w:b/>
                <w:sz w:val="24"/>
                <w:szCs w:val="24"/>
              </w:rPr>
            </w:pPr>
            <w:r>
              <w:rPr>
                <w:rFonts w:ascii="Arial" w:hAnsi="Arial" w:cs="Arial"/>
                <w:b/>
                <w:sz w:val="24"/>
                <w:szCs w:val="24"/>
              </w:rPr>
              <w:t>12.</w:t>
            </w:r>
          </w:p>
        </w:tc>
        <w:tc>
          <w:tcPr>
            <w:tcW w:w="8390" w:type="dxa"/>
          </w:tcPr>
          <w:p w14:paraId="3A3B8FF3" w14:textId="77777777" w:rsidR="00DA0202" w:rsidRDefault="00DA0202" w:rsidP="00746DF8">
            <w:pPr>
              <w:spacing w:after="0"/>
              <w:rPr>
                <w:rFonts w:ascii="Arial" w:hAnsi="Arial" w:cs="Arial"/>
                <w:b/>
                <w:sz w:val="24"/>
                <w:szCs w:val="24"/>
                <w:u w:val="single"/>
              </w:rPr>
            </w:pPr>
            <w:r>
              <w:rPr>
                <w:rFonts w:ascii="Arial" w:hAnsi="Arial" w:cs="Arial"/>
                <w:b/>
                <w:sz w:val="24"/>
                <w:szCs w:val="24"/>
                <w:u w:val="single"/>
              </w:rPr>
              <w:t>ANNEXES</w:t>
            </w:r>
          </w:p>
          <w:p w14:paraId="1A3C753B" w14:textId="2E0C7C26" w:rsidR="00DA0202" w:rsidRPr="008D5490" w:rsidRDefault="00DA0202" w:rsidP="00DA0202">
            <w:pPr>
              <w:spacing w:after="0"/>
              <w:rPr>
                <w:rFonts w:ascii="Arial" w:hAnsi="Arial" w:cs="Arial"/>
                <w:sz w:val="24"/>
              </w:rPr>
            </w:pPr>
            <w:r>
              <w:rPr>
                <w:rFonts w:ascii="Arial" w:hAnsi="Arial" w:cs="Arial"/>
                <w:sz w:val="24"/>
              </w:rPr>
              <w:t>A</w:t>
            </w:r>
            <w:r w:rsidRPr="008D5490">
              <w:rPr>
                <w:rFonts w:ascii="Arial" w:hAnsi="Arial" w:cs="Arial"/>
                <w:sz w:val="24"/>
              </w:rPr>
              <w:t>ppendix 1 – FOIA Statistics.</w:t>
            </w:r>
          </w:p>
          <w:p w14:paraId="1A0E3EE9" w14:textId="100E937A" w:rsidR="00DA0202" w:rsidRPr="001201D9" w:rsidRDefault="00DA0202" w:rsidP="00746DF8">
            <w:pPr>
              <w:spacing w:after="0"/>
              <w:rPr>
                <w:rFonts w:ascii="Arial" w:hAnsi="Arial" w:cs="Arial"/>
                <w:b/>
                <w:sz w:val="24"/>
                <w:szCs w:val="24"/>
                <w:u w:val="single"/>
              </w:rPr>
            </w:pPr>
          </w:p>
        </w:tc>
      </w:tr>
    </w:tbl>
    <w:p w14:paraId="4BABFE0F" w14:textId="77777777" w:rsidR="00DA0202" w:rsidRDefault="00DA0202" w:rsidP="00DA0202">
      <w:pPr>
        <w:rPr>
          <w:rFonts w:ascii="Arial" w:hAnsi="Arial" w:cs="Arial"/>
          <w:b/>
          <w:color w:val="A6A6A6"/>
        </w:rPr>
      </w:pPr>
    </w:p>
    <w:p w14:paraId="7A0A450E" w14:textId="77777777" w:rsidR="00462B0D" w:rsidRDefault="00462B0D" w:rsidP="006223CD">
      <w:pPr>
        <w:rPr>
          <w:rFonts w:ascii="Arial" w:hAnsi="Arial" w:cs="Arial"/>
          <w:b/>
          <w:color w:val="000000" w:themeColor="text1"/>
        </w:rPr>
      </w:pPr>
    </w:p>
    <w:p w14:paraId="7CFE6C43" w14:textId="5E3EE3EB" w:rsidR="006223CD" w:rsidRDefault="00D75BD6" w:rsidP="006223CD">
      <w:pPr>
        <w:rPr>
          <w:rFonts w:ascii="Arial" w:hAnsi="Arial" w:cs="Arial"/>
          <w:b/>
          <w:color w:val="000000" w:themeColor="text1"/>
        </w:rPr>
      </w:pPr>
      <w:r w:rsidRPr="008D5490">
        <w:rPr>
          <w:rFonts w:ascii="Arial" w:hAnsi="Arial" w:cs="Arial"/>
          <w:b/>
          <w:color w:val="000000" w:themeColor="text1"/>
        </w:rPr>
        <w:t>F</w:t>
      </w:r>
      <w:r w:rsidR="006223CD" w:rsidRPr="008D5490">
        <w:rPr>
          <w:rFonts w:ascii="Arial" w:hAnsi="Arial" w:cs="Arial"/>
          <w:b/>
          <w:color w:val="000000" w:themeColor="text1"/>
        </w:rPr>
        <w:t>or OPCC use only</w:t>
      </w:r>
    </w:p>
    <w:tbl>
      <w:tblPr>
        <w:tblStyle w:val="TableGrid"/>
        <w:tblW w:w="0" w:type="auto"/>
        <w:tblLook w:val="04A0" w:firstRow="1" w:lastRow="0" w:firstColumn="1" w:lastColumn="0" w:noHBand="0" w:noVBand="1"/>
      </w:tblPr>
      <w:tblGrid>
        <w:gridCol w:w="9060"/>
      </w:tblGrid>
      <w:tr w:rsidR="00DA0202" w14:paraId="1F43FE41" w14:textId="77777777" w:rsidTr="00746DF8">
        <w:tc>
          <w:tcPr>
            <w:tcW w:w="9060" w:type="dxa"/>
          </w:tcPr>
          <w:p w14:paraId="6CFBF841" w14:textId="77777777" w:rsidR="00DA0202" w:rsidRPr="00F0389F" w:rsidRDefault="00DA0202" w:rsidP="00746DF8">
            <w:pPr>
              <w:spacing w:after="120" w:line="240" w:lineRule="auto"/>
              <w:rPr>
                <w:rFonts w:ascii="Arial" w:hAnsi="Arial" w:cs="Arial"/>
                <w:b/>
              </w:rPr>
            </w:pPr>
            <w:r w:rsidRPr="00F0389F">
              <w:rPr>
                <w:rFonts w:ascii="Arial" w:hAnsi="Arial" w:cs="Arial"/>
                <w:b/>
              </w:rPr>
              <w:t>Police and Crime Commissioner for Gwent</w:t>
            </w:r>
          </w:p>
          <w:p w14:paraId="196FC70F" w14:textId="77777777" w:rsidR="00DA0202" w:rsidRPr="00F0389F" w:rsidRDefault="00DA0202" w:rsidP="00746DF8">
            <w:pPr>
              <w:spacing w:after="120" w:line="240" w:lineRule="auto"/>
              <w:rPr>
                <w:rFonts w:ascii="Arial" w:hAnsi="Arial" w:cs="Arial"/>
              </w:rPr>
            </w:pPr>
            <w:r w:rsidRPr="00F0389F">
              <w:rPr>
                <w:rFonts w:ascii="Arial" w:hAnsi="Arial" w:cs="Arial"/>
              </w:rPr>
              <w:t>I confirm that I have considered whether or not I have any personal or prejudicial interest in this matter and take the proposed decision in compliance with the Code of Conduct.</w:t>
            </w:r>
          </w:p>
          <w:p w14:paraId="70343E39" w14:textId="77777777" w:rsidR="00DA0202" w:rsidRDefault="00DA0202" w:rsidP="00746DF8">
            <w:pPr>
              <w:rPr>
                <w:rFonts w:ascii="Arial" w:hAnsi="Arial" w:cs="Arial"/>
                <w:b/>
                <w:sz w:val="24"/>
                <w:szCs w:val="24"/>
              </w:rPr>
            </w:pPr>
            <w:r w:rsidRPr="00F0389F">
              <w:rPr>
                <w:rFonts w:ascii="Arial" w:hAnsi="Arial" w:cs="Arial"/>
              </w:rPr>
              <w:t>The above request has my approval.</w:t>
            </w:r>
          </w:p>
        </w:tc>
      </w:tr>
      <w:tr w:rsidR="00DA0202" w14:paraId="0B2199C9" w14:textId="77777777" w:rsidTr="00746DF8">
        <w:tc>
          <w:tcPr>
            <w:tcW w:w="9060" w:type="dxa"/>
          </w:tcPr>
          <w:p w14:paraId="4D237BA9" w14:textId="77777777" w:rsidR="00DA0202" w:rsidRDefault="00DA0202" w:rsidP="00746DF8">
            <w:pPr>
              <w:rPr>
                <w:rFonts w:ascii="Arial" w:hAnsi="Arial" w:cs="Arial"/>
                <w:b/>
              </w:rPr>
            </w:pPr>
            <w:r w:rsidRPr="00F0389F">
              <w:rPr>
                <w:rFonts w:ascii="Arial" w:hAnsi="Arial" w:cs="Arial"/>
                <w:b/>
              </w:rPr>
              <w:t>Signature:</w:t>
            </w:r>
          </w:p>
          <w:p w14:paraId="0E7DCCAC" w14:textId="02738728" w:rsidR="00281437" w:rsidRDefault="00281437" w:rsidP="00746DF8">
            <w:pPr>
              <w:rPr>
                <w:rFonts w:ascii="Arial" w:hAnsi="Arial" w:cs="Arial"/>
                <w:b/>
                <w:sz w:val="24"/>
                <w:szCs w:val="24"/>
              </w:rPr>
            </w:pPr>
            <w:r>
              <w:rPr>
                <w:noProof/>
                <w:lang w:eastAsia="en-GB"/>
              </w:rPr>
              <w:drawing>
                <wp:inline distT="0" distB="0" distL="0" distR="0" wp14:anchorId="2514B78A" wp14:editId="26D1F0D8">
                  <wp:extent cx="207645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501650"/>
                          </a:xfrm>
                          <a:prstGeom prst="rect">
                            <a:avLst/>
                          </a:prstGeom>
                          <a:noFill/>
                          <a:ln>
                            <a:noFill/>
                          </a:ln>
                        </pic:spPr>
                      </pic:pic>
                    </a:graphicData>
                  </a:graphic>
                </wp:inline>
              </w:drawing>
            </w:r>
          </w:p>
        </w:tc>
      </w:tr>
      <w:tr w:rsidR="00DA0202" w14:paraId="077B0173" w14:textId="77777777" w:rsidTr="00746DF8">
        <w:tc>
          <w:tcPr>
            <w:tcW w:w="9060" w:type="dxa"/>
          </w:tcPr>
          <w:p w14:paraId="2EA3925B" w14:textId="77777777" w:rsidR="00DA0202" w:rsidRDefault="00DA0202" w:rsidP="00746DF8">
            <w:pPr>
              <w:rPr>
                <w:rFonts w:ascii="Arial" w:hAnsi="Arial" w:cs="Arial"/>
                <w:b/>
              </w:rPr>
            </w:pPr>
            <w:r w:rsidRPr="00F0389F">
              <w:rPr>
                <w:rFonts w:ascii="Arial" w:hAnsi="Arial" w:cs="Arial"/>
                <w:b/>
              </w:rPr>
              <w:t>Date:</w:t>
            </w:r>
          </w:p>
          <w:p w14:paraId="23156972" w14:textId="1803E8B9" w:rsidR="00281437" w:rsidRDefault="00281437" w:rsidP="00746DF8">
            <w:pPr>
              <w:rPr>
                <w:rFonts w:ascii="Arial" w:hAnsi="Arial" w:cs="Arial"/>
                <w:b/>
                <w:sz w:val="24"/>
                <w:szCs w:val="24"/>
              </w:rPr>
            </w:pPr>
            <w:r>
              <w:rPr>
                <w:rFonts w:ascii="Arial" w:hAnsi="Arial" w:cs="Arial"/>
                <w:b/>
              </w:rPr>
              <w:t>23/08/2023</w:t>
            </w:r>
          </w:p>
        </w:tc>
      </w:tr>
    </w:tbl>
    <w:p w14:paraId="74372709" w14:textId="77777777" w:rsidR="006223CD" w:rsidRDefault="006223CD" w:rsidP="00DA0202">
      <w:pPr>
        <w:rPr>
          <w:rFonts w:ascii="Arial" w:hAnsi="Arial" w:cs="Arial"/>
          <w:b/>
          <w:sz w:val="24"/>
          <w:szCs w:val="24"/>
        </w:rPr>
      </w:pPr>
    </w:p>
    <w:sectPr w:rsidR="006223CD" w:rsidSect="00D22780">
      <w:headerReference w:type="even" r:id="rId9"/>
      <w:headerReference w:type="default" r:id="rId10"/>
      <w:footerReference w:type="even" r:id="rId11"/>
      <w:footerReference w:type="default" r:id="rId12"/>
      <w:headerReference w:type="first" r:id="rId13"/>
      <w:footerReference w:type="first" r:id="rId14"/>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5858" w14:textId="77777777" w:rsidR="00BF35F9" w:rsidRDefault="00BF35F9" w:rsidP="00D26302">
      <w:pPr>
        <w:spacing w:after="0" w:line="240" w:lineRule="auto"/>
      </w:pPr>
      <w:r>
        <w:separator/>
      </w:r>
    </w:p>
  </w:endnote>
  <w:endnote w:type="continuationSeparator" w:id="0">
    <w:p w14:paraId="656E2122" w14:textId="77777777" w:rsidR="00BF35F9" w:rsidRDefault="00BF35F9"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5FFF" w14:textId="77777777" w:rsidR="00A07224" w:rsidRDefault="00A07224" w:rsidP="00D26302">
    <w:pPr>
      <w:pStyle w:val="Footer"/>
      <w:spacing w:after="0"/>
      <w:jc w:val="center"/>
      <w:rPr>
        <w:rFonts w:ascii="Arial" w:hAnsi="Arial" w:cs="Arial"/>
        <w:b/>
        <w:color w:val="FF0000"/>
        <w:sz w:val="24"/>
      </w:rPr>
    </w:pPr>
    <w:bookmarkStart w:id="2" w:name="aliashDefaultHeaderandFo1FooterEvenPages"/>
  </w:p>
  <w:bookmarkEnd w:id="2"/>
  <w:p w14:paraId="4028BD5C" w14:textId="77777777" w:rsidR="00A07224" w:rsidRDefault="00A07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6249" w14:textId="77777777" w:rsidR="00A07224" w:rsidRDefault="00A07224">
    <w:pPr>
      <w:pStyle w:val="Footer"/>
      <w:jc w:val="center"/>
    </w:pPr>
    <w:r>
      <w:fldChar w:fldCharType="begin"/>
    </w:r>
    <w:r>
      <w:instrText xml:space="preserve"> PAGE   \* MERGEFORMAT </w:instrText>
    </w:r>
    <w:r>
      <w:fldChar w:fldCharType="separate"/>
    </w:r>
    <w:r w:rsidR="00DB31C5">
      <w:rPr>
        <w:noProof/>
      </w:rPr>
      <w:t>1</w:t>
    </w:r>
    <w:r>
      <w:rPr>
        <w:noProof/>
      </w:rPr>
      <w:fldChar w:fldCharType="end"/>
    </w:r>
  </w:p>
  <w:p w14:paraId="1FED6243" w14:textId="77777777" w:rsidR="00A07224" w:rsidRDefault="00A07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86B0" w14:textId="77777777" w:rsidR="00A07224" w:rsidRDefault="00A07224" w:rsidP="00D26302">
    <w:pPr>
      <w:pStyle w:val="Footer"/>
      <w:spacing w:after="0"/>
      <w:jc w:val="center"/>
      <w:rPr>
        <w:rFonts w:ascii="Arial" w:hAnsi="Arial" w:cs="Arial"/>
        <w:b/>
        <w:color w:val="FF0000"/>
        <w:sz w:val="24"/>
      </w:rPr>
    </w:pPr>
    <w:bookmarkStart w:id="4" w:name="aliashDefaultHeaderandFo1FooterFirstPage"/>
  </w:p>
  <w:bookmarkEnd w:id="4"/>
  <w:p w14:paraId="2C5FE11C" w14:textId="77777777" w:rsidR="00A07224" w:rsidRDefault="00A07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760FE" w14:textId="77777777" w:rsidR="00BF35F9" w:rsidRDefault="00BF35F9" w:rsidP="00D26302">
      <w:pPr>
        <w:spacing w:after="0" w:line="240" w:lineRule="auto"/>
      </w:pPr>
      <w:r>
        <w:separator/>
      </w:r>
    </w:p>
  </w:footnote>
  <w:footnote w:type="continuationSeparator" w:id="0">
    <w:p w14:paraId="5B490AA7" w14:textId="77777777" w:rsidR="00BF35F9" w:rsidRDefault="00BF35F9"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C637" w14:textId="77777777" w:rsidR="00A07224" w:rsidRDefault="00A07224" w:rsidP="00D26302">
    <w:pPr>
      <w:pStyle w:val="Header"/>
      <w:spacing w:after="0"/>
      <w:jc w:val="center"/>
      <w:rPr>
        <w:rFonts w:ascii="Arial" w:hAnsi="Arial" w:cs="Arial"/>
        <w:b/>
        <w:color w:val="FF0000"/>
        <w:sz w:val="24"/>
      </w:rPr>
    </w:pPr>
    <w:bookmarkStart w:id="0" w:name="aliashDefaultHeaderandFo1HeaderEvenPages"/>
  </w:p>
  <w:bookmarkEnd w:id="0"/>
  <w:p w14:paraId="3E01E886" w14:textId="77777777" w:rsidR="00A07224" w:rsidRDefault="00A07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6D83" w14:textId="77777777" w:rsidR="00A07224" w:rsidRDefault="00A07224" w:rsidP="00D26302">
    <w:pPr>
      <w:pStyle w:val="Header"/>
      <w:spacing w:after="0"/>
      <w:jc w:val="center"/>
      <w:rPr>
        <w:rFonts w:ascii="Arial" w:hAnsi="Arial" w:cs="Arial"/>
        <w:b/>
        <w:color w:val="FF0000"/>
        <w:sz w:val="24"/>
      </w:rPr>
    </w:pPr>
    <w:bookmarkStart w:id="1" w:name="aliashDefaultHeaderandFoot1HeaderPrimary"/>
  </w:p>
  <w:bookmarkEnd w:id="1"/>
  <w:p w14:paraId="3B4AE96C" w14:textId="77777777" w:rsidR="00A07224" w:rsidRDefault="00A07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B02B" w14:textId="77777777" w:rsidR="00A07224" w:rsidRDefault="00A07224" w:rsidP="00D26302">
    <w:pPr>
      <w:pStyle w:val="Header"/>
      <w:spacing w:after="0"/>
      <w:jc w:val="center"/>
      <w:rPr>
        <w:rFonts w:ascii="Arial" w:hAnsi="Arial" w:cs="Arial"/>
        <w:b/>
        <w:color w:val="FF0000"/>
        <w:sz w:val="24"/>
      </w:rPr>
    </w:pPr>
    <w:bookmarkStart w:id="3" w:name="aliashDefaultHeaderandFo1HeaderFirstPage"/>
  </w:p>
  <w:bookmarkEnd w:id="3"/>
  <w:p w14:paraId="17B34BCC" w14:textId="77777777" w:rsidR="00A07224" w:rsidRDefault="00A07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C43A7"/>
    <w:multiLevelType w:val="hybridMultilevel"/>
    <w:tmpl w:val="782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2684D"/>
    <w:multiLevelType w:val="hybridMultilevel"/>
    <w:tmpl w:val="5E0E9652"/>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B7D88"/>
    <w:multiLevelType w:val="hybridMultilevel"/>
    <w:tmpl w:val="5E0E9652"/>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64D30"/>
    <w:multiLevelType w:val="hybridMultilevel"/>
    <w:tmpl w:val="BF5EF6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F1D78"/>
    <w:multiLevelType w:val="multilevel"/>
    <w:tmpl w:val="72B4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066B0"/>
    <w:multiLevelType w:val="multilevel"/>
    <w:tmpl w:val="912E1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E2195"/>
    <w:multiLevelType w:val="hybridMultilevel"/>
    <w:tmpl w:val="5E0E9652"/>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5C571A"/>
    <w:multiLevelType w:val="hybridMultilevel"/>
    <w:tmpl w:val="A43637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BC7A5D"/>
    <w:multiLevelType w:val="hybridMultilevel"/>
    <w:tmpl w:val="5E0E9652"/>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3670822">
    <w:abstractNumId w:val="0"/>
  </w:num>
  <w:num w:numId="2" w16cid:durableId="1568419136">
    <w:abstractNumId w:val="4"/>
  </w:num>
  <w:num w:numId="3" w16cid:durableId="160198326">
    <w:abstractNumId w:val="1"/>
  </w:num>
  <w:num w:numId="4" w16cid:durableId="1343244932">
    <w:abstractNumId w:val="9"/>
  </w:num>
  <w:num w:numId="5" w16cid:durableId="280651001">
    <w:abstractNumId w:val="6"/>
  </w:num>
  <w:num w:numId="6" w16cid:durableId="998507101">
    <w:abstractNumId w:val="5"/>
  </w:num>
  <w:num w:numId="7" w16cid:durableId="1801679591">
    <w:abstractNumId w:val="7"/>
  </w:num>
  <w:num w:numId="8" w16cid:durableId="78529988">
    <w:abstractNumId w:val="2"/>
  </w:num>
  <w:num w:numId="9" w16cid:durableId="330833484">
    <w:abstractNumId w:val="3"/>
  </w:num>
  <w:num w:numId="10" w16cid:durableId="2046367602">
    <w:abstractNumId w:val="8"/>
  </w:num>
  <w:num w:numId="11" w16cid:durableId="760223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23703"/>
    <w:rsid w:val="00032144"/>
    <w:rsid w:val="000415D2"/>
    <w:rsid w:val="00055BFA"/>
    <w:rsid w:val="000627CE"/>
    <w:rsid w:val="00091DC3"/>
    <w:rsid w:val="00093DD8"/>
    <w:rsid w:val="000A7AFE"/>
    <w:rsid w:val="000B3AE0"/>
    <w:rsid w:val="000C54E6"/>
    <w:rsid w:val="00113F55"/>
    <w:rsid w:val="001201D9"/>
    <w:rsid w:val="00121D15"/>
    <w:rsid w:val="00132AA2"/>
    <w:rsid w:val="00132D69"/>
    <w:rsid w:val="0014580B"/>
    <w:rsid w:val="00163EDA"/>
    <w:rsid w:val="00165436"/>
    <w:rsid w:val="00171FDE"/>
    <w:rsid w:val="00176CBF"/>
    <w:rsid w:val="001801F0"/>
    <w:rsid w:val="00185283"/>
    <w:rsid w:val="001863C0"/>
    <w:rsid w:val="0019295B"/>
    <w:rsid w:val="00196677"/>
    <w:rsid w:val="001B4232"/>
    <w:rsid w:val="001C7E3F"/>
    <w:rsid w:val="001D167B"/>
    <w:rsid w:val="001F41AD"/>
    <w:rsid w:val="001F6741"/>
    <w:rsid w:val="002134A5"/>
    <w:rsid w:val="00215A35"/>
    <w:rsid w:val="00216E40"/>
    <w:rsid w:val="002470ED"/>
    <w:rsid w:val="00262B29"/>
    <w:rsid w:val="0026444C"/>
    <w:rsid w:val="002736CE"/>
    <w:rsid w:val="00277AC1"/>
    <w:rsid w:val="00281437"/>
    <w:rsid w:val="00284E7D"/>
    <w:rsid w:val="0028549D"/>
    <w:rsid w:val="00285FD8"/>
    <w:rsid w:val="0029270D"/>
    <w:rsid w:val="00292C57"/>
    <w:rsid w:val="00294300"/>
    <w:rsid w:val="00294700"/>
    <w:rsid w:val="002A0217"/>
    <w:rsid w:val="002B2BD2"/>
    <w:rsid w:val="002D1CB7"/>
    <w:rsid w:val="00326D8B"/>
    <w:rsid w:val="003327F1"/>
    <w:rsid w:val="00335D29"/>
    <w:rsid w:val="003377A4"/>
    <w:rsid w:val="0034123A"/>
    <w:rsid w:val="00350B64"/>
    <w:rsid w:val="00360B07"/>
    <w:rsid w:val="00371FDB"/>
    <w:rsid w:val="00380C52"/>
    <w:rsid w:val="003B346E"/>
    <w:rsid w:val="003C736B"/>
    <w:rsid w:val="003E469E"/>
    <w:rsid w:val="004228B2"/>
    <w:rsid w:val="0042426F"/>
    <w:rsid w:val="00424A9E"/>
    <w:rsid w:val="00444CC2"/>
    <w:rsid w:val="00462B0D"/>
    <w:rsid w:val="004668ED"/>
    <w:rsid w:val="00467877"/>
    <w:rsid w:val="00483C07"/>
    <w:rsid w:val="004923E2"/>
    <w:rsid w:val="004D072A"/>
    <w:rsid w:val="004D12CF"/>
    <w:rsid w:val="005042D6"/>
    <w:rsid w:val="0057563E"/>
    <w:rsid w:val="00591F37"/>
    <w:rsid w:val="0059744C"/>
    <w:rsid w:val="005A7A0C"/>
    <w:rsid w:val="005B2CC0"/>
    <w:rsid w:val="005C0764"/>
    <w:rsid w:val="005C173F"/>
    <w:rsid w:val="005C4088"/>
    <w:rsid w:val="005D2911"/>
    <w:rsid w:val="005D3479"/>
    <w:rsid w:val="005F1B83"/>
    <w:rsid w:val="005F7921"/>
    <w:rsid w:val="006223CD"/>
    <w:rsid w:val="006233D5"/>
    <w:rsid w:val="00623FCB"/>
    <w:rsid w:val="00632622"/>
    <w:rsid w:val="006427B2"/>
    <w:rsid w:val="006633F7"/>
    <w:rsid w:val="00687580"/>
    <w:rsid w:val="006963AC"/>
    <w:rsid w:val="006B3C81"/>
    <w:rsid w:val="006B70A4"/>
    <w:rsid w:val="006C792D"/>
    <w:rsid w:val="006D4D01"/>
    <w:rsid w:val="006E767C"/>
    <w:rsid w:val="007028C5"/>
    <w:rsid w:val="00706965"/>
    <w:rsid w:val="00714D13"/>
    <w:rsid w:val="00720FD8"/>
    <w:rsid w:val="00724945"/>
    <w:rsid w:val="00750F4A"/>
    <w:rsid w:val="00752B77"/>
    <w:rsid w:val="00773811"/>
    <w:rsid w:val="00783E7E"/>
    <w:rsid w:val="007969F7"/>
    <w:rsid w:val="007A46D1"/>
    <w:rsid w:val="007A69B1"/>
    <w:rsid w:val="007B1437"/>
    <w:rsid w:val="007B3A8B"/>
    <w:rsid w:val="007B7F78"/>
    <w:rsid w:val="007D4B9D"/>
    <w:rsid w:val="007E5368"/>
    <w:rsid w:val="007F1D0F"/>
    <w:rsid w:val="00806217"/>
    <w:rsid w:val="00822B6A"/>
    <w:rsid w:val="00863459"/>
    <w:rsid w:val="008815F7"/>
    <w:rsid w:val="00897ACE"/>
    <w:rsid w:val="008C4015"/>
    <w:rsid w:val="008C7685"/>
    <w:rsid w:val="008D4516"/>
    <w:rsid w:val="008D48F5"/>
    <w:rsid w:val="008D4A71"/>
    <w:rsid w:val="008D5490"/>
    <w:rsid w:val="00901C13"/>
    <w:rsid w:val="0092396B"/>
    <w:rsid w:val="00936558"/>
    <w:rsid w:val="009413BD"/>
    <w:rsid w:val="00950DC7"/>
    <w:rsid w:val="00950E93"/>
    <w:rsid w:val="00966D08"/>
    <w:rsid w:val="00975C06"/>
    <w:rsid w:val="00983BA5"/>
    <w:rsid w:val="00990083"/>
    <w:rsid w:val="0099083A"/>
    <w:rsid w:val="009962F7"/>
    <w:rsid w:val="009C2286"/>
    <w:rsid w:val="009E19DB"/>
    <w:rsid w:val="009E4BA1"/>
    <w:rsid w:val="009E5D83"/>
    <w:rsid w:val="009F4F07"/>
    <w:rsid w:val="009F53F7"/>
    <w:rsid w:val="00A02601"/>
    <w:rsid w:val="00A063A0"/>
    <w:rsid w:val="00A068A6"/>
    <w:rsid w:val="00A07224"/>
    <w:rsid w:val="00A20714"/>
    <w:rsid w:val="00A262EF"/>
    <w:rsid w:val="00A32AFF"/>
    <w:rsid w:val="00A365DC"/>
    <w:rsid w:val="00A45A11"/>
    <w:rsid w:val="00A7184E"/>
    <w:rsid w:val="00AA0CB1"/>
    <w:rsid w:val="00AE7565"/>
    <w:rsid w:val="00AF54D4"/>
    <w:rsid w:val="00B11CF6"/>
    <w:rsid w:val="00B3006F"/>
    <w:rsid w:val="00B44D6F"/>
    <w:rsid w:val="00B45594"/>
    <w:rsid w:val="00B57E47"/>
    <w:rsid w:val="00B74046"/>
    <w:rsid w:val="00B76884"/>
    <w:rsid w:val="00B913D2"/>
    <w:rsid w:val="00B92810"/>
    <w:rsid w:val="00B96B5E"/>
    <w:rsid w:val="00BB52E1"/>
    <w:rsid w:val="00BC5418"/>
    <w:rsid w:val="00BF35F9"/>
    <w:rsid w:val="00C06627"/>
    <w:rsid w:val="00C31A33"/>
    <w:rsid w:val="00C32079"/>
    <w:rsid w:val="00C34C19"/>
    <w:rsid w:val="00C51DC9"/>
    <w:rsid w:val="00C672F9"/>
    <w:rsid w:val="00C86026"/>
    <w:rsid w:val="00C914AF"/>
    <w:rsid w:val="00CA01A1"/>
    <w:rsid w:val="00CD1C87"/>
    <w:rsid w:val="00CD2200"/>
    <w:rsid w:val="00CF106B"/>
    <w:rsid w:val="00CF774B"/>
    <w:rsid w:val="00D11D6C"/>
    <w:rsid w:val="00D12899"/>
    <w:rsid w:val="00D13582"/>
    <w:rsid w:val="00D21043"/>
    <w:rsid w:val="00D22780"/>
    <w:rsid w:val="00D26302"/>
    <w:rsid w:val="00D30B56"/>
    <w:rsid w:val="00D456E1"/>
    <w:rsid w:val="00D51A86"/>
    <w:rsid w:val="00D555CC"/>
    <w:rsid w:val="00D75BD6"/>
    <w:rsid w:val="00D766DF"/>
    <w:rsid w:val="00D82644"/>
    <w:rsid w:val="00D96DE6"/>
    <w:rsid w:val="00DA0202"/>
    <w:rsid w:val="00DA7BA9"/>
    <w:rsid w:val="00DB0FEB"/>
    <w:rsid w:val="00DB31C5"/>
    <w:rsid w:val="00DB352B"/>
    <w:rsid w:val="00DC21E8"/>
    <w:rsid w:val="00DD159E"/>
    <w:rsid w:val="00DD46B3"/>
    <w:rsid w:val="00DE0388"/>
    <w:rsid w:val="00DF544E"/>
    <w:rsid w:val="00E03FB3"/>
    <w:rsid w:val="00E0636E"/>
    <w:rsid w:val="00E22435"/>
    <w:rsid w:val="00E353C3"/>
    <w:rsid w:val="00E4292B"/>
    <w:rsid w:val="00E445A3"/>
    <w:rsid w:val="00E50D8C"/>
    <w:rsid w:val="00E5619C"/>
    <w:rsid w:val="00E62247"/>
    <w:rsid w:val="00E62667"/>
    <w:rsid w:val="00EB5A4D"/>
    <w:rsid w:val="00EC4986"/>
    <w:rsid w:val="00EE0539"/>
    <w:rsid w:val="00EE50DA"/>
    <w:rsid w:val="00EE7DBD"/>
    <w:rsid w:val="00EF0FF3"/>
    <w:rsid w:val="00F06BFD"/>
    <w:rsid w:val="00F10BAF"/>
    <w:rsid w:val="00F11899"/>
    <w:rsid w:val="00F178CF"/>
    <w:rsid w:val="00F303F6"/>
    <w:rsid w:val="00F352AC"/>
    <w:rsid w:val="00F52D94"/>
    <w:rsid w:val="00F62FD2"/>
    <w:rsid w:val="00F8795E"/>
    <w:rsid w:val="00FC0FB0"/>
    <w:rsid w:val="00FD3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4F6D4"/>
  <w15:chartTrackingRefBased/>
  <w15:docId w15:val="{47813E3E-DF84-48C3-AF6F-1912355F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character" w:styleId="CommentReference">
    <w:name w:val="annotation reference"/>
    <w:uiPriority w:val="99"/>
    <w:semiHidden/>
    <w:unhideWhenUsed/>
    <w:rsid w:val="00284E7D"/>
    <w:rPr>
      <w:sz w:val="16"/>
      <w:szCs w:val="16"/>
    </w:rPr>
  </w:style>
  <w:style w:type="paragraph" w:styleId="CommentText">
    <w:name w:val="annotation text"/>
    <w:basedOn w:val="Normal"/>
    <w:link w:val="CommentTextChar"/>
    <w:uiPriority w:val="99"/>
    <w:unhideWhenUsed/>
    <w:rsid w:val="00284E7D"/>
    <w:rPr>
      <w:sz w:val="20"/>
      <w:szCs w:val="20"/>
    </w:rPr>
  </w:style>
  <w:style w:type="character" w:customStyle="1" w:styleId="CommentTextChar">
    <w:name w:val="Comment Text Char"/>
    <w:link w:val="CommentText"/>
    <w:uiPriority w:val="99"/>
    <w:rsid w:val="00284E7D"/>
    <w:rPr>
      <w:lang w:eastAsia="en-US"/>
    </w:rPr>
  </w:style>
  <w:style w:type="paragraph" w:styleId="CommentSubject">
    <w:name w:val="annotation subject"/>
    <w:basedOn w:val="CommentText"/>
    <w:next w:val="CommentText"/>
    <w:link w:val="CommentSubjectChar"/>
    <w:uiPriority w:val="99"/>
    <w:semiHidden/>
    <w:unhideWhenUsed/>
    <w:rsid w:val="00284E7D"/>
    <w:rPr>
      <w:b/>
      <w:bCs/>
    </w:rPr>
  </w:style>
  <w:style w:type="character" w:customStyle="1" w:styleId="CommentSubjectChar">
    <w:name w:val="Comment Subject Char"/>
    <w:link w:val="CommentSubject"/>
    <w:uiPriority w:val="99"/>
    <w:semiHidden/>
    <w:rsid w:val="00284E7D"/>
    <w:rPr>
      <w:b/>
      <w:bCs/>
      <w:lang w:eastAsia="en-US"/>
    </w:rPr>
  </w:style>
  <w:style w:type="paragraph" w:styleId="FootnoteText">
    <w:name w:val="footnote text"/>
    <w:basedOn w:val="Normal"/>
    <w:link w:val="FootnoteTextChar"/>
    <w:uiPriority w:val="99"/>
    <w:semiHidden/>
    <w:unhideWhenUsed/>
    <w:rsid w:val="00DA7BA9"/>
    <w:rPr>
      <w:sz w:val="20"/>
      <w:szCs w:val="20"/>
    </w:rPr>
  </w:style>
  <w:style w:type="character" w:customStyle="1" w:styleId="FootnoteTextChar">
    <w:name w:val="Footnote Text Char"/>
    <w:link w:val="FootnoteText"/>
    <w:uiPriority w:val="99"/>
    <w:semiHidden/>
    <w:rsid w:val="00DA7BA9"/>
    <w:rPr>
      <w:lang w:eastAsia="en-US"/>
    </w:rPr>
  </w:style>
  <w:style w:type="character" w:styleId="FootnoteReference">
    <w:name w:val="footnote reference"/>
    <w:uiPriority w:val="99"/>
    <w:semiHidden/>
    <w:unhideWhenUsed/>
    <w:rsid w:val="00DA7BA9"/>
    <w:rPr>
      <w:vertAlign w:val="superscript"/>
    </w:rPr>
  </w:style>
  <w:style w:type="paragraph" w:styleId="NormalWeb">
    <w:name w:val="Normal (Web)"/>
    <w:basedOn w:val="Normal"/>
    <w:uiPriority w:val="99"/>
    <w:semiHidden/>
    <w:unhideWhenUsed/>
    <w:rsid w:val="00D11D6C"/>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8D5490"/>
    <w:pPr>
      <w:ind w:left="720"/>
      <w:contextualSpacing/>
    </w:pPr>
  </w:style>
  <w:style w:type="paragraph" w:styleId="Revision">
    <w:name w:val="Revision"/>
    <w:hidden/>
    <w:uiPriority w:val="99"/>
    <w:semiHidden/>
    <w:rsid w:val="00DF544E"/>
    <w:rPr>
      <w:sz w:val="22"/>
      <w:szCs w:val="22"/>
      <w:lang w:eastAsia="en-US"/>
    </w:rPr>
  </w:style>
  <w:style w:type="table" w:styleId="TableGridLight">
    <w:name w:val="Grid Table Light"/>
    <w:basedOn w:val="TableNormal"/>
    <w:uiPriority w:val="40"/>
    <w:rsid w:val="00DA02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12485">
      <w:bodyDiv w:val="1"/>
      <w:marLeft w:val="0"/>
      <w:marRight w:val="0"/>
      <w:marTop w:val="0"/>
      <w:marBottom w:val="0"/>
      <w:divBdr>
        <w:top w:val="none" w:sz="0" w:space="0" w:color="auto"/>
        <w:left w:val="none" w:sz="0" w:space="0" w:color="auto"/>
        <w:bottom w:val="none" w:sz="0" w:space="0" w:color="auto"/>
        <w:right w:val="none" w:sz="0" w:space="0" w:color="auto"/>
      </w:divBdr>
    </w:div>
    <w:div w:id="1030650048">
      <w:bodyDiv w:val="1"/>
      <w:marLeft w:val="0"/>
      <w:marRight w:val="0"/>
      <w:marTop w:val="0"/>
      <w:marBottom w:val="0"/>
      <w:divBdr>
        <w:top w:val="none" w:sz="0" w:space="0" w:color="auto"/>
        <w:left w:val="none" w:sz="0" w:space="0" w:color="auto"/>
        <w:bottom w:val="none" w:sz="0" w:space="0" w:color="auto"/>
        <w:right w:val="none" w:sz="0" w:space="0" w:color="auto"/>
      </w:divBdr>
    </w:div>
    <w:div w:id="119369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C7AAA-D41A-4348-BA58-E289B5D3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- 14/04/2020 07:29:00</dc:description>
  <cp:lastModifiedBy>Warren, Nicola</cp:lastModifiedBy>
  <cp:revision>2</cp:revision>
  <cp:lastPrinted>2012-09-20T08:14:00Z</cp:lastPrinted>
  <dcterms:created xsi:type="dcterms:W3CDTF">2023-09-12T14:18:00Z</dcterms:created>
  <dcterms:modified xsi:type="dcterms:W3CDTF">2023-09-12T14:18:00Z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2021-06-17T08:00:57Z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31caa555-7d0c-443d-a2ca-e2bbded20959</vt:lpwstr>
  </property>
  <property fmtid="{D5CDD505-2E9C-101B-9397-08002B2CF9AE}" pid="14" name="MSIP_Label_f2acd28b-79a3-4a0f-b0ff-4b75658b1549_ContentBits">
    <vt:lpwstr>0</vt:lpwstr>
  </property>
</Properties>
</file>